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附件1</w:t>
      </w:r>
    </w:p>
    <w:p>
      <w:pPr>
        <w:pStyle w:val="2"/>
        <w:keepNext w:val="0"/>
        <w:keepLines w:val="0"/>
        <w:pageBreakBefore w:val="0"/>
        <w:kinsoku/>
        <w:overflowPunct/>
        <w:topLinePunct w:val="0"/>
        <w:autoSpaceDE/>
        <w:autoSpaceDN/>
        <w:bidi w:val="0"/>
        <w:spacing w:line="560" w:lineRule="exact"/>
        <w:ind w:firstLine="210"/>
        <w:textAlignment w:val="auto"/>
      </w:pP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深圳市跨国公司总部企业认定申报指引（202</w:t>
      </w:r>
      <w:r>
        <w:rPr>
          <w:rFonts w:hint="default" w:ascii="方正小标宋简体" w:hAnsi="方正小标宋简体" w:eastAsia="方正小标宋简体" w:cs="方正小标宋简体"/>
          <w:bCs/>
          <w:sz w:val="44"/>
          <w:szCs w:val="44"/>
        </w:rPr>
        <w:t>2</w:t>
      </w:r>
      <w:r>
        <w:rPr>
          <w:rFonts w:hint="eastAsia" w:ascii="方正小标宋简体" w:hAnsi="方正小标宋简体" w:eastAsia="方正小标宋简体" w:cs="方正小标宋简体"/>
          <w:bCs/>
          <w:sz w:val="44"/>
          <w:szCs w:val="44"/>
        </w:rPr>
        <w:t>）</w:t>
      </w:r>
    </w:p>
    <w:p>
      <w:pPr>
        <w:keepNext w:val="0"/>
        <w:keepLines w:val="0"/>
        <w:pageBreakBefore w:val="0"/>
        <w:widowControl/>
        <w:shd w:val="clear" w:color="auto" w:fill="FFFFFF"/>
        <w:kinsoku/>
        <w:overflowPunct/>
        <w:topLinePunct w:val="0"/>
        <w:autoSpaceDE/>
        <w:autoSpaceDN/>
        <w:bidi w:val="0"/>
        <w:spacing w:line="560" w:lineRule="exact"/>
        <w:jc w:val="center"/>
        <w:textAlignment w:val="auto"/>
        <w:rPr>
          <w:rFonts w:ascii="宋体" w:hAnsi="宋体" w:eastAsia="宋体" w:cs="宋体"/>
          <w:b/>
          <w:color w:val="000000" w:themeColor="text1"/>
          <w:kern w:val="0"/>
          <w:sz w:val="44"/>
          <w:szCs w:val="44"/>
        </w:rPr>
      </w:pPr>
    </w:p>
    <w:p>
      <w:pPr>
        <w:keepNext w:val="0"/>
        <w:keepLines w:val="0"/>
        <w:pageBreakBefore w:val="0"/>
        <w:suppressAutoHyphens/>
        <w:kinsoku/>
        <w:overflowPunct/>
        <w:topLinePunct w:val="0"/>
        <w:autoSpaceDE/>
        <w:autoSpaceDN/>
        <w:bidi w:val="0"/>
        <w:spacing w:line="560" w:lineRule="exact"/>
        <w:ind w:firstLine="640" w:firstLineChars="200"/>
        <w:contextualSpacing/>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一、制定依据</w:t>
      </w:r>
    </w:p>
    <w:p>
      <w:pPr>
        <w:keepNext w:val="0"/>
        <w:keepLines w:val="0"/>
        <w:pageBreakBefore w:val="0"/>
        <w:suppressAutoHyphens/>
        <w:kinsoku/>
        <w:overflowPunct/>
        <w:topLinePunct w:val="0"/>
        <w:autoSpaceDE/>
        <w:autoSpaceDN/>
        <w:bidi w:val="0"/>
        <w:spacing w:line="560" w:lineRule="exact"/>
        <w:ind w:firstLine="640" w:firstLineChars="200"/>
        <w:contextualSpacing/>
        <w:textAlignment w:val="auto"/>
      </w:pPr>
      <w:r>
        <w:rPr>
          <w:rFonts w:hint="eastAsia" w:ascii="仿宋_GB2312" w:hAnsi="仿宋_GB2312" w:eastAsia="仿宋_GB2312" w:cs="仿宋_GB2312"/>
          <w:sz w:val="32"/>
          <w:szCs w:val="32"/>
        </w:rPr>
        <w:t>《深圳市鼓励跨国公司设立总部企业办法》（深府办规</w:t>
      </w:r>
      <w:r>
        <w:rPr>
          <w:rFonts w:hint="eastAsia" w:ascii="仿宋_GB2312" w:eastAsia="仿宋_GB2312"/>
          <w:bCs/>
          <w:sz w:val="32"/>
          <w:szCs w:val="32"/>
        </w:rPr>
        <w:t>〔2021〕</w:t>
      </w:r>
      <w:r>
        <w:rPr>
          <w:rFonts w:hint="eastAsia" w:ascii="仿宋_GB2312" w:hAnsi="仿宋_GB2312" w:eastAsia="仿宋_GB2312" w:cs="仿宋_GB2312"/>
          <w:sz w:val="32"/>
          <w:szCs w:val="32"/>
        </w:rPr>
        <w:t>2号）。</w:t>
      </w:r>
    </w:p>
    <w:p>
      <w:pPr>
        <w:keepNext w:val="0"/>
        <w:keepLines w:val="0"/>
        <w:pageBreakBefore w:val="0"/>
        <w:numPr>
          <w:ilvl w:val="255"/>
          <w:numId w:val="0"/>
        </w:numPr>
        <w:suppressAutoHyphens/>
        <w:kinsoku/>
        <w:overflowPunct/>
        <w:topLinePunct w:val="0"/>
        <w:autoSpaceDE/>
        <w:autoSpaceDN/>
        <w:bidi w:val="0"/>
        <w:spacing w:line="56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二、适用对象</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《深圳市跨国公司总部企业认定申报指引（202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）》中跨国公司总部企业，是指跨国公司设立的地区总部和具有总部功能的机构。</w:t>
      </w:r>
    </w:p>
    <w:p>
      <w:pPr>
        <w:keepNext w:val="0"/>
        <w:keepLines w:val="0"/>
        <w:pageBreakBefore w:val="0"/>
        <w:numPr>
          <w:ilvl w:val="255"/>
          <w:numId w:val="0"/>
        </w:numPr>
        <w:kinsoku/>
        <w:overflowPunct/>
        <w:topLinePunct w:val="0"/>
        <w:autoSpaceDE/>
        <w:autoSpaceDN/>
        <w:bidi w:val="0"/>
        <w:spacing w:line="560" w:lineRule="exact"/>
        <w:ind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（一）总部定义</w:t>
      </w:r>
    </w:p>
    <w:p>
      <w:pPr>
        <w:keepNext w:val="0"/>
        <w:keepLines w:val="0"/>
        <w:pageBreakBefore w:val="0"/>
        <w:numPr>
          <w:ilvl w:val="255"/>
          <w:numId w:val="0"/>
        </w:numPr>
        <w:kinsoku/>
        <w:overflowPunct/>
        <w:topLinePunct w:val="0"/>
        <w:autoSpaceDE/>
        <w:autoSpaceDN/>
        <w:bidi w:val="0"/>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跨国公司具有总部功能的机构是指未达到跨国公司地区总部标准，实际承担境外母公司在一个国家（或地区）以上区域内的拓展研发、销售、贸易、结算、数据等功能的外商投资企业（含分支机构）。</w:t>
      </w:r>
    </w:p>
    <w:p>
      <w:pPr>
        <w:pStyle w:val="2"/>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（二）地区总部和具有总部功能的机构不含房地产、金融及类金融等行业领域，上述行业总部认定另行按照相关行业政策执行。</w:t>
      </w:r>
    </w:p>
    <w:p>
      <w:pPr>
        <w:pStyle w:val="2"/>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（三）香港、澳门、台湾地区符合条件的跨国公司在本市设立总部企业，按照本申报指引执行。</w:t>
      </w:r>
    </w:p>
    <w:p>
      <w:pPr>
        <w:keepNext w:val="0"/>
        <w:keepLines w:val="0"/>
        <w:pageBreakBefore w:val="0"/>
        <w:numPr>
          <w:ilvl w:val="255"/>
          <w:numId w:val="0"/>
        </w:numPr>
        <w:suppressAutoHyphens/>
        <w:kinsoku/>
        <w:overflowPunct/>
        <w:topLinePunct w:val="0"/>
        <w:autoSpaceDE/>
        <w:autoSpaceDN/>
        <w:bidi w:val="0"/>
        <w:spacing w:line="56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三、申报条件</w:t>
      </w:r>
    </w:p>
    <w:p>
      <w:pPr>
        <w:keepNext w:val="0"/>
        <w:keepLines w:val="0"/>
        <w:pageBreakBefore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（一）申报地区总部应具备以下条件：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1.符合总部定义。</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2.申报企业具有独立法人资格，且注册地在深圳市内（含深汕特别合作区，下同），申报企业实缴注册资本不低于200万美元。</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3.申报企业被授权管理的境内外独立法人企业不少于2家，其中至少有1家注册在深圳市内。</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（二）申报具有总部功能的机构应具备以下条件：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1.符合总部定义。</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2.具有独立法人资格的外商投资企业或其分支机构，且注册地在深圳市内，申报企业实缴的注册资本不低于100万美元。如以分支机构形式设立的，总公司拨付的运营资金应不低于100万美元。</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3.母公司资产总额不低于1亿美元。</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4.经母公司授权，承担在一个国家（或地区）以上区域内的拓展研发、销售、贸易、结算、数据等总部功能。</w:t>
      </w:r>
    </w:p>
    <w:p>
      <w:pPr>
        <w:pStyle w:val="2"/>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eastAsia="仿宋_GB2312"/>
          <w:sz w:val="32"/>
          <w:szCs w:val="32"/>
        </w:rPr>
        <w:t>（三）</w:t>
      </w:r>
      <w:r>
        <w:rPr>
          <w:rFonts w:hint="eastAsia" w:ascii="仿宋_GB2312" w:hAnsi="仿宋_GB2312" w:eastAsia="仿宋_GB2312" w:cs="仿宋_GB2312"/>
          <w:sz w:val="32"/>
          <w:szCs w:val="32"/>
        </w:rPr>
        <w:t>申报主体未被列入失信联合惩戒名单，或至申报之日已移出失信联合惩戒名单。</w:t>
      </w:r>
    </w:p>
    <w:p>
      <w:pPr>
        <w:keepNext w:val="0"/>
        <w:keepLines w:val="0"/>
        <w:pageBreakBefore w:val="0"/>
        <w:suppressAutoHyphens/>
        <w:kinsoku/>
        <w:overflowPunct/>
        <w:topLinePunct w:val="0"/>
        <w:autoSpaceDE/>
        <w:autoSpaceDN/>
        <w:bidi w:val="0"/>
        <w:spacing w:line="56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四、申报材料</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申报企业提交以下初审材料。</w:t>
      </w:r>
    </w:p>
    <w:p>
      <w:pPr>
        <w:keepNext w:val="0"/>
        <w:keepLines w:val="0"/>
        <w:pageBreakBefore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（一）初审材料</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1.深圳市跨国公司总部企业认定申请表。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2.申报承诺书。</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3.母公司授权签字人签署的跨国公司地区总部或具有总部功能的机构基本职能的授权文件（参照《跨国公司总部企业授权书（示范文本）》）。</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4.申请企业的营业执照(</w:t>
      </w:r>
      <w:r>
        <w:rPr>
          <w:rFonts w:hint="default" w:ascii="仿宋_GB2312" w:eastAsia="仿宋_GB2312"/>
          <w:sz w:val="32"/>
          <w:szCs w:val="32"/>
        </w:rPr>
        <w:t>复印</w:t>
      </w:r>
      <w:r>
        <w:rPr>
          <w:rFonts w:hint="eastAsia" w:ascii="仿宋_GB2312" w:eastAsia="仿宋_GB2312"/>
          <w:sz w:val="32"/>
          <w:szCs w:val="32"/>
        </w:rPr>
        <w:t>件，下同)。具有总部功能的机构为分支机构的，还需提供深圳分公司营业执照及总公司拨付运营资金的证明文件。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5.母公司近一年度审计报告。</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6.被授权管理的境内外企业的营业执照或注册登记证明材料(复印件)。</w:t>
      </w:r>
    </w:p>
    <w:p>
      <w:pPr>
        <w:keepNext w:val="0"/>
        <w:keepLines w:val="0"/>
        <w:pageBreakBefore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（二）初审材料报送要求</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初审材料提交至大鹏新区科技创新和经济服务局。</w:t>
      </w:r>
    </w:p>
    <w:p>
      <w:pPr>
        <w:pStyle w:val="8"/>
        <w:keepNext w:val="0"/>
        <w:keepLines w:val="0"/>
        <w:pageBreakBefore w:val="0"/>
        <w:kinsoku/>
        <w:overflowPunct/>
        <w:topLinePunct w:val="0"/>
        <w:autoSpaceDE/>
        <w:autoSpaceDN/>
        <w:bidi w:val="0"/>
        <w:spacing w:before="0" w:beforeAutospacing="0" w:after="0" w:afterAutospacing="0" w:line="560" w:lineRule="exact"/>
        <w:ind w:firstLine="640"/>
        <w:jc w:val="both"/>
        <w:textAlignment w:val="auto"/>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color w:val="000000"/>
          <w:sz w:val="32"/>
          <w:szCs w:val="32"/>
        </w:rPr>
        <w:t>前款规定未列明提供复印件的，应当提供文件的正本。</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2.申报材料需加盖申报企业公章，多页的需加盖骑缝公章。涉及外文的，需提供中文翻译件。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3.所有材料</w:t>
      </w:r>
      <w:r>
        <w:rPr>
          <w:rFonts w:hint="default" w:ascii="仿宋_GB2312" w:eastAsia="仿宋_GB2312"/>
          <w:sz w:val="32"/>
          <w:szCs w:val="32"/>
        </w:rPr>
        <w:t>用</w:t>
      </w:r>
      <w:r>
        <w:rPr>
          <w:rFonts w:hint="eastAsia" w:ascii="仿宋_GB2312" w:eastAsia="仿宋_GB2312"/>
          <w:sz w:val="32"/>
          <w:szCs w:val="32"/>
        </w:rPr>
        <w:t>A4纸正反面打印/复印，非空白页（含封面）需连续编写页码，装订成册（胶装）。</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4.申报企业需同时提交与纸质申报材料内容、顺序一致的电子文档（统一刻录成光盘2张，PDF格式，能够进行目录索引）。</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五、受理机关</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（一）初审受理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1.受理机关：大鹏新区科技创新和经济服务局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2.受理时间：202</w:t>
      </w:r>
      <w:r>
        <w:rPr>
          <w:rFonts w:hint="default" w:ascii="仿宋_GB2312" w:eastAsia="仿宋_GB2312"/>
          <w:sz w:val="32"/>
          <w:szCs w:val="32"/>
        </w:rPr>
        <w:t>2</w:t>
      </w:r>
      <w:r>
        <w:rPr>
          <w:rFonts w:hint="eastAsia" w:ascii="仿宋_GB2312" w:eastAsia="仿宋_GB2312"/>
          <w:sz w:val="32"/>
          <w:szCs w:val="32"/>
        </w:rPr>
        <w:t>年</w:t>
      </w:r>
      <w:r>
        <w:rPr>
          <w:rFonts w:hint="default" w:ascii="仿宋_GB2312" w:eastAsia="仿宋_GB2312"/>
          <w:sz w:val="32"/>
          <w:szCs w:val="32"/>
        </w:rPr>
        <w:t>5</w:t>
      </w:r>
      <w:r>
        <w:rPr>
          <w:rFonts w:hint="eastAsia" w:ascii="仿宋_GB2312" w:eastAsia="仿宋_GB2312"/>
          <w:sz w:val="32"/>
          <w:szCs w:val="32"/>
        </w:rPr>
        <w:t>月</w:t>
      </w:r>
      <w:r>
        <w:rPr>
          <w:rFonts w:hint="default" w:ascii="仿宋_GB2312" w:eastAsia="仿宋_GB2312"/>
          <w:sz w:val="32"/>
          <w:szCs w:val="32"/>
        </w:rPr>
        <w:t>5</w:t>
      </w:r>
      <w:r>
        <w:rPr>
          <w:rFonts w:hint="eastAsia" w:ascii="仿宋_GB2312" w:eastAsia="仿宋_GB2312"/>
          <w:sz w:val="32"/>
          <w:szCs w:val="32"/>
        </w:rPr>
        <w:t>日</w:t>
      </w:r>
      <w:r>
        <w:rPr>
          <w:rFonts w:hint="default" w:ascii="仿宋_GB2312" w:eastAsia="仿宋_GB2312"/>
          <w:sz w:val="32"/>
          <w:szCs w:val="32"/>
        </w:rPr>
        <w:t>—5</w:t>
      </w:r>
      <w:r>
        <w:rPr>
          <w:rFonts w:hint="eastAsia" w:ascii="仿宋_GB2312" w:eastAsia="仿宋_GB2312"/>
          <w:sz w:val="32"/>
          <w:szCs w:val="32"/>
        </w:rPr>
        <w:t>月31日。</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3.受理地点：深圳市大鹏新区葵涌金岭路1号新区管委会5号楼5309室。</w:t>
      </w:r>
    </w:p>
    <w:p>
      <w:pPr>
        <w:pStyle w:val="2"/>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咨询电话：</w:t>
      </w:r>
      <w:r>
        <w:rPr>
          <w:rFonts w:hint="eastAsia" w:ascii="仿宋_GB2312" w:hAnsi="仿宋_GB2312" w:eastAsia="仿宋_GB2312" w:cs="仿宋_GB2312"/>
          <w:sz w:val="32"/>
          <w:szCs w:val="32"/>
        </w:rPr>
        <w:t>0755-28333241，吴先生。</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（二）复审受理</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default" w:ascii="楷体_GB2312" w:hAnsi="楷体_GB2312" w:eastAsia="楷体_GB2312" w:cs="楷体_GB2312"/>
          <w:sz w:val="32"/>
          <w:szCs w:val="32"/>
        </w:rPr>
      </w:pPr>
      <w:r>
        <w:rPr>
          <w:rFonts w:hint="eastAsia" w:ascii="仿宋_GB2312" w:eastAsia="仿宋_GB2312"/>
          <w:sz w:val="32"/>
          <w:szCs w:val="32"/>
        </w:rPr>
        <w:t>深圳市商务局</w:t>
      </w:r>
      <w:r>
        <w:rPr>
          <w:rFonts w:hint="default" w:ascii="仿宋_GB2312" w:eastAsia="仿宋_GB2312"/>
          <w:sz w:val="32"/>
          <w:szCs w:val="32"/>
        </w:rPr>
        <w:t>。</w:t>
      </w:r>
      <w:bookmarkStart w:id="0" w:name="_GoBack"/>
      <w:bookmarkEnd w:id="0"/>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六、办理流程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区商务部门发布申报通知——申报企业到区商务部门提交</w:t>
      </w:r>
      <w:r>
        <w:rPr>
          <w:rFonts w:hint="default" w:ascii="仿宋_GB2312" w:eastAsia="仿宋_GB2312"/>
          <w:sz w:val="32"/>
          <w:szCs w:val="32"/>
        </w:rPr>
        <w:t>初审</w:t>
      </w:r>
      <w:r>
        <w:rPr>
          <w:rFonts w:hint="eastAsia" w:ascii="仿宋_GB2312" w:eastAsia="仿宋_GB2312"/>
          <w:sz w:val="32"/>
          <w:szCs w:val="32"/>
        </w:rPr>
        <w:t>申报材料——区商务部门报送初审结果至市商务局——市商务局复审。</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textAlignment w:val="auto"/>
      </w:pPr>
      <w:r>
        <w:rPr>
          <w:rFonts w:hint="eastAsia" w:ascii="仿宋_GB2312" w:hAnsi="黑体" w:eastAsia="仿宋_GB2312"/>
          <w:sz w:val="32"/>
          <w:szCs w:val="32"/>
        </w:rPr>
        <w:t>经审核认定</w:t>
      </w:r>
      <w:r>
        <w:rPr>
          <w:rFonts w:ascii="仿宋_GB2312" w:hAnsi="黑体" w:eastAsia="仿宋_GB2312"/>
          <w:sz w:val="32"/>
          <w:szCs w:val="32"/>
        </w:rPr>
        <w:t>的</w:t>
      </w:r>
      <w:r>
        <w:rPr>
          <w:rFonts w:hint="eastAsia" w:ascii="仿宋_GB2312" w:hAnsi="黑体" w:eastAsia="仿宋_GB2312"/>
          <w:sz w:val="32"/>
          <w:szCs w:val="32"/>
        </w:rPr>
        <w:t>跨国公司</w:t>
      </w:r>
      <w:r>
        <w:rPr>
          <w:rFonts w:ascii="仿宋_GB2312" w:hAnsi="黑体" w:eastAsia="仿宋_GB2312"/>
          <w:sz w:val="32"/>
          <w:szCs w:val="32"/>
        </w:rPr>
        <w:t>总部企业，</w:t>
      </w:r>
      <w:r>
        <w:rPr>
          <w:rFonts w:hint="eastAsia" w:ascii="仿宋_GB2312" w:hAnsi="黑体" w:eastAsia="仿宋_GB2312"/>
          <w:sz w:val="32"/>
          <w:szCs w:val="32"/>
        </w:rPr>
        <w:t>市商务主管部门出具通知结果并颁发《</w:t>
      </w:r>
      <w:r>
        <w:rPr>
          <w:rFonts w:hint="eastAsia" w:ascii="仿宋_GB2312" w:hAnsi="仿宋_GB2312" w:eastAsia="仿宋_GB2312" w:cs="仿宋_GB2312"/>
          <w:sz w:val="32"/>
          <w:szCs w:val="32"/>
        </w:rPr>
        <w:t>深圳市跨国公司总部企业认定证书</w:t>
      </w:r>
      <w:r>
        <w:rPr>
          <w:rFonts w:hint="eastAsia" w:ascii="仿宋_GB2312" w:hAnsi="黑体" w:eastAsia="仿宋_GB2312"/>
          <w:sz w:val="32"/>
          <w:szCs w:val="32"/>
        </w:rPr>
        <w:t>》。</w:t>
      </w:r>
    </w:p>
    <w:p>
      <w:pPr>
        <w:keepNext w:val="0"/>
        <w:keepLines w:val="0"/>
        <w:pageBreakBefore w:val="0"/>
        <w:widowControl/>
        <w:kinsoku/>
        <w:overflowPunct/>
        <w:topLinePunct w:val="0"/>
        <w:autoSpaceDE/>
        <w:autoSpaceDN/>
        <w:bidi w:val="0"/>
        <w:spacing w:line="560" w:lineRule="exact"/>
        <w:ind w:firstLine="640" w:firstLineChars="200"/>
        <w:contextualSpacing/>
        <w:textAlignment w:val="auto"/>
        <w:rPr>
          <w:rFonts w:hint="default" w:ascii="黑体" w:hAnsi="黑体" w:eastAsia="黑体" w:cs="黑体"/>
          <w:sz w:val="32"/>
          <w:szCs w:val="32"/>
        </w:rPr>
      </w:pPr>
      <w:r>
        <w:rPr>
          <w:rFonts w:hint="eastAsia" w:ascii="黑体" w:hAnsi="黑体" w:eastAsia="黑体" w:cs="黑体"/>
          <w:sz w:val="32"/>
          <w:szCs w:val="32"/>
        </w:rPr>
        <w:t>八、</w:t>
      </w:r>
      <w:r>
        <w:rPr>
          <w:rFonts w:hint="default" w:ascii="黑体" w:hAnsi="黑体" w:eastAsia="黑体" w:cs="黑体"/>
          <w:sz w:val="32"/>
          <w:szCs w:val="32"/>
        </w:rPr>
        <w:t>办理时限</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（一）初审承诺办结时限</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8个工作日</w:t>
      </w:r>
      <w:r>
        <w:rPr>
          <w:rFonts w:hint="eastAsia" w:ascii="仿宋_GB2312" w:hAnsi="仿宋_GB2312" w:eastAsia="仿宋_GB2312" w:cs="仿宋_GB2312"/>
          <w:sz w:val="32"/>
          <w:szCs w:val="32"/>
        </w:rPr>
        <w:t>。</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kern w:val="0"/>
          <w:sz w:val="32"/>
          <w:szCs w:val="32"/>
        </w:rPr>
      </w:pPr>
      <w:r>
        <w:rPr>
          <w:rFonts w:hint="default" w:ascii="仿宋_GB2312" w:hAnsi="宋体" w:eastAsia="仿宋_GB2312"/>
          <w:sz w:val="32"/>
          <w:szCs w:val="32"/>
        </w:rPr>
        <w:t>（二）复</w:t>
      </w:r>
      <w:r>
        <w:rPr>
          <w:rFonts w:hint="default" w:ascii="仿宋_GB2312" w:hAnsi="仿宋_GB2312" w:eastAsia="仿宋_GB2312" w:cs="仿宋_GB2312"/>
          <w:sz w:val="32"/>
          <w:szCs w:val="32"/>
        </w:rPr>
        <w:t>审承诺办结时限</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8个工作日</w:t>
      </w:r>
      <w:r>
        <w:rPr>
          <w:rFonts w:hint="eastAsia" w:ascii="仿宋_GB2312" w:hAnsi="仿宋_GB2312" w:eastAsia="仿宋_GB2312" w:cs="仿宋_GB2312"/>
          <w:sz w:val="32"/>
          <w:szCs w:val="32"/>
        </w:rPr>
        <w:t>。</w:t>
      </w:r>
    </w:p>
    <w:p>
      <w:pPr>
        <w:pStyle w:val="2"/>
        <w:ind w:firstLine="210"/>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0184"/>
    <w:rsid w:val="00050184"/>
    <w:rsid w:val="00091F61"/>
    <w:rsid w:val="000A12A7"/>
    <w:rsid w:val="000B23C9"/>
    <w:rsid w:val="000B3706"/>
    <w:rsid w:val="000D1E45"/>
    <w:rsid w:val="000D3921"/>
    <w:rsid w:val="000E191E"/>
    <w:rsid w:val="000E74E1"/>
    <w:rsid w:val="00113008"/>
    <w:rsid w:val="00146FD7"/>
    <w:rsid w:val="001473FC"/>
    <w:rsid w:val="00165A4D"/>
    <w:rsid w:val="00167A19"/>
    <w:rsid w:val="0018484F"/>
    <w:rsid w:val="00186EC0"/>
    <w:rsid w:val="001E6CF3"/>
    <w:rsid w:val="002236CE"/>
    <w:rsid w:val="002B7AD5"/>
    <w:rsid w:val="002E24F7"/>
    <w:rsid w:val="002E5CDC"/>
    <w:rsid w:val="003013CD"/>
    <w:rsid w:val="00302A2A"/>
    <w:rsid w:val="00311447"/>
    <w:rsid w:val="00327969"/>
    <w:rsid w:val="00344E48"/>
    <w:rsid w:val="00377D89"/>
    <w:rsid w:val="00380444"/>
    <w:rsid w:val="0038358F"/>
    <w:rsid w:val="003C29C0"/>
    <w:rsid w:val="003D006D"/>
    <w:rsid w:val="00401033"/>
    <w:rsid w:val="0040722B"/>
    <w:rsid w:val="00444417"/>
    <w:rsid w:val="00447E48"/>
    <w:rsid w:val="00465A8A"/>
    <w:rsid w:val="004853BE"/>
    <w:rsid w:val="004B68AC"/>
    <w:rsid w:val="005068BD"/>
    <w:rsid w:val="0053745E"/>
    <w:rsid w:val="005432F3"/>
    <w:rsid w:val="005879E6"/>
    <w:rsid w:val="005B109F"/>
    <w:rsid w:val="005B603C"/>
    <w:rsid w:val="005D2812"/>
    <w:rsid w:val="00610B4A"/>
    <w:rsid w:val="00616F08"/>
    <w:rsid w:val="006241BB"/>
    <w:rsid w:val="00661D34"/>
    <w:rsid w:val="00662AC1"/>
    <w:rsid w:val="006942A7"/>
    <w:rsid w:val="006B0E1E"/>
    <w:rsid w:val="006C22B7"/>
    <w:rsid w:val="006C3C48"/>
    <w:rsid w:val="006C4EF3"/>
    <w:rsid w:val="006E5EFD"/>
    <w:rsid w:val="00724FE1"/>
    <w:rsid w:val="00742945"/>
    <w:rsid w:val="00782724"/>
    <w:rsid w:val="00796430"/>
    <w:rsid w:val="007A027F"/>
    <w:rsid w:val="007C265D"/>
    <w:rsid w:val="007C2B83"/>
    <w:rsid w:val="007D1888"/>
    <w:rsid w:val="007F7CF3"/>
    <w:rsid w:val="00811C06"/>
    <w:rsid w:val="0082352A"/>
    <w:rsid w:val="00824EE6"/>
    <w:rsid w:val="00843181"/>
    <w:rsid w:val="00864D99"/>
    <w:rsid w:val="008719D3"/>
    <w:rsid w:val="00887EDB"/>
    <w:rsid w:val="008B61FD"/>
    <w:rsid w:val="008D3901"/>
    <w:rsid w:val="008D3D44"/>
    <w:rsid w:val="009241CD"/>
    <w:rsid w:val="00936DB0"/>
    <w:rsid w:val="00940EC1"/>
    <w:rsid w:val="00945424"/>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E1F90"/>
    <w:rsid w:val="00C01605"/>
    <w:rsid w:val="00C143CF"/>
    <w:rsid w:val="00C3742A"/>
    <w:rsid w:val="00C4301D"/>
    <w:rsid w:val="00C51103"/>
    <w:rsid w:val="00C53216"/>
    <w:rsid w:val="00C54055"/>
    <w:rsid w:val="00C97402"/>
    <w:rsid w:val="00CA5A4B"/>
    <w:rsid w:val="00CB0F10"/>
    <w:rsid w:val="00CE0B99"/>
    <w:rsid w:val="00CE16C8"/>
    <w:rsid w:val="00CF5951"/>
    <w:rsid w:val="00D0574C"/>
    <w:rsid w:val="00D30BDE"/>
    <w:rsid w:val="00DE5BF0"/>
    <w:rsid w:val="00E23151"/>
    <w:rsid w:val="00EB15A2"/>
    <w:rsid w:val="00ED1EDF"/>
    <w:rsid w:val="00EE53BE"/>
    <w:rsid w:val="00EF414C"/>
    <w:rsid w:val="00F04F86"/>
    <w:rsid w:val="00F41891"/>
    <w:rsid w:val="00F437DC"/>
    <w:rsid w:val="00F55996"/>
    <w:rsid w:val="00F60AB0"/>
    <w:rsid w:val="00F73F12"/>
    <w:rsid w:val="00FB3061"/>
    <w:rsid w:val="00FC444B"/>
    <w:rsid w:val="00FD1594"/>
    <w:rsid w:val="00FE5102"/>
    <w:rsid w:val="00FE5F9D"/>
    <w:rsid w:val="01AD4CE6"/>
    <w:rsid w:val="02795248"/>
    <w:rsid w:val="02A627C1"/>
    <w:rsid w:val="0500262A"/>
    <w:rsid w:val="05051B0A"/>
    <w:rsid w:val="05537B47"/>
    <w:rsid w:val="06342E45"/>
    <w:rsid w:val="084D5B55"/>
    <w:rsid w:val="0C1A7613"/>
    <w:rsid w:val="0C43359F"/>
    <w:rsid w:val="0C4466DB"/>
    <w:rsid w:val="0EAE0CCC"/>
    <w:rsid w:val="0F2521E2"/>
    <w:rsid w:val="0F930D65"/>
    <w:rsid w:val="10421803"/>
    <w:rsid w:val="108D72AB"/>
    <w:rsid w:val="114843E9"/>
    <w:rsid w:val="186D45FD"/>
    <w:rsid w:val="193E5447"/>
    <w:rsid w:val="19E71B49"/>
    <w:rsid w:val="1B220825"/>
    <w:rsid w:val="1DA773ED"/>
    <w:rsid w:val="1E2E4381"/>
    <w:rsid w:val="1EF33A6E"/>
    <w:rsid w:val="22F74E2A"/>
    <w:rsid w:val="24513340"/>
    <w:rsid w:val="24745936"/>
    <w:rsid w:val="25BB113D"/>
    <w:rsid w:val="25DF262E"/>
    <w:rsid w:val="2A9D1DE1"/>
    <w:rsid w:val="2B0932A1"/>
    <w:rsid w:val="2B0C2BCF"/>
    <w:rsid w:val="2DF64C59"/>
    <w:rsid w:val="2E925D99"/>
    <w:rsid w:val="3013018A"/>
    <w:rsid w:val="30832CB1"/>
    <w:rsid w:val="31066D72"/>
    <w:rsid w:val="3191439E"/>
    <w:rsid w:val="31B8615D"/>
    <w:rsid w:val="331602C6"/>
    <w:rsid w:val="334417EE"/>
    <w:rsid w:val="3373623F"/>
    <w:rsid w:val="34465609"/>
    <w:rsid w:val="35734DF8"/>
    <w:rsid w:val="37F65315"/>
    <w:rsid w:val="383778E2"/>
    <w:rsid w:val="3877374E"/>
    <w:rsid w:val="3A5E57A5"/>
    <w:rsid w:val="3A9426D9"/>
    <w:rsid w:val="3B1A4D89"/>
    <w:rsid w:val="3DA4558E"/>
    <w:rsid w:val="3E5D10A0"/>
    <w:rsid w:val="3FF43854"/>
    <w:rsid w:val="44037A57"/>
    <w:rsid w:val="4433475F"/>
    <w:rsid w:val="448B68A0"/>
    <w:rsid w:val="4576299B"/>
    <w:rsid w:val="48F72B9F"/>
    <w:rsid w:val="4B3204D8"/>
    <w:rsid w:val="4C314463"/>
    <w:rsid w:val="4C4C758C"/>
    <w:rsid w:val="4E1A0932"/>
    <w:rsid w:val="4EA153E0"/>
    <w:rsid w:val="4EC13B44"/>
    <w:rsid w:val="4F2B7F96"/>
    <w:rsid w:val="50DA46F4"/>
    <w:rsid w:val="515042EF"/>
    <w:rsid w:val="52B2673E"/>
    <w:rsid w:val="538263A4"/>
    <w:rsid w:val="56C86CFA"/>
    <w:rsid w:val="578759AF"/>
    <w:rsid w:val="588D1E1B"/>
    <w:rsid w:val="5B4BDE32"/>
    <w:rsid w:val="5DB8E431"/>
    <w:rsid w:val="5E8D1686"/>
    <w:rsid w:val="5F201B93"/>
    <w:rsid w:val="61081819"/>
    <w:rsid w:val="6210104E"/>
    <w:rsid w:val="63374451"/>
    <w:rsid w:val="651E4196"/>
    <w:rsid w:val="66C75156"/>
    <w:rsid w:val="67636B31"/>
    <w:rsid w:val="67946910"/>
    <w:rsid w:val="67C834E2"/>
    <w:rsid w:val="682C2E42"/>
    <w:rsid w:val="68520B5D"/>
    <w:rsid w:val="685A00F1"/>
    <w:rsid w:val="688A0BA2"/>
    <w:rsid w:val="6AAC52A9"/>
    <w:rsid w:val="6B075DE5"/>
    <w:rsid w:val="6D4D6C29"/>
    <w:rsid w:val="6DA90A44"/>
    <w:rsid w:val="6DC1661E"/>
    <w:rsid w:val="6EFA1F6D"/>
    <w:rsid w:val="70C77531"/>
    <w:rsid w:val="70C91E08"/>
    <w:rsid w:val="725209E5"/>
    <w:rsid w:val="73093199"/>
    <w:rsid w:val="73C77947"/>
    <w:rsid w:val="74B51BD9"/>
    <w:rsid w:val="74FD517F"/>
    <w:rsid w:val="752E35F1"/>
    <w:rsid w:val="75FA8CE7"/>
    <w:rsid w:val="76FE920B"/>
    <w:rsid w:val="77C540F9"/>
    <w:rsid w:val="78F419F9"/>
    <w:rsid w:val="7A82635A"/>
    <w:rsid w:val="7B7F3064"/>
    <w:rsid w:val="7BDF39ED"/>
    <w:rsid w:val="7C027E7B"/>
    <w:rsid w:val="7C6C504F"/>
    <w:rsid w:val="7CF66391"/>
    <w:rsid w:val="7E26741D"/>
    <w:rsid w:val="7E7F7BDD"/>
    <w:rsid w:val="7FF98FCB"/>
    <w:rsid w:val="BBFB9516"/>
    <w:rsid w:val="BCFF47A2"/>
    <w:rsid w:val="BF7E717B"/>
    <w:rsid w:val="C2ABA943"/>
    <w:rsid w:val="DA7F8BE1"/>
    <w:rsid w:val="FBDF7F56"/>
    <w:rsid w:val="FEB76413"/>
    <w:rsid w:val="FEF75970"/>
    <w:rsid w:val="FF6F0312"/>
    <w:rsid w:val="FFCF1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2"/>
    <w:rPr>
      <w:rFonts w:ascii="仿宋_GB2312" w:hAnsi="仿宋_GB2312" w:cs="仿宋_GB231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954F72" w:themeColor="followedHyperlink"/>
      <w:u w:val="single"/>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apple-converted-space"/>
    <w:basedOn w:val="11"/>
    <w:qFormat/>
    <w:uiPriority w:val="0"/>
  </w:style>
  <w:style w:type="paragraph" w:customStyle="1" w:styleId="16">
    <w:name w:val="z-窗体顶端1"/>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1"/>
    <w:link w:val="16"/>
    <w:semiHidden/>
    <w:qFormat/>
    <w:uiPriority w:val="99"/>
    <w:rPr>
      <w:rFonts w:ascii="Arial" w:hAnsi="Arial" w:eastAsia="宋体" w:cs="Arial"/>
      <w:vanish/>
      <w:kern w:val="0"/>
      <w:sz w:val="16"/>
      <w:szCs w:val="16"/>
    </w:rPr>
  </w:style>
  <w:style w:type="paragraph" w:customStyle="1" w:styleId="18">
    <w:name w:val="z-窗体底端1"/>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1"/>
    <w:link w:val="18"/>
    <w:semiHidden/>
    <w:qFormat/>
    <w:uiPriority w:val="99"/>
    <w:rPr>
      <w:rFonts w:ascii="Arial" w:hAnsi="Arial" w:eastAsia="宋体" w:cs="Arial"/>
      <w:vanish/>
      <w:kern w:val="0"/>
      <w:sz w:val="16"/>
      <w:szCs w:val="16"/>
    </w:rPr>
  </w:style>
  <w:style w:type="character" w:customStyle="1" w:styleId="20">
    <w:name w:val="da"/>
    <w:basedOn w:val="11"/>
    <w:qFormat/>
    <w:uiPriority w:val="0"/>
  </w:style>
  <w:style w:type="character" w:customStyle="1" w:styleId="21">
    <w:name w:val="zhong"/>
    <w:basedOn w:val="11"/>
    <w:qFormat/>
    <w:uiPriority w:val="0"/>
  </w:style>
  <w:style w:type="character" w:customStyle="1" w:styleId="22">
    <w:name w:val="xiao"/>
    <w:basedOn w:val="11"/>
    <w:qFormat/>
    <w:uiPriority w:val="0"/>
  </w:style>
  <w:style w:type="character" w:customStyle="1" w:styleId="23">
    <w:name w:val="页眉 Char"/>
    <w:basedOn w:val="11"/>
    <w:link w:val="6"/>
    <w:qFormat/>
    <w:uiPriority w:val="99"/>
    <w:rPr>
      <w:sz w:val="18"/>
      <w:szCs w:val="18"/>
    </w:rPr>
  </w:style>
  <w:style w:type="character" w:customStyle="1" w:styleId="24">
    <w:name w:val="页脚 Char"/>
    <w:basedOn w:val="11"/>
    <w:link w:val="5"/>
    <w:qFormat/>
    <w:uiPriority w:val="99"/>
    <w:rPr>
      <w:sz w:val="18"/>
      <w:szCs w:val="18"/>
    </w:rPr>
  </w:style>
  <w:style w:type="character" w:customStyle="1" w:styleId="25">
    <w:name w:val="批注框文本 Char"/>
    <w:basedOn w:val="11"/>
    <w:link w:val="4"/>
    <w:semiHidden/>
    <w:qFormat/>
    <w:uiPriority w:val="99"/>
    <w:rPr>
      <w:sz w:val="18"/>
      <w:szCs w:val="18"/>
    </w:rPr>
  </w:style>
  <w:style w:type="paragraph" w:customStyle="1" w:styleId="26">
    <w:name w:val="Table Paragraph"/>
    <w:basedOn w:val="1"/>
    <w:qFormat/>
    <w:uiPriority w:val="1"/>
    <w:rPr>
      <w:rFonts w:ascii="宋体" w:hAnsi="宋体" w:eastAsia="宋体" w:cs="宋体"/>
      <w:lang w:val="zh-CN" w:bidi="zh-CN"/>
    </w:rPr>
  </w:style>
  <w:style w:type="paragraph" w:customStyle="1" w:styleId="27">
    <w:name w:val="文件正文"/>
    <w:basedOn w:val="7"/>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261</Words>
  <Characters>1492</Characters>
  <Lines>12</Lines>
  <Paragraphs>3</Paragraphs>
  <TotalTime>2</TotalTime>
  <ScaleCrop>false</ScaleCrop>
  <LinksUpToDate>false</LinksUpToDate>
  <CharactersWithSpaces>1750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2018-05-20T22:36:00Z</dcterms:created>
  <dc:creator>Administrator</dc:creator>
  <cp:lastModifiedBy>黎恩</cp:lastModifiedBy>
  <cp:lastPrinted>2021-02-21T17:29:00Z</cp:lastPrinted>
  <dcterms:modified xsi:type="dcterms:W3CDTF">2022-04-28T15:26:20Z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