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left="0" w:leftChars="0" w:firstLine="0" w:firstLineChars="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大鹏新区旅游统计月度指标表</w:t>
      </w:r>
    </w:p>
    <w:p>
      <w:pPr>
        <w:widowControl w:val="0"/>
        <w:spacing w:after="0" w:line="240" w:lineRule="auto"/>
        <w:ind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cs="仿宋_GB2312"/>
          <w:b/>
          <w:sz w:val="28"/>
          <w:szCs w:val="28"/>
          <w:lang w:val="en-US" w:eastAsia="zh-CN"/>
        </w:rPr>
        <w:t>2023</w:t>
      </w:r>
      <w:r>
        <w:rPr>
          <w:rFonts w:hint="eastAsia" w:ascii="仿宋_GB2312" w:hAnsi="仿宋_GB2312" w:eastAsia="仿宋_GB2312" w:cs="仿宋_GB2312"/>
          <w:b/>
          <w:sz w:val="28"/>
          <w:szCs w:val="28"/>
        </w:rPr>
        <w:t>年</w:t>
      </w:r>
      <w:r>
        <w:rPr>
          <w:rFonts w:hint="eastAsia" w:ascii="仿宋_GB2312" w:hAnsi="仿宋_GB2312" w:cs="仿宋_GB2312"/>
          <w:b/>
          <w:sz w:val="28"/>
          <w:szCs w:val="28"/>
          <w:lang w:val="en-US" w:eastAsia="zh-CN"/>
        </w:rPr>
        <w:t>8</w:t>
      </w:r>
      <w:r>
        <w:rPr>
          <w:rFonts w:hint="eastAsia" w:ascii="仿宋_GB2312" w:hAnsi="仿宋_GB2312" w:eastAsia="仿宋_GB2312" w:cs="仿宋_GB2312"/>
          <w:b/>
          <w:sz w:val="28"/>
          <w:szCs w:val="28"/>
        </w:rPr>
        <w:t>月份</w:t>
      </w:r>
      <w:r>
        <w:rPr>
          <w:rFonts w:hint="eastAsia" w:ascii="仿宋_GB2312" w:hAnsi="仿宋_GB2312" w:cs="仿宋_GB2312"/>
          <w:b/>
          <w:sz w:val="28"/>
          <w:szCs w:val="28"/>
          <w:lang w:eastAsia="zh-CN"/>
        </w:rPr>
        <w:t>数据</w:t>
      </w:r>
      <w:r>
        <w:rPr>
          <w:rFonts w:hint="eastAsia" w:ascii="仿宋_GB2312" w:hAnsi="仿宋_GB2312" w:eastAsia="仿宋_GB2312" w:cs="仿宋_GB2312"/>
          <w:b/>
          <w:sz w:val="28"/>
          <w:szCs w:val="28"/>
        </w:rPr>
        <w:t>】</w:t>
      </w:r>
    </w:p>
    <w:tbl>
      <w:tblPr>
        <w:tblStyle w:val="2"/>
        <w:tblW w:w="1463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gridCol w:w="240"/>
      </w:tblGrid>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cs="仿宋_GB2312"/>
                <w:b/>
                <w:bCs/>
                <w:color w:val="000000"/>
                <w:kern w:val="0"/>
                <w:sz w:val="21"/>
                <w:szCs w:val="21"/>
                <w:lang w:val="en-US" w:eastAsia="zh-CN"/>
              </w:rPr>
              <w:t>2023</w:t>
            </w:r>
            <w:r>
              <w:rPr>
                <w:rFonts w:hint="eastAsia" w:ascii="仿宋_GB2312" w:hAnsi="仿宋_GB2312" w:eastAsia="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累计同比（%）</w:t>
            </w:r>
          </w:p>
        </w:tc>
        <w:tc>
          <w:tcPr>
            <w:tcW w:w="240" w:type="dxa"/>
            <w:tcBorders>
              <w:top w:val="nil"/>
              <w:left w:val="nil"/>
              <w:bottom w:val="nil"/>
              <w:right w:val="nil"/>
            </w:tcBorders>
            <w:noWrap/>
            <w:vAlign w:val="bottom"/>
          </w:tcPr>
          <w:p>
            <w:pPr>
              <w:widowControl/>
              <w:spacing w:after="0" w:line="240" w:lineRule="auto"/>
              <w:ind w:firstLine="0" w:firstLineChars="0"/>
              <w:jc w:val="center"/>
              <w:rPr>
                <w:rFonts w:hint="eastAsia"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2"/>
                <w:lang w:val="en-US" w:eastAsia="zh-CN"/>
              </w:rPr>
              <w:t>1.</w:t>
            </w:r>
            <w:r>
              <w:rPr>
                <w:rFonts w:hint="eastAsia" w:ascii="仿宋_GB2312" w:hAnsi="仿宋_GB2312" w:eastAsia="仿宋_GB2312" w:cs="仿宋_GB2312"/>
                <w:b/>
                <w:bCs/>
                <w:color w:val="000000"/>
                <w:kern w:val="0"/>
                <w:sz w:val="22"/>
              </w:rPr>
              <w:t>接待总人数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190.96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168.23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13.51%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1129.73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941.99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19.93%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国内游客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183.81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163.80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12.22%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1097.28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913.46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20.12%</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入境游客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61.40%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32.45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13.77%</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137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w:t>
            </w:r>
            <w:r>
              <w:rPr>
                <w:rFonts w:hint="eastAsia" w:ascii="仿宋_GB2312" w:hAnsi="仿宋_GB2312" w:cs="仿宋_GB2312"/>
                <w:color w:val="000000"/>
                <w:kern w:val="0"/>
                <w:sz w:val="22"/>
                <w:lang w:eastAsia="zh-CN"/>
              </w:rPr>
              <w:t>市内、市外（省内外）</w:t>
            </w:r>
            <w:r>
              <w:rPr>
                <w:rFonts w:hint="eastAsia" w:ascii="仿宋_GB2312" w:hAnsi="仿宋_GB2312" w:eastAsia="仿宋_GB2312" w:cs="仿宋_GB2312"/>
                <w:color w:val="000000"/>
                <w:kern w:val="0"/>
                <w:sz w:val="22"/>
              </w:rPr>
              <w:t>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内游客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74.72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93.09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-19.73%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476.75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462.88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3.00%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12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外游客</w:t>
            </w:r>
          </w:p>
        </w:tc>
        <w:tc>
          <w:tcPr>
            <w:tcW w:w="6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省内</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72.87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43.49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67.54%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303.75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211.56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43.57%</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12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6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省外</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43.37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31.64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37.07%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349.24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216.72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61.15%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过夜游客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33.37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16.30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104.72%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147.84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97.21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53.11%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一日游游客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157.59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151.93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979.89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844.78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16.11%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2"/>
                <w:lang w:val="en-US" w:eastAsia="zh-CN"/>
              </w:rPr>
              <w:t>2.</w:t>
            </w:r>
            <w:r>
              <w:rPr>
                <w:rFonts w:hint="eastAsia" w:ascii="仿宋_GB2312" w:hAnsi="仿宋_GB2312" w:eastAsia="仿宋_GB2312" w:cs="仿宋_GB2312"/>
                <w:b/>
                <w:bCs/>
                <w:color w:val="000000"/>
                <w:kern w:val="0"/>
                <w:sz w:val="22"/>
              </w:rPr>
              <w:t>国内旅游业总收入</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12.54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37.40%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61.36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26.10%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内旅游收入</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19.52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18.67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外旅游收入</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r>
              <w:rPr>
                <w:rFonts w:hint="eastAsia" w:ascii="仿宋_GB2312" w:hAnsi="仿宋_GB2312" w:cs="仿宋_GB2312"/>
                <w:color w:val="000000"/>
                <w:kern w:val="0"/>
                <w:sz w:val="22"/>
                <w:lang w:eastAsia="zh-CN"/>
              </w:rPr>
              <w:t>省内</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18.89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13.50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33.19%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r>
              <w:rPr>
                <w:rFonts w:hint="eastAsia" w:ascii="仿宋_GB2312" w:hAnsi="仿宋_GB2312" w:cs="仿宋_GB2312"/>
                <w:color w:val="000000"/>
                <w:kern w:val="0"/>
                <w:sz w:val="22"/>
                <w:lang w:eastAsia="zh-CN"/>
              </w:rPr>
              <w:t>省外</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亿</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37.96%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22.98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14.32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62.50%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lang w:eastAsia="zh-CN"/>
              </w:rPr>
            </w:pPr>
            <w:r>
              <w:rPr>
                <w:rFonts w:hint="eastAsia" w:ascii="仿宋_GB2312" w:hAnsi="仿宋_GB2312" w:cs="仿宋_GB2312"/>
                <w:b/>
                <w:bCs/>
                <w:color w:val="000000"/>
                <w:kern w:val="0"/>
                <w:sz w:val="22"/>
                <w:lang w:val="en-US" w:eastAsia="zh-CN"/>
              </w:rPr>
              <w:t>3.</w:t>
            </w:r>
            <w:r>
              <w:rPr>
                <w:rFonts w:hint="eastAsia" w:ascii="仿宋_GB2312" w:hAnsi="仿宋_GB2312" w:eastAsia="仿宋_GB2312" w:cs="仿宋_GB2312"/>
                <w:b/>
                <w:bCs/>
                <w:color w:val="000000"/>
                <w:kern w:val="0"/>
                <w:sz w:val="22"/>
                <w:lang w:eastAsia="zh-CN"/>
              </w:rPr>
              <w:t>热门旅游片区接待人数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highlight w:val="none"/>
                <w:lang w:val="en-US" w:eastAsia="zh-CN"/>
              </w:rPr>
              <w:t>160.27</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96.19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highlight w:val="none"/>
                <w:lang w:val="en-US" w:eastAsia="zh-CN"/>
              </w:rPr>
              <w:t>66.62%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highlight w:val="none"/>
                <w:lang w:val="en-US" w:eastAsia="zh-CN"/>
              </w:rPr>
              <w:t>968.86</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684.36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highlight w:val="none"/>
                <w:lang w:val="en-US" w:eastAsia="zh-CN"/>
              </w:rPr>
              <w:t>41.57%</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大鹏所城</w:t>
            </w:r>
            <w:r>
              <w:rPr>
                <w:rFonts w:hint="eastAsia" w:ascii="仿宋_GB2312" w:hAnsi="仿宋_GB2312" w:eastAsia="仿宋_GB2312" w:cs="仿宋_GB2312"/>
                <w:color w:val="000000"/>
                <w:kern w:val="0"/>
                <w:sz w:val="22"/>
                <w:lang w:val="en-US" w:eastAsia="zh-CN"/>
              </w:rPr>
              <w:t>-较场尾片</w:t>
            </w:r>
            <w:r>
              <w:rPr>
                <w:rFonts w:hint="eastAsia" w:ascii="仿宋_GB2312" w:hAnsi="仿宋_GB2312" w:eastAsia="仿宋_GB2312" w:cs="仿宋_GB2312"/>
                <w:color w:val="000000"/>
                <w:kern w:val="0"/>
                <w:sz w:val="22"/>
              </w:rPr>
              <w:t>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47.28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29.70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59.20%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308.30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196.05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57.26%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玫瑰海岸片区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36.14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49.59%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216.29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174.21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20.98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11.93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75.89%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129.05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90.64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42.38%</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1"/>
                <w:szCs w:val="21"/>
                <w:lang w:val="en-US" w:eastAsia="zh-CN"/>
              </w:rPr>
              <w:t>2023</w:t>
            </w:r>
            <w:r>
              <w:rPr>
                <w:rFonts w:hint="eastAsia" w:ascii="仿宋_GB2312" w:hAnsi="仿宋_GB2312" w:eastAsia="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8</w:t>
            </w:r>
            <w:r>
              <w:rPr>
                <w:rFonts w:hint="eastAsia" w:ascii="仿宋_GB2312" w:hAnsi="仿宋_GB2312" w:eastAsia="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累计同比（%）</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官湖片区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5.99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4.13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45.10%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43.18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34.73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24.33%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杨梅坑片区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27.78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11.73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136.81%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155.14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78.52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97.58%</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86.91%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92.85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71.80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29.32%</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东涌片区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62.07%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49.40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36.16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36.62%</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金沙湾片区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48.52%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48.86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31.32</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56.00%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坝光片区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-48.52%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19.04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26.66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-28.59%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left"/>
              <w:textAlignment w:val="center"/>
              <w:rPr>
                <w:rFonts w:hint="eastAsia" w:ascii="仿宋_GB2312" w:hAnsi="仿宋_GB2312" w:eastAsia="仿宋_GB2312" w:cs="仿宋_GB2312"/>
                <w:color w:val="000000"/>
                <w:kern w:val="0"/>
                <w:sz w:val="22"/>
              </w:rPr>
            </w:pPr>
            <w:r>
              <w:rPr>
                <w:rFonts w:hint="eastAsia" w:ascii="仿宋_GB2312" w:hAnsi="仿宋_GB2312" w:cs="仿宋_GB2312"/>
                <w:b/>
                <w:bCs/>
                <w:i w:val="0"/>
                <w:iCs w:val="0"/>
                <w:color w:val="000000"/>
                <w:kern w:val="0"/>
                <w:sz w:val="22"/>
                <w:szCs w:val="22"/>
                <w:u w:val="none"/>
                <w:lang w:val="en-US" w:eastAsia="zh-CN" w:bidi="ar"/>
              </w:rPr>
              <w:t>4.</w:t>
            </w:r>
            <w:r>
              <w:rPr>
                <w:rFonts w:hint="eastAsia" w:ascii="仿宋_GB2312" w:hAnsi="仿宋_GB2312" w:eastAsia="仿宋_GB2312" w:cs="仿宋_GB2312"/>
                <w:b/>
                <w:bCs/>
                <w:i w:val="0"/>
                <w:iCs w:val="0"/>
                <w:color w:val="000000"/>
                <w:kern w:val="0"/>
                <w:sz w:val="22"/>
                <w:szCs w:val="22"/>
                <w:u w:val="none"/>
                <w:lang w:val="en-US" w:eastAsia="zh-CN" w:bidi="ar"/>
              </w:rPr>
              <w:t>收费景区（景点）</w:t>
            </w:r>
            <w:r>
              <w:rPr>
                <w:rFonts w:hint="eastAsia" w:ascii="仿宋_GB2312" w:hAnsi="仿宋_GB2312" w:cs="仿宋_GB2312"/>
                <w:b/>
                <w:bCs/>
                <w:i w:val="0"/>
                <w:iCs w:val="0"/>
                <w:color w:val="000000"/>
                <w:kern w:val="0"/>
                <w:sz w:val="22"/>
                <w:szCs w:val="22"/>
                <w:u w:val="none"/>
                <w:lang w:val="en-US" w:eastAsia="zh-CN" w:bidi="ar"/>
              </w:rPr>
              <w:t>入园</w:t>
            </w:r>
            <w:r>
              <w:rPr>
                <w:rFonts w:hint="eastAsia" w:ascii="仿宋_GB2312" w:hAnsi="仿宋_GB2312" w:eastAsia="仿宋_GB2312" w:cs="仿宋_GB2312"/>
                <w:b/>
                <w:bCs/>
                <w:i w:val="0"/>
                <w:iCs w:val="0"/>
                <w:color w:val="000000"/>
                <w:kern w:val="0"/>
                <w:sz w:val="22"/>
                <w:szCs w:val="22"/>
                <w:u w:val="none"/>
                <w:lang w:val="en-US" w:eastAsia="zh-CN" w:bidi="ar"/>
              </w:rPr>
              <w:t>人数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b/>
                <w:bCs/>
                <w:color w:val="000000"/>
                <w:kern w:val="0"/>
                <w:sz w:val="22"/>
              </w:rPr>
              <w:t>人</w:t>
            </w:r>
            <w:r>
              <w:rPr>
                <w:rFonts w:hint="eastAsia" w:ascii="仿宋_GB2312" w:hAnsi="仿宋_GB2312" w:cs="仿宋_GB2312"/>
                <w:b/>
                <w:bCs/>
                <w:color w:val="000000"/>
                <w:kern w:val="0"/>
                <w:sz w:val="22"/>
                <w:lang w:val="en-US" w:eastAsia="zh-CN"/>
              </w:rPr>
              <w:t xml:space="preserve"> </w:t>
            </w:r>
            <w:r>
              <w:rPr>
                <w:rFonts w:hint="eastAsia" w:ascii="仿宋_GB2312" w:hAnsi="仿宋_GB2312" w:cs="仿宋_GB2312"/>
                <w:b/>
                <w:bCs/>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358894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203350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76.49%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1146105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816073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40.44%</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玫瑰海岸文化旅游度假区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97632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57948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68.48%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457647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282385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62.06%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中信金沙湾水世界</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35562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21202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67.70%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86858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50188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73.10%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61"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西涌滨海旅游度假区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189800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95800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98.12%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501800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394500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27.19%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东涌滨海旅游度假区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35900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28400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26.41%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99800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89000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12.13%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left"/>
              <w:textAlignment w:val="center"/>
              <w:rPr>
                <w:rFonts w:hint="eastAsia" w:ascii="仿宋_GB2312" w:hAnsi="仿宋_GB2312" w:eastAsia="仿宋_GB2312" w:cs="仿宋_GB2312"/>
                <w:b/>
                <w:bCs/>
                <w:color w:val="000000"/>
                <w:kern w:val="0"/>
                <w:sz w:val="22"/>
              </w:rPr>
            </w:pPr>
            <w:r>
              <w:rPr>
                <w:rFonts w:hint="eastAsia" w:ascii="仿宋_GB2312" w:hAnsi="仿宋_GB2312" w:cs="仿宋_GB2312"/>
                <w:b/>
                <w:bCs/>
                <w:i w:val="0"/>
                <w:iCs w:val="0"/>
                <w:color w:val="000000"/>
                <w:sz w:val="22"/>
                <w:szCs w:val="22"/>
                <w:u w:val="none"/>
                <w:lang w:val="en-US" w:eastAsia="zh-CN"/>
              </w:rPr>
              <w:t>5.</w:t>
            </w:r>
            <w:r>
              <w:rPr>
                <w:rFonts w:hint="eastAsia" w:ascii="仿宋_GB2312" w:hAnsi="仿宋_GB2312" w:eastAsia="仿宋_GB2312" w:cs="仿宋_GB2312"/>
                <w:b/>
                <w:bCs/>
                <w:i w:val="0"/>
                <w:iCs w:val="0"/>
                <w:color w:val="000000"/>
                <w:sz w:val="22"/>
                <w:szCs w:val="22"/>
                <w:u w:val="none"/>
                <w:lang w:val="en-US" w:eastAsia="zh-CN"/>
              </w:rPr>
              <w:t>住宿业</w:t>
            </w:r>
            <w:r>
              <w:rPr>
                <w:rFonts w:hint="eastAsia" w:ascii="仿宋_GB2312" w:hAnsi="仿宋_GB2312" w:cs="仿宋_GB2312"/>
                <w:b/>
                <w:bCs/>
                <w:i w:val="0"/>
                <w:iCs w:val="0"/>
                <w:color w:val="000000"/>
                <w:sz w:val="22"/>
                <w:szCs w:val="22"/>
                <w:u w:val="none"/>
                <w:lang w:val="en-US" w:eastAsia="zh-CN"/>
              </w:rPr>
              <w:t>入住</w:t>
            </w:r>
            <w:r>
              <w:rPr>
                <w:rFonts w:hint="eastAsia" w:ascii="仿宋_GB2312" w:hAnsi="仿宋_GB2312" w:eastAsia="仿宋_GB2312" w:cs="仿宋_GB2312"/>
                <w:b/>
                <w:bCs/>
                <w:i w:val="0"/>
                <w:iCs w:val="0"/>
                <w:color w:val="000000"/>
                <w:sz w:val="22"/>
                <w:szCs w:val="22"/>
                <w:u w:val="none"/>
                <w:lang w:val="en-US" w:eastAsia="zh-CN"/>
              </w:rPr>
              <w:t>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309488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205273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50.77%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9986147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8138509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22.70%</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民宿</w:t>
            </w:r>
            <w:r>
              <w:rPr>
                <w:rFonts w:hint="eastAsia" w:ascii="仿宋_GB2312" w:hAnsi="仿宋_GB2312" w:cs="仿宋_GB2312"/>
                <w:i w:val="0"/>
                <w:iCs w:val="0"/>
                <w:color w:val="000000"/>
                <w:kern w:val="0"/>
                <w:sz w:val="22"/>
                <w:szCs w:val="22"/>
                <w:u w:val="none"/>
                <w:lang w:val="en-US" w:eastAsia="zh-CN" w:bidi="ar"/>
              </w:rPr>
              <w:t>总入住人数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146962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105836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38.86%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5644672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4798503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17.63%</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酒店</w:t>
            </w:r>
            <w:r>
              <w:rPr>
                <w:rFonts w:hint="eastAsia" w:ascii="仿宋_GB2312" w:hAnsi="仿宋_GB2312" w:cs="仿宋_GB2312"/>
                <w:i w:val="0"/>
                <w:iCs w:val="0"/>
                <w:color w:val="000000"/>
                <w:kern w:val="0"/>
                <w:sz w:val="22"/>
                <w:szCs w:val="22"/>
                <w:u w:val="none"/>
                <w:lang w:val="en-US" w:eastAsia="zh-CN" w:bidi="ar"/>
              </w:rPr>
              <w:t>总入住</w:t>
            </w:r>
            <w:r>
              <w:rPr>
                <w:rFonts w:hint="eastAsia" w:ascii="仿宋_GB2312" w:hAnsi="仿宋_GB2312" w:eastAsia="仿宋_GB2312" w:cs="仿宋_GB2312"/>
                <w:i w:val="0"/>
                <w:iCs w:val="0"/>
                <w:color w:val="000000"/>
                <w:kern w:val="0"/>
                <w:sz w:val="22"/>
                <w:szCs w:val="22"/>
                <w:u w:val="none"/>
                <w:lang w:val="en-US" w:eastAsia="zh-CN" w:bidi="ar"/>
              </w:rPr>
              <w:t>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162526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99437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63.45%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4341475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3340006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29.98%</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tabs>
                <w:tab w:val="left" w:pos="491"/>
              </w:tabs>
              <w:kinsoku/>
              <w:wordWrap/>
              <w:overflowPunct/>
              <w:topLinePunct w:val="0"/>
              <w:autoSpaceDE/>
              <w:autoSpaceDN/>
              <w:bidi w:val="0"/>
              <w:adjustRightInd/>
              <w:snapToGrid/>
              <w:spacing w:after="0" w:line="0" w:lineRule="atLeast"/>
              <w:ind w:firstLine="440" w:firstLineChars="200"/>
              <w:jc w:val="left"/>
              <w:textAlignment w:val="center"/>
              <w:rPr>
                <w:rFonts w:hint="eastAsia" w:ascii="仿宋_GB2312" w:hAnsi="仿宋_GB2312" w:eastAsia="仿宋_GB2312" w:cs="仿宋_GB2312"/>
                <w:b/>
                <w:bCs/>
                <w:color w:val="000000"/>
                <w:kern w:val="0"/>
                <w:sz w:val="22"/>
              </w:rPr>
            </w:pPr>
            <w:r>
              <w:rPr>
                <w:rFonts w:hint="eastAsia" w:ascii="仿宋_GB2312" w:hAnsi="仿宋_GB2312" w:cs="仿宋_GB2312"/>
                <w:color w:val="000000"/>
                <w:kern w:val="0"/>
                <w:sz w:val="22"/>
                <w:lang w:eastAsia="zh-CN"/>
              </w:rPr>
              <w:t>其中，</w:t>
            </w:r>
            <w:r>
              <w:rPr>
                <w:rFonts w:hint="eastAsia" w:ascii="仿宋_GB2312" w:hAnsi="仿宋_GB2312" w:cs="仿宋_GB2312"/>
                <w:color w:val="000000"/>
                <w:kern w:val="0"/>
                <w:sz w:val="22"/>
                <w:lang w:val="en-US" w:eastAsia="zh-CN"/>
              </w:rPr>
              <w:t>2023年8月份</w:t>
            </w:r>
            <w:r>
              <w:rPr>
                <w:rFonts w:hint="eastAsia" w:ascii="仿宋_GB2312" w:hAnsi="仿宋_GB2312" w:eastAsia="仿宋_GB2312" w:cs="仿宋_GB2312"/>
                <w:i w:val="0"/>
                <w:iCs w:val="0"/>
                <w:color w:val="000000"/>
                <w:kern w:val="0"/>
                <w:sz w:val="22"/>
                <w:szCs w:val="22"/>
                <w:u w:val="none"/>
                <w:lang w:val="en-US" w:eastAsia="zh-CN" w:bidi="ar"/>
              </w:rPr>
              <w:t>万豪酒店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 xml:space="preserve"> 10863 </w:t>
            </w:r>
            <w:r>
              <w:rPr>
                <w:rFonts w:hint="eastAsia" w:ascii="仿宋_GB2312" w:hAnsi="仿宋_GB2312" w:cs="仿宋_GB2312"/>
                <w:i w:val="0"/>
                <w:iCs w:val="0"/>
                <w:color w:val="000000"/>
                <w:kern w:val="0"/>
                <w:sz w:val="22"/>
                <w:szCs w:val="22"/>
                <w:u w:val="none"/>
                <w:lang w:val="en-US" w:eastAsia="zh-CN" w:bidi="ar"/>
              </w:rPr>
              <w:t>，入住率为</w:t>
            </w:r>
            <w:r>
              <w:rPr>
                <w:rFonts w:hint="eastAsia" w:ascii="仿宋_GB2312" w:hAnsi="仿宋_GB2312" w:cs="仿宋_GB2312"/>
                <w:i w:val="0"/>
                <w:iCs w:val="0"/>
                <w:color w:val="000000"/>
                <w:kern w:val="0"/>
                <w:sz w:val="22"/>
                <w:szCs w:val="22"/>
                <w:u w:val="single"/>
                <w:lang w:val="en-US" w:eastAsia="zh-CN" w:bidi="ar"/>
              </w:rPr>
              <w:t>71.08%</w:t>
            </w:r>
            <w:r>
              <w:rPr>
                <w:rFonts w:hint="eastAsia" w:ascii="仿宋_GB2312" w:hAnsi="仿宋_GB2312" w:cs="仿宋_GB2312"/>
                <w:i w:val="0"/>
                <w:iCs w:val="0"/>
                <w:color w:val="000000"/>
                <w:kern w:val="0"/>
                <w:sz w:val="22"/>
                <w:szCs w:val="22"/>
                <w:u w:val="none"/>
                <w:lang w:val="en-US" w:eastAsia="zh-CN" w:bidi="ar"/>
              </w:rPr>
              <w:t>，</w:t>
            </w:r>
            <w:r>
              <w:rPr>
                <w:rFonts w:hint="default" w:ascii="仿宋_GB2312" w:hAnsi="仿宋_GB2312" w:cs="仿宋_GB2312"/>
                <w:i w:val="0"/>
                <w:iCs w:val="0"/>
                <w:color w:val="000000"/>
                <w:kern w:val="0"/>
                <w:sz w:val="22"/>
                <w:szCs w:val="22"/>
                <w:u w:val="none"/>
                <w:lang w:eastAsia="zh-CN" w:bidi="ar"/>
              </w:rPr>
              <w:t>同比去年</w:t>
            </w:r>
            <w:r>
              <w:rPr>
                <w:rFonts w:hint="eastAsia" w:ascii="仿宋_GB2312" w:hAnsi="仿宋_GB2312" w:cs="仿宋_GB2312"/>
                <w:i w:val="0"/>
                <w:iCs w:val="0"/>
                <w:color w:val="000000"/>
                <w:kern w:val="0"/>
                <w:sz w:val="22"/>
                <w:szCs w:val="22"/>
                <w:u w:val="none"/>
                <w:lang w:val="en-US" w:eastAsia="zh-CN" w:bidi="ar"/>
              </w:rPr>
              <w:t xml:space="preserve">增长 </w:t>
            </w:r>
            <w:r>
              <w:rPr>
                <w:rFonts w:hint="eastAsia" w:ascii="仿宋_GB2312" w:hAnsi="仿宋_GB2312" w:cs="仿宋_GB2312"/>
                <w:i w:val="0"/>
                <w:iCs w:val="0"/>
                <w:color w:val="000000"/>
                <w:kern w:val="0"/>
                <w:sz w:val="22"/>
                <w:szCs w:val="22"/>
                <w:u w:val="single"/>
                <w:lang w:val="en-US" w:eastAsia="zh-CN" w:bidi="ar"/>
              </w:rPr>
              <w:t>6.64%</w:t>
            </w:r>
            <w:r>
              <w:rPr>
                <w:rFonts w:hint="eastAsia" w:ascii="仿宋_GB2312" w:hAnsi="仿宋_GB2312" w:cs="仿宋_GB2312"/>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莱华酒店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 xml:space="preserve"> 11150 </w:t>
            </w:r>
            <w:r>
              <w:rPr>
                <w:rFonts w:hint="eastAsia" w:ascii="仿宋_GB2312" w:hAnsi="仿宋_GB2312" w:cs="仿宋_GB2312"/>
                <w:i w:val="0"/>
                <w:iCs w:val="0"/>
                <w:color w:val="000000"/>
                <w:kern w:val="0"/>
                <w:sz w:val="22"/>
                <w:szCs w:val="22"/>
                <w:u w:val="none"/>
                <w:lang w:val="en-US" w:eastAsia="zh-CN" w:bidi="ar"/>
              </w:rPr>
              <w:t>，入住率为</w:t>
            </w:r>
            <w:r>
              <w:rPr>
                <w:rFonts w:hint="eastAsia" w:ascii="仿宋_GB2312" w:hAnsi="仿宋_GB2312" w:cs="仿宋_GB2312"/>
                <w:i w:val="0"/>
                <w:iCs w:val="0"/>
                <w:color w:val="000000"/>
                <w:kern w:val="0"/>
                <w:sz w:val="22"/>
                <w:szCs w:val="22"/>
                <w:u w:val="single"/>
                <w:lang w:val="en-US" w:eastAsia="zh-CN" w:bidi="ar"/>
              </w:rPr>
              <w:t>94.65%</w:t>
            </w:r>
            <w:r>
              <w:rPr>
                <w:rFonts w:hint="eastAsia" w:ascii="仿宋_GB2312" w:hAnsi="仿宋_GB2312" w:cs="仿宋_GB2312"/>
                <w:i w:val="0"/>
                <w:iCs w:val="0"/>
                <w:color w:val="000000"/>
                <w:kern w:val="0"/>
                <w:sz w:val="22"/>
                <w:szCs w:val="22"/>
                <w:u w:val="none"/>
                <w:lang w:val="en-US" w:eastAsia="zh-CN" w:bidi="ar"/>
              </w:rPr>
              <w:t>，</w:t>
            </w:r>
            <w:r>
              <w:rPr>
                <w:rFonts w:hint="default" w:ascii="仿宋_GB2312" w:hAnsi="仿宋_GB2312" w:cs="仿宋_GB2312"/>
                <w:i w:val="0"/>
                <w:iCs w:val="0"/>
                <w:color w:val="000000"/>
                <w:kern w:val="0"/>
                <w:sz w:val="22"/>
                <w:szCs w:val="22"/>
                <w:u w:val="none"/>
                <w:lang w:eastAsia="zh-CN" w:bidi="ar"/>
              </w:rPr>
              <w:t>同比去年增长</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single"/>
                <w:lang w:val="en-US" w:eastAsia="zh-CN" w:bidi="ar"/>
              </w:rPr>
              <w:t>34.51%</w:t>
            </w:r>
            <w:r>
              <w:rPr>
                <w:rFonts w:hint="eastAsia" w:ascii="仿宋_GB2312" w:hAnsi="仿宋_GB2312" w:cs="仿宋_GB2312"/>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瞻云酒店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9585</w:t>
            </w:r>
            <w:r>
              <w:rPr>
                <w:rFonts w:hint="default" w:ascii="仿宋_GB2312" w:hAnsi="仿宋_GB2312" w:cs="仿宋_GB2312"/>
                <w:i w:val="0"/>
                <w:iCs w:val="0"/>
                <w:color w:val="000000"/>
                <w:kern w:val="0"/>
                <w:sz w:val="22"/>
                <w:szCs w:val="22"/>
                <w:u w:val="none"/>
                <w:lang w:eastAsia="zh-CN" w:bidi="ar"/>
              </w:rPr>
              <w:t>，</w:t>
            </w:r>
            <w:r>
              <w:rPr>
                <w:rFonts w:hint="eastAsia" w:ascii="仿宋_GB2312" w:hAnsi="仿宋_GB2312" w:cs="仿宋_GB2312"/>
                <w:i w:val="0"/>
                <w:iCs w:val="0"/>
                <w:color w:val="000000"/>
                <w:kern w:val="0"/>
                <w:sz w:val="22"/>
                <w:szCs w:val="22"/>
                <w:u w:val="none"/>
                <w:lang w:val="en-US" w:eastAsia="zh-CN" w:bidi="ar"/>
              </w:rPr>
              <w:t>入住率为</w:t>
            </w:r>
            <w:r>
              <w:rPr>
                <w:rFonts w:hint="eastAsia" w:ascii="仿宋_GB2312" w:hAnsi="仿宋_GB2312" w:cs="仿宋_GB2312"/>
                <w:i w:val="0"/>
                <w:iCs w:val="0"/>
                <w:color w:val="000000"/>
                <w:kern w:val="0"/>
                <w:sz w:val="22"/>
                <w:szCs w:val="22"/>
                <w:u w:val="single"/>
                <w:lang w:val="en-US" w:eastAsia="zh-CN" w:bidi="ar"/>
              </w:rPr>
              <w:t>66.63%</w:t>
            </w:r>
            <w:r>
              <w:rPr>
                <w:rFonts w:hint="eastAsia" w:ascii="仿宋_GB2312" w:hAnsi="仿宋_GB2312" w:cs="仿宋_GB2312"/>
                <w:i w:val="0"/>
                <w:iCs w:val="0"/>
                <w:color w:val="000000"/>
                <w:kern w:val="0"/>
                <w:sz w:val="22"/>
                <w:szCs w:val="22"/>
                <w:u w:val="none"/>
                <w:lang w:val="en-US" w:eastAsia="zh-CN" w:bidi="ar"/>
              </w:rPr>
              <w:t>，</w:t>
            </w:r>
            <w:r>
              <w:rPr>
                <w:rFonts w:hint="default" w:ascii="仿宋_GB2312" w:hAnsi="仿宋_GB2312" w:cs="仿宋_GB2312"/>
                <w:i w:val="0"/>
                <w:iCs w:val="0"/>
                <w:color w:val="000000"/>
                <w:kern w:val="0"/>
                <w:sz w:val="22"/>
                <w:szCs w:val="22"/>
                <w:u w:val="none"/>
                <w:lang w:eastAsia="zh-CN" w:bidi="ar"/>
              </w:rPr>
              <w:t>同比去年增长</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single"/>
                <w:lang w:val="en-US" w:eastAsia="zh-CN" w:bidi="ar"/>
              </w:rPr>
              <w:t>21.28%</w:t>
            </w:r>
            <w:r>
              <w:rPr>
                <w:rFonts w:hint="eastAsia" w:ascii="仿宋_GB2312" w:hAnsi="仿宋_GB2312" w:cs="仿宋_GB2312"/>
                <w:i w:val="0"/>
                <w:iCs w:val="0"/>
                <w:color w:val="000000"/>
                <w:kern w:val="0"/>
                <w:sz w:val="22"/>
                <w:szCs w:val="22"/>
                <w:u w:val="none"/>
                <w:lang w:val="en-US" w:eastAsia="zh-CN" w:bidi="ar"/>
              </w:rPr>
              <w:t>。</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8" w:hRule="atLeast"/>
        </w:trPr>
        <w:tc>
          <w:tcPr>
            <w:tcW w:w="14399" w:type="dxa"/>
            <w:gridSpan w:val="11"/>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97" w:hRule="atLeast"/>
        </w:trPr>
        <w:tc>
          <w:tcPr>
            <w:tcW w:w="14399"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cs="仿宋_GB2312"/>
                <w:b w:val="0"/>
                <w:bCs w:val="0"/>
                <w:color w:val="000000"/>
                <w:kern w:val="0"/>
                <w:sz w:val="16"/>
                <w:szCs w:val="16"/>
                <w:lang w:val="en-US" w:eastAsia="zh-CN"/>
              </w:rPr>
            </w:pPr>
            <w:r>
              <w:rPr>
                <w:rFonts w:hint="eastAsia" w:ascii="仿宋_GB2312" w:hAnsi="仿宋_GB2312" w:cs="仿宋_GB2312"/>
                <w:b/>
                <w:bCs/>
                <w:color w:val="000000"/>
                <w:kern w:val="0"/>
                <w:sz w:val="16"/>
                <w:szCs w:val="16"/>
                <w:lang w:eastAsia="zh-CN"/>
              </w:rPr>
              <w:t>备注：</w:t>
            </w:r>
            <w:r>
              <w:rPr>
                <w:rFonts w:hint="eastAsia" w:ascii="仿宋_GB2312" w:hAnsi="仿宋_GB2312" w:cs="仿宋_GB2312"/>
                <w:b w:val="0"/>
                <w:bCs w:val="0"/>
                <w:color w:val="000000"/>
                <w:kern w:val="0"/>
                <w:sz w:val="16"/>
                <w:szCs w:val="16"/>
                <w:lang w:val="en-US" w:eastAsia="zh-CN"/>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cs="仿宋_GB2312"/>
                <w:b w:val="0"/>
                <w:bCs w:val="0"/>
                <w:color w:val="000000"/>
                <w:kern w:val="0"/>
                <w:sz w:val="16"/>
                <w:szCs w:val="16"/>
                <w:lang w:val="en-US" w:eastAsia="zh-CN"/>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bl>
    <w:p>
      <w:pPr>
        <w:spacing w:line="240" w:lineRule="auto"/>
        <w:ind w:left="0" w:leftChars="0" w:firstLine="0" w:firstLineChars="0"/>
      </w:pPr>
      <w:bookmarkStart w:id="0" w:name="_GoBack"/>
      <w:bookmarkEnd w:id="0"/>
    </w:p>
    <w:sectPr>
      <w:pgSz w:w="16838" w:h="11906" w:orient="landscape"/>
      <w:pgMar w:top="1077" w:right="2081" w:bottom="1134" w:left="1797" w:header="851" w:footer="992" w:gutter="0"/>
      <w:cols w:space="720" w:num="1"/>
      <w:rtlGutter w:val="0"/>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000000"/>
    <w:rsid w:val="04502DFD"/>
    <w:rsid w:val="0F8F137F"/>
    <w:rsid w:val="30510498"/>
    <w:rsid w:val="37C940F7"/>
    <w:rsid w:val="5DD45EB3"/>
    <w:rsid w:val="7511324B"/>
    <w:rsid w:val="7B5A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2023-09-04T15:09:00Z</dcterms:created>
  <dc:creator>Admin</dc:creator>
  <cp:lastModifiedBy>林芸坪</cp:lastModifiedBy>
  <dcterms:modified xsi:type="dcterms:W3CDTF">2023-09-06T11:23:48Z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AB13F78E37DE40629820E42B45561CC4_13</vt:lpwstr>
  </property>
</Properties>
</file>