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35" w:rsidRDefault="00FD7C35">
      <w:pPr>
        <w:widowControl/>
        <w:spacing w:line="375" w:lineRule="atLeast"/>
        <w:rPr>
          <w:rFonts w:ascii="黑体" w:eastAsia="黑体" w:hAnsi="黑体" w:cs="黑体"/>
          <w:kern w:val="0"/>
          <w:sz w:val="30"/>
          <w:szCs w:val="30"/>
        </w:rPr>
      </w:pPr>
    </w:p>
    <w:p w:rsidR="00FD7C35" w:rsidRDefault="00FD7C35">
      <w:pPr>
        <w:widowControl/>
        <w:spacing w:line="375" w:lineRule="atLeast"/>
        <w:rPr>
          <w:rFonts w:ascii="黑体" w:eastAsia="黑体" w:hAnsi="黑体" w:cs="黑体"/>
          <w:kern w:val="0"/>
          <w:sz w:val="30"/>
          <w:szCs w:val="30"/>
        </w:rPr>
      </w:pPr>
    </w:p>
    <w:p w:rsidR="00FD7C35" w:rsidRDefault="00BE2FF3">
      <w:pPr>
        <w:widowControl/>
        <w:spacing w:line="375" w:lineRule="atLeast"/>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深圳市大鹏新区第四次全国经济普查公报（第六号）</w:t>
      </w:r>
    </w:p>
    <w:p w:rsidR="00FD7C35" w:rsidRDefault="00BE2FF3">
      <w:pPr>
        <w:widowControl/>
        <w:spacing w:line="375" w:lineRule="atLeast"/>
        <w:jc w:val="center"/>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——部分新兴产业基本情况</w:t>
      </w:r>
    </w:p>
    <w:p w:rsidR="00FD7C35" w:rsidRDefault="00BE2FF3">
      <w:pPr>
        <w:widowControl/>
        <w:spacing w:line="375" w:lineRule="atLeast"/>
        <w:jc w:val="center"/>
        <w:rPr>
          <w:rFonts w:ascii="宋体" w:eastAsia="宋体" w:hAnsi="宋体" w:cs="宋体"/>
          <w:kern w:val="0"/>
          <w:sz w:val="24"/>
          <w:szCs w:val="24"/>
        </w:rPr>
      </w:pPr>
      <w:r>
        <w:rPr>
          <w:rFonts w:ascii="Times New Roman" w:eastAsia="宋体" w:hAnsi="Times New Roman" w:cs="Times New Roman"/>
          <w:kern w:val="0"/>
          <w:sz w:val="24"/>
          <w:szCs w:val="24"/>
        </w:rPr>
        <w:t> </w:t>
      </w:r>
    </w:p>
    <w:p w:rsidR="00FD7C35" w:rsidRDefault="00BE2FF3">
      <w:pPr>
        <w:widowControl/>
        <w:spacing w:line="480" w:lineRule="exact"/>
        <w:jc w:val="center"/>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深圳市大鹏新区发展和财政局</w:t>
      </w:r>
    </w:p>
    <w:p w:rsidR="00FD7C35" w:rsidRDefault="00BE2FF3">
      <w:pPr>
        <w:widowControl/>
        <w:spacing w:line="480" w:lineRule="exact"/>
        <w:jc w:val="center"/>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深圳市大鹏新区第四次全国经济普查领导小组办公室</w:t>
      </w:r>
      <w:r>
        <w:rPr>
          <w:rFonts w:ascii="Times New Roman" w:eastAsia="楷体_GB2312" w:hAnsi="Times New Roman" w:cs="Times New Roman"/>
          <w:kern w:val="0"/>
          <w:sz w:val="32"/>
          <w:szCs w:val="32"/>
        </w:rPr>
        <w:t> </w:t>
      </w:r>
    </w:p>
    <w:p w:rsidR="00FD7C35" w:rsidRDefault="00BE2FF3">
      <w:pPr>
        <w:widowControl/>
        <w:spacing w:line="375" w:lineRule="atLeast"/>
        <w:jc w:val="left"/>
        <w:rPr>
          <w:rFonts w:ascii="宋体" w:eastAsia="宋体" w:hAnsi="宋体" w:cs="宋体"/>
          <w:kern w:val="0"/>
          <w:sz w:val="24"/>
          <w:szCs w:val="24"/>
        </w:rPr>
      </w:pPr>
      <w:r>
        <w:rPr>
          <w:rFonts w:ascii="Calibri" w:eastAsia="楷体" w:hAnsi="Calibri" w:cs="Calibri"/>
          <w:kern w:val="0"/>
          <w:sz w:val="24"/>
          <w:szCs w:val="24"/>
        </w:rPr>
        <w:t> </w:t>
      </w:r>
    </w:p>
    <w:p w:rsidR="00FD7C35" w:rsidRDefault="00BE2FF3">
      <w:pPr>
        <w:widowControl/>
        <w:spacing w:line="560" w:lineRule="exact"/>
        <w:ind w:firstLineChars="200" w:firstLine="640"/>
        <w:jc w:val="left"/>
        <w:rPr>
          <w:rFonts w:ascii="宋体" w:eastAsia="宋体" w:hAnsi="宋体" w:cs="宋体"/>
          <w:b/>
          <w:bCs/>
          <w:kern w:val="0"/>
          <w:sz w:val="24"/>
          <w:szCs w:val="24"/>
        </w:rPr>
      </w:pPr>
      <w:r>
        <w:rPr>
          <w:rFonts w:ascii="Times New Roman" w:eastAsia="仿宋_GB2312" w:hAnsi="Times New Roman" w:cs="Times New Roman"/>
          <w:kern w:val="0"/>
          <w:sz w:val="32"/>
          <w:szCs w:val="32"/>
        </w:rPr>
        <w:t>根据深圳市大鹏新区第四次全国经济普查结果，现将部分新兴产业的主要数据公布如下：</w:t>
      </w:r>
    </w:p>
    <w:p w:rsidR="00FD7C35" w:rsidRDefault="00BE2FF3">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一、工业战略性新兴产业</w:t>
      </w:r>
    </w:p>
    <w:p w:rsidR="00FD7C35" w:rsidRDefault="00BE2FF3">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年末，全区从事战略性新兴产业生产的规模以上工业企业法人单位</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个，占规模以上工业企业法人单位的</w:t>
      </w:r>
      <w:r>
        <w:rPr>
          <w:rFonts w:ascii="仿宋_GB2312" w:eastAsia="仿宋_GB2312" w:hAnsi="仿宋_GB2312" w:cs="仿宋_GB2312" w:hint="eastAsia"/>
          <w:kern w:val="0"/>
          <w:sz w:val="32"/>
          <w:szCs w:val="32"/>
        </w:rPr>
        <w:t>16.9%</w:t>
      </w:r>
      <w:r>
        <w:rPr>
          <w:rFonts w:ascii="仿宋_GB2312" w:eastAsia="仿宋_GB2312" w:hAnsi="仿宋_GB2312" w:cs="仿宋_GB2312" w:hint="eastAsia"/>
          <w:kern w:val="0"/>
          <w:sz w:val="32"/>
          <w:szCs w:val="32"/>
        </w:rPr>
        <w:t>。其中，新一代信息技术产业</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个，占工业战略性新兴产业企业法人单位的</w:t>
      </w:r>
      <w:r>
        <w:rPr>
          <w:rFonts w:ascii="仿宋_GB2312" w:eastAsia="仿宋_GB2312" w:hAnsi="仿宋_GB2312" w:cs="仿宋_GB2312" w:hint="eastAsia"/>
          <w:kern w:val="0"/>
          <w:sz w:val="32"/>
          <w:szCs w:val="32"/>
        </w:rPr>
        <w:t>45.5%</w:t>
      </w:r>
      <w:r>
        <w:rPr>
          <w:rFonts w:ascii="仿宋_GB2312" w:eastAsia="仿宋_GB2312" w:hAnsi="仿宋_GB2312" w:cs="仿宋_GB2312" w:hint="eastAsia"/>
          <w:kern w:val="0"/>
          <w:sz w:val="32"/>
          <w:szCs w:val="32"/>
        </w:rPr>
        <w:t>；新能源产业</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个，占</w:t>
      </w:r>
      <w:r>
        <w:rPr>
          <w:rFonts w:ascii="仿宋_GB2312" w:eastAsia="仿宋_GB2312" w:hAnsi="仿宋_GB2312" w:cs="仿宋_GB2312" w:hint="eastAsia"/>
          <w:kern w:val="0"/>
          <w:sz w:val="32"/>
          <w:szCs w:val="32"/>
        </w:rPr>
        <w:t>27.3%</w:t>
      </w:r>
      <w:r>
        <w:rPr>
          <w:rFonts w:ascii="仿宋_GB2312" w:eastAsia="仿宋_GB2312" w:hAnsi="仿宋_GB2312" w:cs="仿宋_GB2312" w:hint="eastAsia"/>
          <w:kern w:val="0"/>
          <w:sz w:val="32"/>
          <w:szCs w:val="32"/>
        </w:rPr>
        <w:t>；生物产业</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个，占</w:t>
      </w:r>
      <w:r>
        <w:rPr>
          <w:rFonts w:ascii="仿宋_GB2312" w:eastAsia="仿宋_GB2312" w:hAnsi="仿宋_GB2312" w:cs="仿宋_GB2312" w:hint="eastAsia"/>
          <w:kern w:val="0"/>
          <w:sz w:val="32"/>
          <w:szCs w:val="32"/>
        </w:rPr>
        <w:t>18.2%</w:t>
      </w:r>
      <w:r>
        <w:rPr>
          <w:rFonts w:ascii="仿宋_GB2312" w:eastAsia="仿宋_GB2312" w:hAnsi="仿宋_GB2312" w:cs="仿宋_GB2312" w:hint="eastAsia"/>
          <w:kern w:val="0"/>
          <w:sz w:val="32"/>
          <w:szCs w:val="32"/>
        </w:rPr>
        <w:t>。</w:t>
      </w:r>
    </w:p>
    <w:p w:rsidR="00FD7C35" w:rsidRDefault="00BE2FF3">
      <w:pPr>
        <w:ind w:firstLineChars="200" w:firstLine="640"/>
        <w:rPr>
          <w:rFonts w:ascii="Times New Roman" w:eastAsia="宋体" w:hAnsi="Times New Roman" w:cs="Times New Roman"/>
          <w:szCs w:val="21"/>
        </w:rPr>
      </w:pPr>
      <w:r>
        <w:rPr>
          <w:rFonts w:ascii="Times New Roman" w:eastAsia="黑体" w:hAnsi="Times New Roman" w:cs="Times New Roman"/>
          <w:kern w:val="0"/>
          <w:sz w:val="32"/>
          <w:szCs w:val="32"/>
        </w:rPr>
        <w:t>二、高技术产业（制造业）</w:t>
      </w:r>
    </w:p>
    <w:p w:rsidR="00FD7C35" w:rsidRDefault="00BE2FF3">
      <w:pPr>
        <w:widowControl/>
        <w:spacing w:line="56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2018</w:t>
      </w:r>
      <w:r>
        <w:rPr>
          <w:rFonts w:ascii="仿宋_GB2312" w:eastAsia="仿宋_GB2312" w:hAnsi="Times New Roman" w:cs="Times New Roman" w:hint="eastAsia"/>
          <w:kern w:val="0"/>
          <w:sz w:val="32"/>
          <w:szCs w:val="32"/>
        </w:rPr>
        <w:t>年末，全</w:t>
      </w:r>
      <w:r>
        <w:rPr>
          <w:rFonts w:ascii="仿宋_GB2312" w:eastAsia="仿宋_GB2312" w:hAnsi="Times New Roman" w:cs="Times New Roman" w:hint="eastAsia"/>
          <w:sz w:val="32"/>
          <w:szCs w:val="32"/>
        </w:rPr>
        <w:t>区</w:t>
      </w:r>
      <w:r>
        <w:rPr>
          <w:rFonts w:ascii="仿宋_GB2312" w:eastAsia="仿宋_GB2312" w:hAnsi="Times New Roman" w:cs="Times New Roman" w:hint="eastAsia"/>
          <w:kern w:val="0"/>
          <w:sz w:val="32"/>
          <w:szCs w:val="32"/>
        </w:rPr>
        <w:t>共有规模以上高技术产业（制造业）企业法人单位</w:t>
      </w:r>
      <w:r>
        <w:rPr>
          <w:rFonts w:ascii="仿宋_GB2312" w:eastAsia="仿宋_GB2312" w:hAnsi="Times New Roman" w:cs="Times New Roman" w:hint="eastAsia"/>
          <w:sz w:val="32"/>
          <w:szCs w:val="32"/>
        </w:rPr>
        <w:t>14</w:t>
      </w:r>
      <w:r>
        <w:rPr>
          <w:rFonts w:ascii="仿宋_GB2312" w:eastAsia="仿宋_GB2312" w:hAnsi="Times New Roman" w:cs="Times New Roman" w:hint="eastAsia"/>
          <w:kern w:val="0"/>
          <w:sz w:val="32"/>
          <w:szCs w:val="32"/>
        </w:rPr>
        <w:t>个，比</w:t>
      </w:r>
      <w:r>
        <w:rPr>
          <w:rFonts w:ascii="仿宋_GB2312" w:eastAsia="仿宋_GB2312" w:hAnsi="Times New Roman" w:cs="Times New Roman" w:hint="eastAsia"/>
          <w:kern w:val="0"/>
          <w:sz w:val="32"/>
          <w:szCs w:val="32"/>
        </w:rPr>
        <w:t>2013</w:t>
      </w:r>
      <w:r>
        <w:rPr>
          <w:rFonts w:ascii="仿宋_GB2312" w:eastAsia="仿宋_GB2312" w:hAnsi="Times New Roman" w:cs="Times New Roman" w:hint="eastAsia"/>
          <w:kern w:val="0"/>
          <w:sz w:val="32"/>
          <w:szCs w:val="32"/>
        </w:rPr>
        <w:t>年末减少</w:t>
      </w:r>
      <w:r>
        <w:rPr>
          <w:rFonts w:ascii="仿宋_GB2312" w:eastAsia="仿宋_GB2312" w:hAnsi="Times New Roman" w:cs="Times New Roman" w:hint="eastAsia"/>
          <w:kern w:val="0"/>
          <w:sz w:val="32"/>
          <w:szCs w:val="32"/>
        </w:rPr>
        <w:t>6.7%</w:t>
      </w:r>
      <w:r>
        <w:rPr>
          <w:rFonts w:ascii="仿宋_GB2312" w:eastAsia="仿宋_GB2312" w:hAnsi="Times New Roman" w:cs="Times New Roman" w:hint="eastAsia"/>
          <w:kern w:val="0"/>
          <w:sz w:val="32"/>
          <w:szCs w:val="32"/>
        </w:rPr>
        <w:t>；占规模以上制造业的比重为</w:t>
      </w:r>
      <w:r>
        <w:rPr>
          <w:rFonts w:ascii="仿宋_GB2312" w:eastAsia="仿宋_GB2312" w:hAnsi="Times New Roman" w:cs="Times New Roman" w:hint="eastAsia"/>
          <w:sz w:val="32"/>
          <w:szCs w:val="32"/>
        </w:rPr>
        <w:t>23.7</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，比</w:t>
      </w:r>
      <w:r>
        <w:rPr>
          <w:rFonts w:ascii="仿宋_GB2312" w:eastAsia="仿宋_GB2312" w:hAnsi="Times New Roman" w:cs="Times New Roman" w:hint="eastAsia"/>
          <w:kern w:val="0"/>
          <w:sz w:val="32"/>
          <w:szCs w:val="32"/>
        </w:rPr>
        <w:t>2013</w:t>
      </w:r>
      <w:r>
        <w:rPr>
          <w:rFonts w:ascii="仿宋_GB2312" w:eastAsia="仿宋_GB2312" w:hAnsi="Times New Roman" w:cs="Times New Roman" w:hint="eastAsia"/>
          <w:kern w:val="0"/>
          <w:sz w:val="32"/>
          <w:szCs w:val="32"/>
        </w:rPr>
        <w:t>年减少</w:t>
      </w:r>
      <w:r>
        <w:rPr>
          <w:rFonts w:ascii="仿宋_GB2312" w:eastAsia="仿宋_GB2312" w:hAnsi="Times New Roman" w:cs="Times New Roman" w:hint="eastAsia"/>
          <w:sz w:val="32"/>
          <w:szCs w:val="32"/>
        </w:rPr>
        <w:t>2.6</w:t>
      </w:r>
      <w:r>
        <w:rPr>
          <w:rFonts w:ascii="仿宋_GB2312" w:eastAsia="仿宋_GB2312" w:hAnsi="Times New Roman" w:cs="Times New Roman" w:hint="eastAsia"/>
          <w:kern w:val="0"/>
          <w:sz w:val="32"/>
          <w:szCs w:val="32"/>
        </w:rPr>
        <w:t>个百分点。</w:t>
      </w:r>
    </w:p>
    <w:p w:rsidR="00FD7C35" w:rsidRDefault="00BE2FF3">
      <w:pPr>
        <w:widowControl/>
        <w:spacing w:line="56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2018</w:t>
      </w:r>
      <w:r>
        <w:rPr>
          <w:rFonts w:ascii="仿宋_GB2312" w:eastAsia="仿宋_GB2312" w:hAnsi="Times New Roman" w:cs="Times New Roman" w:hint="eastAsia"/>
          <w:kern w:val="0"/>
          <w:sz w:val="32"/>
          <w:szCs w:val="32"/>
        </w:rPr>
        <w:t>年，规模以上高技术制造业企业法人单位</w:t>
      </w:r>
      <w:r>
        <w:rPr>
          <w:rFonts w:ascii="仿宋_GB2312" w:eastAsia="仿宋_GB2312" w:hAnsi="Times New Roman" w:cs="Times New Roman" w:hint="eastAsia"/>
          <w:kern w:val="0"/>
          <w:sz w:val="32"/>
          <w:szCs w:val="32"/>
        </w:rPr>
        <w:t>R&amp;</w:t>
      </w:r>
      <w:r>
        <w:rPr>
          <w:rFonts w:ascii="仿宋_GB2312" w:eastAsia="仿宋_GB2312" w:hAnsi="Times New Roman" w:cs="Times New Roman" w:hint="eastAsia"/>
          <w:kern w:val="0"/>
          <w:sz w:val="32"/>
          <w:szCs w:val="32"/>
        </w:rPr>
        <w:t>D</w:t>
      </w:r>
      <w:r>
        <w:rPr>
          <w:rFonts w:ascii="仿宋_GB2312" w:eastAsia="仿宋_GB2312" w:hAnsi="Times New Roman" w:cs="Times New Roman" w:hint="eastAsia"/>
          <w:kern w:val="0"/>
          <w:sz w:val="32"/>
          <w:szCs w:val="32"/>
        </w:rPr>
        <w:t>（全称研究与试验发展，以下简称</w:t>
      </w:r>
      <w:r>
        <w:rPr>
          <w:rFonts w:ascii="仿宋_GB2312" w:eastAsia="仿宋_GB2312" w:hAnsi="Times New Roman" w:cs="Times New Roman" w:hint="eastAsia"/>
          <w:kern w:val="0"/>
          <w:sz w:val="32"/>
          <w:szCs w:val="32"/>
        </w:rPr>
        <w:t>R&amp;D</w:t>
      </w:r>
      <w:r>
        <w:rPr>
          <w:rFonts w:ascii="仿宋_GB2312" w:eastAsia="仿宋_GB2312" w:hAnsi="Times New Roman" w:cs="Times New Roman" w:hint="eastAsia"/>
          <w:kern w:val="0"/>
          <w:sz w:val="32"/>
          <w:szCs w:val="32"/>
        </w:rPr>
        <w:t>）经费支出</w:t>
      </w:r>
      <w:r>
        <w:rPr>
          <w:rFonts w:ascii="仿宋_GB2312" w:eastAsia="仿宋_GB2312" w:hAnsi="Times New Roman" w:cs="Times New Roman" w:hint="eastAsia"/>
          <w:sz w:val="32"/>
          <w:szCs w:val="32"/>
        </w:rPr>
        <w:t>3.16</w:t>
      </w:r>
      <w:r>
        <w:rPr>
          <w:rFonts w:ascii="仿宋_GB2312" w:eastAsia="仿宋_GB2312" w:hAnsi="Times New Roman" w:cs="Times New Roman" w:hint="eastAsia"/>
          <w:kern w:val="0"/>
          <w:sz w:val="32"/>
          <w:szCs w:val="32"/>
        </w:rPr>
        <w:t>亿元，比</w:t>
      </w:r>
      <w:r>
        <w:rPr>
          <w:rFonts w:ascii="仿宋_GB2312" w:eastAsia="仿宋_GB2312" w:hAnsi="Times New Roman" w:cs="Times New Roman" w:hint="eastAsia"/>
          <w:kern w:val="0"/>
          <w:sz w:val="32"/>
          <w:szCs w:val="32"/>
        </w:rPr>
        <w:t>2013</w:t>
      </w:r>
      <w:r>
        <w:rPr>
          <w:rFonts w:ascii="仿宋_GB2312" w:eastAsia="仿宋_GB2312" w:hAnsi="Times New Roman" w:cs="Times New Roman" w:hint="eastAsia"/>
          <w:kern w:val="0"/>
          <w:sz w:val="32"/>
          <w:szCs w:val="32"/>
        </w:rPr>
        <w:t>年增长</w:t>
      </w:r>
      <w:r>
        <w:rPr>
          <w:rFonts w:ascii="仿宋_GB2312" w:eastAsia="仿宋_GB2312" w:hAnsi="Times New Roman" w:cs="Times New Roman" w:hint="eastAsia"/>
          <w:sz w:val="32"/>
          <w:szCs w:val="32"/>
        </w:rPr>
        <w:t>285.4</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；占规模以上制造业的比重为</w:t>
      </w:r>
      <w:r>
        <w:rPr>
          <w:rFonts w:ascii="仿宋_GB2312" w:eastAsia="仿宋_GB2312" w:hAnsi="Times New Roman" w:cs="Times New Roman" w:hint="eastAsia"/>
          <w:sz w:val="32"/>
          <w:szCs w:val="32"/>
        </w:rPr>
        <w:t>73.3</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，比</w:t>
      </w:r>
      <w:r>
        <w:rPr>
          <w:rFonts w:ascii="仿宋_GB2312" w:eastAsia="仿宋_GB2312" w:hAnsi="Times New Roman" w:cs="Times New Roman" w:hint="eastAsia"/>
          <w:kern w:val="0"/>
          <w:sz w:val="32"/>
          <w:szCs w:val="32"/>
        </w:rPr>
        <w:t>2013</w:t>
      </w:r>
      <w:r>
        <w:rPr>
          <w:rFonts w:ascii="仿宋_GB2312" w:eastAsia="仿宋_GB2312" w:hAnsi="Times New Roman" w:cs="Times New Roman" w:hint="eastAsia"/>
          <w:kern w:val="0"/>
          <w:sz w:val="32"/>
          <w:szCs w:val="32"/>
        </w:rPr>
        <w:t>年提</w:t>
      </w:r>
      <w:r>
        <w:rPr>
          <w:rFonts w:ascii="仿宋_GB2312" w:eastAsia="仿宋_GB2312" w:hAnsi="Times New Roman" w:cs="Times New Roman" w:hint="eastAsia"/>
          <w:kern w:val="0"/>
          <w:sz w:val="32"/>
          <w:szCs w:val="32"/>
        </w:rPr>
        <w:lastRenderedPageBreak/>
        <w:t>高</w:t>
      </w:r>
      <w:r>
        <w:rPr>
          <w:rFonts w:ascii="仿宋_GB2312" w:eastAsia="仿宋_GB2312" w:hAnsi="Times New Roman" w:cs="Times New Roman" w:hint="eastAsia"/>
          <w:kern w:val="0"/>
          <w:sz w:val="32"/>
          <w:szCs w:val="32"/>
        </w:rPr>
        <w:t>31.4</w:t>
      </w:r>
      <w:r>
        <w:rPr>
          <w:rFonts w:ascii="仿宋_GB2312" w:eastAsia="仿宋_GB2312" w:hAnsi="Times New Roman" w:cs="Times New Roman" w:hint="eastAsia"/>
          <w:kern w:val="0"/>
          <w:sz w:val="32"/>
          <w:szCs w:val="32"/>
        </w:rPr>
        <w:t>个百分点；</w:t>
      </w:r>
      <w:r>
        <w:rPr>
          <w:rFonts w:ascii="仿宋_GB2312" w:eastAsia="仿宋_GB2312" w:hAnsi="Times New Roman" w:cs="Times New Roman" w:hint="eastAsia"/>
          <w:kern w:val="0"/>
          <w:sz w:val="32"/>
          <w:szCs w:val="32"/>
        </w:rPr>
        <w:t>R&amp;D</w:t>
      </w:r>
      <w:r>
        <w:rPr>
          <w:rFonts w:ascii="仿宋_GB2312" w:eastAsia="仿宋_GB2312" w:hAnsi="Times New Roman" w:cs="Times New Roman" w:hint="eastAsia"/>
          <w:kern w:val="0"/>
          <w:sz w:val="32"/>
          <w:szCs w:val="32"/>
        </w:rPr>
        <w:t>经费与营业收入之比为</w:t>
      </w:r>
      <w:r>
        <w:rPr>
          <w:rFonts w:ascii="仿宋_GB2312" w:eastAsia="仿宋_GB2312" w:hAnsi="Times New Roman" w:cs="Times New Roman" w:hint="eastAsia"/>
          <w:sz w:val="32"/>
          <w:szCs w:val="32"/>
        </w:rPr>
        <w:t>4.0</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，比规模以上制造业平均水平高</w:t>
      </w:r>
      <w:r>
        <w:rPr>
          <w:rFonts w:ascii="仿宋_GB2312" w:eastAsia="仿宋_GB2312" w:hAnsi="Times New Roman" w:cs="Times New Roman" w:hint="eastAsia"/>
          <w:sz w:val="32"/>
          <w:szCs w:val="32"/>
        </w:rPr>
        <w:t>2.33</w:t>
      </w:r>
      <w:r>
        <w:rPr>
          <w:rFonts w:ascii="仿宋_GB2312" w:eastAsia="仿宋_GB2312" w:hAnsi="Times New Roman" w:cs="Times New Roman" w:hint="eastAsia"/>
          <w:kern w:val="0"/>
          <w:sz w:val="32"/>
          <w:szCs w:val="32"/>
        </w:rPr>
        <w:t>个百分点。</w:t>
      </w:r>
    </w:p>
    <w:p w:rsidR="00FD7C35" w:rsidRDefault="00BE2FF3">
      <w:pPr>
        <w:spacing w:line="560" w:lineRule="exact"/>
        <w:ind w:firstLineChars="200" w:firstLine="640"/>
        <w:rPr>
          <w:rFonts w:ascii="仿宋_GB2312" w:eastAsia="仿宋_GB2312" w:hAnsi="宋体" w:cs="宋体"/>
          <w:kern w:val="0"/>
          <w:sz w:val="32"/>
          <w:szCs w:val="32"/>
        </w:rPr>
      </w:pPr>
      <w:r>
        <w:rPr>
          <w:rFonts w:ascii="仿宋_GB2312" w:eastAsia="仿宋_GB2312" w:hAnsi="Times New Roman" w:cs="Times New Roman" w:hint="eastAsia"/>
          <w:kern w:val="0"/>
          <w:sz w:val="32"/>
          <w:szCs w:val="32"/>
        </w:rPr>
        <w:t>2018</w:t>
      </w:r>
      <w:r>
        <w:rPr>
          <w:rFonts w:ascii="仿宋_GB2312" w:eastAsia="仿宋_GB2312" w:hAnsi="Times New Roman" w:cs="Times New Roman" w:hint="eastAsia"/>
          <w:kern w:val="0"/>
          <w:sz w:val="32"/>
          <w:szCs w:val="32"/>
        </w:rPr>
        <w:t>年，规模以上高技术制造业企业法人单位全年专利申请量</w:t>
      </w:r>
      <w:r>
        <w:rPr>
          <w:rFonts w:ascii="仿宋_GB2312" w:eastAsia="仿宋_GB2312" w:hAnsi="Times New Roman" w:cs="Times New Roman" w:hint="eastAsia"/>
          <w:sz w:val="32"/>
          <w:szCs w:val="32"/>
        </w:rPr>
        <w:t>137</w:t>
      </w:r>
      <w:r>
        <w:rPr>
          <w:rFonts w:ascii="仿宋_GB2312" w:eastAsia="仿宋_GB2312" w:hAnsi="Times New Roman" w:cs="Times New Roman" w:hint="eastAsia"/>
          <w:kern w:val="0"/>
          <w:sz w:val="32"/>
          <w:szCs w:val="32"/>
        </w:rPr>
        <w:t>件，其中发明专利申请</w:t>
      </w:r>
      <w:r>
        <w:rPr>
          <w:rFonts w:ascii="仿宋_GB2312" w:eastAsia="仿宋_GB2312" w:hAnsi="Times New Roman" w:cs="Times New Roman" w:hint="eastAsia"/>
          <w:sz w:val="32"/>
          <w:szCs w:val="32"/>
        </w:rPr>
        <w:t>64</w:t>
      </w:r>
      <w:r>
        <w:rPr>
          <w:rFonts w:ascii="仿宋_GB2312" w:eastAsia="仿宋_GB2312" w:hAnsi="Times New Roman" w:cs="Times New Roman" w:hint="eastAsia"/>
          <w:kern w:val="0"/>
          <w:sz w:val="32"/>
          <w:szCs w:val="32"/>
        </w:rPr>
        <w:t>件，分别比</w:t>
      </w:r>
      <w:r>
        <w:rPr>
          <w:rFonts w:ascii="仿宋_GB2312" w:eastAsia="仿宋_GB2312" w:hAnsi="Times New Roman" w:cs="Times New Roman" w:hint="eastAsia"/>
          <w:kern w:val="0"/>
          <w:sz w:val="32"/>
          <w:szCs w:val="32"/>
        </w:rPr>
        <w:t>2013</w:t>
      </w:r>
      <w:r>
        <w:rPr>
          <w:rFonts w:ascii="仿宋_GB2312" w:eastAsia="仿宋_GB2312" w:hAnsi="Times New Roman" w:cs="Times New Roman" w:hint="eastAsia"/>
          <w:kern w:val="0"/>
          <w:sz w:val="32"/>
          <w:szCs w:val="32"/>
        </w:rPr>
        <w:t>年增长</w:t>
      </w:r>
      <w:r>
        <w:rPr>
          <w:rFonts w:ascii="仿宋_GB2312" w:eastAsia="仿宋_GB2312" w:hAnsi="Times New Roman" w:cs="Times New Roman" w:hint="eastAsia"/>
          <w:sz w:val="32"/>
          <w:szCs w:val="32"/>
        </w:rPr>
        <w:t>389.3</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和</w:t>
      </w:r>
      <w:r>
        <w:rPr>
          <w:rFonts w:ascii="仿宋_GB2312" w:eastAsia="仿宋_GB2312" w:hAnsi="Times New Roman" w:cs="Times New Roman" w:hint="eastAsia"/>
          <w:sz w:val="32"/>
          <w:szCs w:val="32"/>
        </w:rPr>
        <w:t>966.7</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；发明专利申请所占比重为</w:t>
      </w:r>
      <w:r>
        <w:rPr>
          <w:rFonts w:ascii="仿宋_GB2312" w:eastAsia="仿宋_GB2312" w:hAnsi="Times New Roman" w:cs="Times New Roman" w:hint="eastAsia"/>
          <w:sz w:val="32"/>
          <w:szCs w:val="32"/>
        </w:rPr>
        <w:t>46.7</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，比规模以上制造业平均水平低</w:t>
      </w:r>
      <w:r>
        <w:rPr>
          <w:rFonts w:ascii="仿宋_GB2312" w:eastAsia="仿宋_GB2312" w:hAnsi="Times New Roman" w:cs="Times New Roman" w:hint="eastAsia"/>
          <w:sz w:val="32"/>
          <w:szCs w:val="32"/>
        </w:rPr>
        <w:t>12.1</w:t>
      </w:r>
      <w:r>
        <w:rPr>
          <w:rFonts w:ascii="仿宋_GB2312" w:eastAsia="仿宋_GB2312" w:hAnsi="Times New Roman" w:cs="Times New Roman" w:hint="eastAsia"/>
          <w:kern w:val="0"/>
          <w:sz w:val="32"/>
          <w:szCs w:val="32"/>
        </w:rPr>
        <w:t>个百分点。</w:t>
      </w:r>
    </w:p>
    <w:p w:rsidR="00FD7C35" w:rsidRDefault="00BE2FF3">
      <w:pPr>
        <w:widowControl/>
        <w:spacing w:line="560" w:lineRule="exact"/>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、工业企业研究与试验发展活动</w:t>
      </w:r>
    </w:p>
    <w:p w:rsidR="00FD7C35" w:rsidRDefault="00BE2FF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年，开展</w:t>
      </w:r>
      <w:r>
        <w:rPr>
          <w:rFonts w:ascii="仿宋_GB2312" w:eastAsia="仿宋_GB2312" w:hAnsi="仿宋_GB2312" w:cs="仿宋_GB2312" w:hint="eastAsia"/>
          <w:kern w:val="0"/>
          <w:sz w:val="32"/>
          <w:szCs w:val="32"/>
        </w:rPr>
        <w:t>R&amp;D</w:t>
      </w:r>
      <w:r>
        <w:rPr>
          <w:rFonts w:ascii="仿宋_GB2312" w:eastAsia="仿宋_GB2312" w:hAnsi="仿宋_GB2312" w:cs="仿宋_GB2312" w:hint="eastAsia"/>
          <w:kern w:val="0"/>
          <w:sz w:val="32"/>
          <w:szCs w:val="32"/>
        </w:rPr>
        <w:t>活动的规模以上工业企业法人单位</w:t>
      </w:r>
      <w:r>
        <w:rPr>
          <w:rFonts w:ascii="仿宋_GB2312" w:eastAsia="仿宋_GB2312" w:hAnsi="仿宋_GB2312" w:cs="仿宋_GB2312" w:hint="eastAsia"/>
          <w:kern w:val="0"/>
          <w:sz w:val="32"/>
          <w:szCs w:val="32"/>
        </w:rPr>
        <w:t>24</w:t>
      </w:r>
      <w:r>
        <w:rPr>
          <w:rFonts w:ascii="仿宋_GB2312" w:eastAsia="仿宋_GB2312" w:hAnsi="仿宋_GB2312" w:cs="仿宋_GB2312" w:hint="eastAsia"/>
          <w:kern w:val="0"/>
          <w:sz w:val="32"/>
          <w:szCs w:val="32"/>
        </w:rPr>
        <w:t>个，比</w:t>
      </w:r>
      <w:r>
        <w:rPr>
          <w:rFonts w:ascii="仿宋_GB2312" w:eastAsia="仿宋_GB2312" w:hAnsi="仿宋_GB2312" w:cs="仿宋_GB2312" w:hint="eastAsia"/>
          <w:kern w:val="0"/>
          <w:sz w:val="32"/>
          <w:szCs w:val="32"/>
        </w:rPr>
        <w:t>2013</w:t>
      </w:r>
      <w:r>
        <w:rPr>
          <w:rFonts w:ascii="仿宋_GB2312" w:eastAsia="仿宋_GB2312" w:hAnsi="仿宋_GB2312" w:cs="仿宋_GB2312" w:hint="eastAsia"/>
          <w:kern w:val="0"/>
          <w:sz w:val="32"/>
          <w:szCs w:val="32"/>
        </w:rPr>
        <w:t>年增长</w:t>
      </w:r>
      <w:r>
        <w:rPr>
          <w:rFonts w:ascii="仿宋_GB2312" w:eastAsia="仿宋_GB2312" w:hAnsi="仿宋_GB2312" w:cs="仿宋_GB2312" w:hint="eastAsia"/>
          <w:kern w:val="0"/>
          <w:sz w:val="32"/>
          <w:szCs w:val="32"/>
        </w:rPr>
        <w:t>84.6%</w:t>
      </w:r>
      <w:r>
        <w:rPr>
          <w:rFonts w:ascii="仿宋_GB2312" w:eastAsia="仿宋_GB2312" w:hAnsi="仿宋_GB2312" w:cs="仿宋_GB2312" w:hint="eastAsia"/>
          <w:kern w:val="0"/>
          <w:sz w:val="32"/>
          <w:szCs w:val="32"/>
        </w:rPr>
        <w:t>，占全部规模以上工业企业法人单位的</w:t>
      </w:r>
      <w:r>
        <w:rPr>
          <w:rFonts w:ascii="仿宋_GB2312" w:eastAsia="仿宋_GB2312" w:hAnsi="仿宋_GB2312" w:cs="仿宋_GB2312" w:hint="eastAsia"/>
          <w:kern w:val="0"/>
          <w:sz w:val="32"/>
          <w:szCs w:val="32"/>
        </w:rPr>
        <w:t>36.9%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 xml:space="preserve"> </w:t>
      </w:r>
    </w:p>
    <w:p w:rsidR="00FD7C35" w:rsidRDefault="00BE2FF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年，规模以上工业企业法人单位</w:t>
      </w:r>
      <w:r>
        <w:rPr>
          <w:rFonts w:ascii="仿宋_GB2312" w:eastAsia="仿宋_GB2312" w:hAnsi="仿宋_GB2312" w:cs="仿宋_GB2312" w:hint="eastAsia"/>
          <w:kern w:val="0"/>
          <w:sz w:val="32"/>
          <w:szCs w:val="32"/>
        </w:rPr>
        <w:t>R&amp;D</w:t>
      </w:r>
      <w:r>
        <w:rPr>
          <w:rFonts w:ascii="仿宋_GB2312" w:eastAsia="仿宋_GB2312" w:hAnsi="仿宋_GB2312" w:cs="仿宋_GB2312" w:hint="eastAsia"/>
          <w:kern w:val="0"/>
          <w:sz w:val="32"/>
          <w:szCs w:val="32"/>
        </w:rPr>
        <w:t>经费支出</w:t>
      </w:r>
      <w:r>
        <w:rPr>
          <w:rFonts w:ascii="仿宋_GB2312" w:eastAsia="仿宋_GB2312" w:hAnsi="仿宋_GB2312" w:cs="仿宋_GB2312" w:hint="eastAsia"/>
          <w:kern w:val="0"/>
          <w:sz w:val="32"/>
          <w:szCs w:val="32"/>
        </w:rPr>
        <w:t>5.93</w:t>
      </w:r>
      <w:r>
        <w:rPr>
          <w:rFonts w:ascii="仿宋_GB2312" w:eastAsia="仿宋_GB2312" w:hAnsi="仿宋_GB2312" w:cs="仿宋_GB2312" w:hint="eastAsia"/>
          <w:kern w:val="0"/>
          <w:sz w:val="32"/>
          <w:szCs w:val="32"/>
        </w:rPr>
        <w:t>亿元，比</w:t>
      </w:r>
      <w:r>
        <w:rPr>
          <w:rFonts w:ascii="仿宋_GB2312" w:eastAsia="仿宋_GB2312" w:hAnsi="仿宋_GB2312" w:cs="仿宋_GB2312" w:hint="eastAsia"/>
          <w:kern w:val="0"/>
          <w:sz w:val="32"/>
          <w:szCs w:val="32"/>
        </w:rPr>
        <w:t>2013</w:t>
      </w:r>
      <w:r>
        <w:rPr>
          <w:rFonts w:ascii="仿宋_GB2312" w:eastAsia="仿宋_GB2312" w:hAnsi="仿宋_GB2312" w:cs="仿宋_GB2312" w:hint="eastAsia"/>
          <w:kern w:val="0"/>
          <w:sz w:val="32"/>
          <w:szCs w:val="32"/>
        </w:rPr>
        <w:t>年增长</w:t>
      </w:r>
      <w:r>
        <w:rPr>
          <w:rFonts w:ascii="仿宋_GB2312" w:eastAsia="仿宋_GB2312" w:hAnsi="仿宋_GB2312" w:cs="仿宋_GB2312" w:hint="eastAsia"/>
          <w:kern w:val="0"/>
          <w:sz w:val="32"/>
          <w:szCs w:val="32"/>
        </w:rPr>
        <w:t>18.8%</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R&amp;D</w:t>
      </w:r>
      <w:r>
        <w:rPr>
          <w:rFonts w:ascii="仿宋_GB2312" w:eastAsia="仿宋_GB2312" w:hAnsi="仿宋_GB2312" w:cs="仿宋_GB2312" w:hint="eastAsia"/>
          <w:kern w:val="0"/>
          <w:sz w:val="32"/>
          <w:szCs w:val="32"/>
        </w:rPr>
        <w:t>经费与营业收入之比为</w:t>
      </w:r>
      <w:r>
        <w:rPr>
          <w:rFonts w:ascii="仿宋_GB2312" w:eastAsia="仿宋_GB2312" w:hAnsi="仿宋_GB2312" w:cs="仿宋_GB2312" w:hint="eastAsia"/>
          <w:kern w:val="0"/>
          <w:sz w:val="32"/>
          <w:szCs w:val="32"/>
        </w:rPr>
        <w:t>1.17%</w:t>
      </w:r>
      <w:r>
        <w:rPr>
          <w:rFonts w:ascii="仿宋_GB2312" w:eastAsia="仿宋_GB2312" w:hAnsi="仿宋_GB2312" w:cs="仿宋_GB2312" w:hint="eastAsia"/>
          <w:kern w:val="0"/>
          <w:sz w:val="32"/>
          <w:szCs w:val="32"/>
        </w:rPr>
        <w:t>。（详见表</w:t>
      </w:r>
      <w:r>
        <w:rPr>
          <w:rFonts w:ascii="仿宋_GB2312" w:eastAsia="仿宋_GB2312" w:hAnsi="仿宋_GB2312" w:cs="仿宋_GB2312" w:hint="eastAsia"/>
          <w:kern w:val="0"/>
          <w:sz w:val="32"/>
          <w:szCs w:val="32"/>
        </w:rPr>
        <w:t>6-1</w:t>
      </w:r>
      <w:r>
        <w:rPr>
          <w:rFonts w:ascii="仿宋_GB2312" w:eastAsia="仿宋_GB2312" w:hAnsi="仿宋_GB2312" w:cs="仿宋_GB2312" w:hint="eastAsia"/>
          <w:kern w:val="0"/>
          <w:sz w:val="32"/>
          <w:szCs w:val="32"/>
        </w:rPr>
        <w:t>）</w:t>
      </w:r>
    </w:p>
    <w:p w:rsidR="00FD7C35" w:rsidRDefault="00BE2FF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年，规模以上工业企业法人单位全年专利申请量</w:t>
      </w:r>
      <w:r>
        <w:rPr>
          <w:rFonts w:ascii="仿宋_GB2312" w:eastAsia="仿宋_GB2312" w:hAnsi="仿宋_GB2312" w:cs="仿宋_GB2312" w:hint="eastAsia"/>
          <w:kern w:val="0"/>
          <w:sz w:val="32"/>
          <w:szCs w:val="32"/>
        </w:rPr>
        <w:t>2808</w:t>
      </w:r>
      <w:r>
        <w:rPr>
          <w:rFonts w:ascii="仿宋_GB2312" w:eastAsia="仿宋_GB2312" w:hAnsi="仿宋_GB2312" w:cs="仿宋_GB2312" w:hint="eastAsia"/>
          <w:kern w:val="0"/>
          <w:sz w:val="32"/>
          <w:szCs w:val="32"/>
        </w:rPr>
        <w:t>件，其中发明专利申请</w:t>
      </w:r>
      <w:r>
        <w:rPr>
          <w:rFonts w:ascii="仿宋_GB2312" w:eastAsia="仿宋_GB2312" w:hAnsi="仿宋_GB2312" w:cs="仿宋_GB2312" w:hint="eastAsia"/>
          <w:kern w:val="0"/>
          <w:sz w:val="32"/>
          <w:szCs w:val="32"/>
        </w:rPr>
        <w:t>1618</w:t>
      </w:r>
      <w:r>
        <w:rPr>
          <w:rFonts w:ascii="仿宋_GB2312" w:eastAsia="仿宋_GB2312" w:hAnsi="仿宋_GB2312" w:cs="仿宋_GB2312" w:hint="eastAsia"/>
          <w:kern w:val="0"/>
          <w:sz w:val="32"/>
          <w:szCs w:val="32"/>
        </w:rPr>
        <w:t>件，分别比</w:t>
      </w:r>
      <w:r>
        <w:rPr>
          <w:rFonts w:ascii="仿宋_GB2312" w:eastAsia="仿宋_GB2312" w:hAnsi="仿宋_GB2312" w:cs="仿宋_GB2312" w:hint="eastAsia"/>
          <w:kern w:val="0"/>
          <w:sz w:val="32"/>
          <w:szCs w:val="32"/>
        </w:rPr>
        <w:t>2013</w:t>
      </w:r>
      <w:r>
        <w:rPr>
          <w:rFonts w:ascii="仿宋_GB2312" w:eastAsia="仿宋_GB2312" w:hAnsi="仿宋_GB2312" w:cs="仿宋_GB2312" w:hint="eastAsia"/>
          <w:kern w:val="0"/>
          <w:sz w:val="32"/>
          <w:szCs w:val="32"/>
        </w:rPr>
        <w:t>年增长</w:t>
      </w:r>
      <w:r>
        <w:rPr>
          <w:rFonts w:ascii="仿宋_GB2312" w:eastAsia="仿宋_GB2312" w:hAnsi="仿宋_GB2312" w:cs="仿宋_GB2312" w:hint="eastAsia"/>
          <w:kern w:val="0"/>
          <w:sz w:val="32"/>
          <w:szCs w:val="32"/>
        </w:rPr>
        <w:t>119.0%</w:t>
      </w:r>
      <w:r>
        <w:rPr>
          <w:rFonts w:ascii="仿宋_GB2312" w:eastAsia="仿宋_GB2312" w:hAnsi="仿宋_GB2312" w:cs="仿宋_GB2312" w:hint="eastAsia"/>
          <w:kern w:val="0"/>
          <w:sz w:val="32"/>
          <w:szCs w:val="32"/>
        </w:rPr>
        <w:t>和</w:t>
      </w:r>
      <w:r>
        <w:rPr>
          <w:rFonts w:ascii="仿宋_GB2312" w:eastAsia="仿宋_GB2312" w:hAnsi="仿宋_GB2312" w:cs="仿宋_GB2312" w:hint="eastAsia"/>
          <w:kern w:val="0"/>
          <w:sz w:val="32"/>
          <w:szCs w:val="32"/>
        </w:rPr>
        <w:t>185.9%</w:t>
      </w:r>
      <w:r>
        <w:rPr>
          <w:rFonts w:ascii="仿宋_GB2312" w:eastAsia="仿宋_GB2312" w:hAnsi="仿宋_GB2312" w:cs="仿宋_GB2312" w:hint="eastAsia"/>
          <w:kern w:val="0"/>
          <w:sz w:val="32"/>
          <w:szCs w:val="32"/>
        </w:rPr>
        <w:t>；发明专利申请所占比重为</w:t>
      </w:r>
      <w:r>
        <w:rPr>
          <w:rFonts w:ascii="仿宋_GB2312" w:eastAsia="仿宋_GB2312" w:hAnsi="仿宋_GB2312" w:cs="仿宋_GB2312" w:hint="eastAsia"/>
          <w:kern w:val="0"/>
          <w:sz w:val="32"/>
          <w:szCs w:val="32"/>
        </w:rPr>
        <w:t>57.6%</w:t>
      </w:r>
      <w:r>
        <w:rPr>
          <w:rFonts w:ascii="仿宋_GB2312" w:eastAsia="仿宋_GB2312" w:hAnsi="仿宋_GB2312" w:cs="仿宋_GB2312" w:hint="eastAsia"/>
          <w:kern w:val="0"/>
          <w:sz w:val="32"/>
          <w:szCs w:val="32"/>
        </w:rPr>
        <w:t>，比</w:t>
      </w:r>
      <w:r>
        <w:rPr>
          <w:rFonts w:ascii="仿宋_GB2312" w:eastAsia="仿宋_GB2312" w:hAnsi="仿宋_GB2312" w:cs="仿宋_GB2312" w:hint="eastAsia"/>
          <w:kern w:val="0"/>
          <w:sz w:val="32"/>
          <w:szCs w:val="32"/>
        </w:rPr>
        <w:t>2013</w:t>
      </w:r>
      <w:r>
        <w:rPr>
          <w:rFonts w:ascii="仿宋_GB2312" w:eastAsia="仿宋_GB2312" w:hAnsi="仿宋_GB2312" w:cs="仿宋_GB2312" w:hint="eastAsia"/>
          <w:kern w:val="0"/>
          <w:sz w:val="32"/>
          <w:szCs w:val="32"/>
        </w:rPr>
        <w:t>年提高</w:t>
      </w:r>
      <w:r>
        <w:rPr>
          <w:rFonts w:ascii="仿宋_GB2312" w:eastAsia="仿宋_GB2312" w:hAnsi="仿宋_GB2312" w:cs="仿宋_GB2312" w:hint="eastAsia"/>
          <w:kern w:val="0"/>
          <w:sz w:val="32"/>
          <w:szCs w:val="32"/>
        </w:rPr>
        <w:t>13.5</w:t>
      </w:r>
      <w:r>
        <w:rPr>
          <w:rFonts w:ascii="仿宋_GB2312" w:eastAsia="仿宋_GB2312" w:hAnsi="仿宋_GB2312" w:cs="仿宋_GB2312" w:hint="eastAsia"/>
          <w:kern w:val="0"/>
          <w:sz w:val="32"/>
          <w:szCs w:val="32"/>
        </w:rPr>
        <w:t>个百分点。</w:t>
      </w:r>
    </w:p>
    <w:p w:rsidR="00FD7C35" w:rsidRDefault="00BE2FF3">
      <w:pPr>
        <w:pStyle w:val="a3"/>
        <w:jc w:val="center"/>
        <w:rPr>
          <w:rFonts w:ascii="宋体" w:eastAsia="宋体" w:hAnsi="宋体" w:cs="宋体"/>
          <w:sz w:val="24"/>
          <w:szCs w:val="24"/>
        </w:rPr>
      </w:pPr>
      <w:r>
        <w:rPr>
          <w:rFonts w:ascii="宋体" w:eastAsia="宋体" w:hAnsi="宋体" w:cs="宋体" w:hint="eastAsia"/>
          <w:sz w:val="24"/>
          <w:szCs w:val="24"/>
        </w:rPr>
        <w:t>表</w:t>
      </w:r>
      <w:r>
        <w:rPr>
          <w:rFonts w:ascii="宋体" w:eastAsia="宋体" w:hAnsi="宋体" w:cs="宋体" w:hint="eastAsia"/>
          <w:sz w:val="24"/>
          <w:szCs w:val="24"/>
        </w:rPr>
        <w:t>6-</w:t>
      </w:r>
      <w:r w:rsidR="00FD7C35">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6- \* ARABIC </w:instrText>
      </w:r>
      <w:r w:rsidR="00FD7C35">
        <w:rPr>
          <w:rFonts w:ascii="宋体" w:eastAsia="宋体" w:hAnsi="宋体" w:cs="宋体" w:hint="eastAsia"/>
          <w:sz w:val="24"/>
          <w:szCs w:val="24"/>
        </w:rPr>
        <w:fldChar w:fldCharType="separate"/>
      </w:r>
      <w:r>
        <w:rPr>
          <w:rFonts w:ascii="宋体" w:eastAsia="宋体" w:hAnsi="宋体" w:cs="宋体" w:hint="eastAsia"/>
          <w:sz w:val="24"/>
          <w:szCs w:val="24"/>
        </w:rPr>
        <w:t>1</w:t>
      </w:r>
      <w:r w:rsidR="00FD7C35">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按行业大类分组的规模以上工业企业法人单位</w:t>
      </w:r>
      <w:r>
        <w:rPr>
          <w:rFonts w:ascii="宋体" w:eastAsia="宋体" w:hAnsi="宋体" w:cs="宋体" w:hint="eastAsia"/>
          <w:sz w:val="24"/>
          <w:szCs w:val="24"/>
        </w:rPr>
        <w:t>R&amp;D</w:t>
      </w:r>
      <w:r>
        <w:rPr>
          <w:rFonts w:ascii="宋体" w:eastAsia="宋体" w:hAnsi="宋体" w:cs="宋体" w:hint="eastAsia"/>
          <w:sz w:val="24"/>
          <w:szCs w:val="24"/>
        </w:rPr>
        <w:t>经费支出及</w:t>
      </w:r>
      <w:r>
        <w:rPr>
          <w:rFonts w:ascii="宋体" w:eastAsia="宋体" w:hAnsi="宋体" w:cs="宋体" w:hint="eastAsia"/>
          <w:sz w:val="24"/>
          <w:szCs w:val="24"/>
        </w:rPr>
        <w:t>R&amp;D</w:t>
      </w:r>
    </w:p>
    <w:p w:rsidR="00FD7C35" w:rsidRDefault="00BE2FF3">
      <w:pPr>
        <w:pStyle w:val="a3"/>
        <w:jc w:val="center"/>
        <w:rPr>
          <w:rFonts w:ascii="宋体" w:eastAsia="宋体" w:hAnsi="宋体" w:cs="宋体"/>
          <w:b/>
          <w:bCs/>
          <w:kern w:val="0"/>
          <w:sz w:val="24"/>
          <w:szCs w:val="24"/>
        </w:rPr>
      </w:pPr>
      <w:r>
        <w:rPr>
          <w:rFonts w:ascii="宋体" w:eastAsia="宋体" w:hAnsi="宋体" w:cs="宋体" w:hint="eastAsia"/>
          <w:sz w:val="24"/>
          <w:szCs w:val="24"/>
        </w:rPr>
        <w:t>经费与营业收入之比</w:t>
      </w:r>
    </w:p>
    <w:tbl>
      <w:tblPr>
        <w:tblStyle w:val="a6"/>
        <w:tblpPr w:leftFromText="180" w:rightFromText="180" w:vertAnchor="text" w:horzAnchor="page" w:tblpXSpec="center" w:tblpY="318"/>
        <w:tblOverlap w:val="never"/>
        <w:tblW w:w="0" w:type="auto"/>
        <w:jc w:val="center"/>
        <w:tblBorders>
          <w:left w:val="none" w:sz="0" w:space="0" w:color="auto"/>
          <w:right w:val="none" w:sz="0" w:space="0" w:color="auto"/>
        </w:tblBorders>
        <w:tblLayout w:type="fixed"/>
        <w:tblLook w:val="04A0"/>
      </w:tblPr>
      <w:tblGrid>
        <w:gridCol w:w="3828"/>
        <w:gridCol w:w="2090"/>
        <w:gridCol w:w="2210"/>
      </w:tblGrid>
      <w:tr w:rsidR="00FD7C35">
        <w:trPr>
          <w:tblHeader/>
          <w:jc w:val="center"/>
        </w:trPr>
        <w:tc>
          <w:tcPr>
            <w:tcW w:w="3828" w:type="dxa"/>
            <w:tcBorders>
              <w:bottom w:val="single" w:sz="4" w:space="0" w:color="auto"/>
            </w:tcBorders>
          </w:tcPr>
          <w:p w:rsidR="00FD7C35" w:rsidRDefault="00FD7C35">
            <w:pPr>
              <w:rPr>
                <w:rFonts w:ascii="宋体" w:eastAsia="宋体" w:hAnsi="宋体" w:cs="宋体"/>
                <w:b/>
                <w:bCs/>
                <w:szCs w:val="21"/>
              </w:rPr>
            </w:pPr>
          </w:p>
        </w:tc>
        <w:tc>
          <w:tcPr>
            <w:tcW w:w="2090" w:type="dxa"/>
            <w:tcBorders>
              <w:bottom w:val="single" w:sz="4" w:space="0" w:color="auto"/>
            </w:tcBorders>
            <w:vAlign w:val="center"/>
          </w:tcPr>
          <w:p w:rsidR="00FD7C35" w:rsidRDefault="00BE2FF3">
            <w:pPr>
              <w:jc w:val="center"/>
              <w:rPr>
                <w:rFonts w:ascii="宋体" w:eastAsia="宋体" w:hAnsi="宋体" w:cs="宋体"/>
                <w:b/>
                <w:bCs/>
                <w:szCs w:val="21"/>
              </w:rPr>
            </w:pPr>
            <w:r>
              <w:rPr>
                <w:rFonts w:ascii="宋体" w:eastAsia="宋体" w:hAnsi="宋体" w:cs="宋体" w:hint="eastAsia"/>
                <w:b/>
                <w:bCs/>
                <w:szCs w:val="21"/>
              </w:rPr>
              <w:t>R&amp;D</w:t>
            </w:r>
            <w:r>
              <w:rPr>
                <w:rFonts w:ascii="宋体" w:eastAsia="宋体" w:hAnsi="宋体" w:cs="宋体" w:hint="eastAsia"/>
                <w:b/>
                <w:bCs/>
                <w:szCs w:val="21"/>
              </w:rPr>
              <w:t>经费支出</w:t>
            </w:r>
          </w:p>
          <w:p w:rsidR="00FD7C35" w:rsidRDefault="00BE2FF3">
            <w:pPr>
              <w:jc w:val="center"/>
              <w:rPr>
                <w:rFonts w:ascii="宋体" w:eastAsia="宋体" w:hAnsi="宋体" w:cs="宋体"/>
                <w:b/>
                <w:bCs/>
                <w:szCs w:val="21"/>
              </w:rPr>
            </w:pPr>
            <w:r>
              <w:rPr>
                <w:rFonts w:ascii="宋体" w:eastAsia="宋体" w:hAnsi="宋体" w:cs="宋体" w:hint="eastAsia"/>
                <w:b/>
                <w:bCs/>
                <w:szCs w:val="21"/>
              </w:rPr>
              <w:t>（亿元）</w:t>
            </w:r>
          </w:p>
        </w:tc>
        <w:tc>
          <w:tcPr>
            <w:tcW w:w="2210" w:type="dxa"/>
            <w:tcBorders>
              <w:bottom w:val="single" w:sz="4" w:space="0" w:color="auto"/>
            </w:tcBorders>
            <w:vAlign w:val="center"/>
          </w:tcPr>
          <w:p w:rsidR="00FD7C35" w:rsidRDefault="00BE2FF3">
            <w:pPr>
              <w:jc w:val="center"/>
              <w:rPr>
                <w:rFonts w:ascii="宋体" w:eastAsia="宋体" w:hAnsi="宋体" w:cs="宋体"/>
                <w:b/>
                <w:bCs/>
                <w:szCs w:val="21"/>
              </w:rPr>
            </w:pPr>
            <w:r>
              <w:rPr>
                <w:rFonts w:ascii="宋体" w:eastAsia="宋体" w:hAnsi="宋体" w:cs="宋体" w:hint="eastAsia"/>
                <w:b/>
                <w:bCs/>
                <w:szCs w:val="21"/>
              </w:rPr>
              <w:t>R&amp;D</w:t>
            </w:r>
            <w:r>
              <w:rPr>
                <w:rFonts w:ascii="宋体" w:eastAsia="宋体" w:hAnsi="宋体" w:cs="宋体" w:hint="eastAsia"/>
                <w:b/>
                <w:bCs/>
                <w:szCs w:val="21"/>
              </w:rPr>
              <w:t>经费</w:t>
            </w:r>
            <w:r>
              <w:rPr>
                <w:rFonts w:ascii="宋体" w:eastAsia="宋体" w:hAnsi="宋体" w:cs="宋体" w:hint="eastAsia"/>
                <w:b/>
                <w:bCs/>
                <w:szCs w:val="21"/>
              </w:rPr>
              <w:t>/</w:t>
            </w:r>
            <w:r>
              <w:rPr>
                <w:rFonts w:ascii="宋体" w:eastAsia="宋体" w:hAnsi="宋体" w:cs="宋体" w:hint="eastAsia"/>
                <w:b/>
                <w:bCs/>
                <w:szCs w:val="21"/>
              </w:rPr>
              <w:t>营业收入（</w:t>
            </w:r>
            <w:r>
              <w:rPr>
                <w:rFonts w:ascii="宋体" w:eastAsia="宋体" w:hAnsi="宋体" w:cs="宋体" w:hint="eastAsia"/>
                <w:b/>
                <w:bCs/>
                <w:szCs w:val="21"/>
              </w:rPr>
              <w:t>%</w:t>
            </w:r>
            <w:r>
              <w:rPr>
                <w:rFonts w:ascii="宋体" w:eastAsia="宋体" w:hAnsi="宋体" w:cs="宋体" w:hint="eastAsia"/>
                <w:b/>
                <w:bCs/>
                <w:szCs w:val="21"/>
              </w:rPr>
              <w:t>）</w:t>
            </w:r>
          </w:p>
        </w:tc>
      </w:tr>
      <w:tr w:rsidR="00FD7C35">
        <w:trPr>
          <w:jc w:val="center"/>
        </w:trPr>
        <w:tc>
          <w:tcPr>
            <w:tcW w:w="3828" w:type="dxa"/>
            <w:tcBorders>
              <w:bottom w:val="single" w:sz="4" w:space="0" w:color="auto"/>
            </w:tcBorders>
          </w:tcPr>
          <w:p w:rsidR="00FD7C35" w:rsidRDefault="00BE2FF3">
            <w:pPr>
              <w:jc w:val="center"/>
              <w:rPr>
                <w:rFonts w:ascii="Times New Roman" w:eastAsia="宋体" w:hAnsi="Times New Roman" w:cs="Times New Roman"/>
                <w:b/>
                <w:bCs/>
                <w:szCs w:val="21"/>
              </w:rPr>
            </w:pPr>
            <w:r>
              <w:rPr>
                <w:rFonts w:ascii="Times New Roman" w:eastAsia="宋体" w:hAnsi="Times New Roman" w:cs="Times New Roman"/>
                <w:b/>
                <w:bCs/>
                <w:szCs w:val="21"/>
              </w:rPr>
              <w:t>合计</w:t>
            </w:r>
          </w:p>
        </w:tc>
        <w:tc>
          <w:tcPr>
            <w:tcW w:w="2090" w:type="dxa"/>
            <w:tcBorders>
              <w:bottom w:val="single" w:sz="4" w:space="0" w:color="auto"/>
            </w:tcBorders>
            <w:vAlign w:val="bottom"/>
          </w:tcPr>
          <w:p w:rsidR="00FD7C35" w:rsidRDefault="00BE2FF3">
            <w:pPr>
              <w:widowControl/>
              <w:jc w:val="right"/>
              <w:textAlignment w:val="bottom"/>
              <w:rPr>
                <w:rFonts w:ascii="Times New Roman" w:eastAsia="宋体" w:hAnsi="Times New Roman" w:cs="Times New Roman"/>
                <w:b/>
                <w:kern w:val="0"/>
                <w:szCs w:val="21"/>
                <w:lang/>
              </w:rPr>
            </w:pPr>
            <w:r>
              <w:rPr>
                <w:rFonts w:ascii="Times New Roman" w:eastAsia="宋体" w:hAnsi="Times New Roman" w:cs="Times New Roman"/>
                <w:b/>
                <w:kern w:val="0"/>
                <w:szCs w:val="21"/>
                <w:lang/>
              </w:rPr>
              <w:t>5.93</w:t>
            </w:r>
          </w:p>
        </w:tc>
        <w:tc>
          <w:tcPr>
            <w:tcW w:w="2210" w:type="dxa"/>
            <w:tcBorders>
              <w:bottom w:val="single" w:sz="4" w:space="0" w:color="auto"/>
            </w:tcBorders>
            <w:vAlign w:val="bottom"/>
          </w:tcPr>
          <w:p w:rsidR="00FD7C35" w:rsidRDefault="00BE2FF3">
            <w:pPr>
              <w:widowControl/>
              <w:jc w:val="right"/>
              <w:textAlignment w:val="bottom"/>
              <w:rPr>
                <w:rFonts w:ascii="Times New Roman" w:eastAsia="宋体" w:hAnsi="Times New Roman" w:cs="Times New Roman"/>
                <w:b/>
                <w:kern w:val="0"/>
                <w:szCs w:val="21"/>
                <w:lang/>
              </w:rPr>
            </w:pPr>
            <w:r>
              <w:rPr>
                <w:rFonts w:ascii="Times New Roman" w:eastAsia="宋体" w:hAnsi="Times New Roman" w:cs="Times New Roman"/>
                <w:b/>
                <w:kern w:val="0"/>
                <w:szCs w:val="21"/>
                <w:lang/>
              </w:rPr>
              <w:t>1.17</w:t>
            </w:r>
          </w:p>
        </w:tc>
      </w:tr>
      <w:tr w:rsidR="00FD7C35">
        <w:trPr>
          <w:jc w:val="center"/>
        </w:trPr>
        <w:tc>
          <w:tcPr>
            <w:tcW w:w="3828" w:type="dxa"/>
            <w:tcBorders>
              <w:bottom w:val="nil"/>
            </w:tcBorders>
          </w:tcPr>
          <w:p w:rsidR="00FD7C35" w:rsidRDefault="00BE2FF3">
            <w:pPr>
              <w:jc w:val="center"/>
              <w:rPr>
                <w:rFonts w:ascii="Times New Roman" w:eastAsia="宋体" w:hAnsi="Times New Roman" w:cs="Times New Roman"/>
                <w:b/>
                <w:szCs w:val="21"/>
              </w:rPr>
            </w:pPr>
            <w:r>
              <w:rPr>
                <w:rFonts w:ascii="Times New Roman" w:eastAsia="宋体" w:hAnsi="Times New Roman" w:cs="Times New Roman"/>
                <w:b/>
                <w:bCs/>
                <w:szCs w:val="21"/>
              </w:rPr>
              <w:t>制造业</w:t>
            </w:r>
          </w:p>
        </w:tc>
        <w:tc>
          <w:tcPr>
            <w:tcW w:w="2090" w:type="dxa"/>
            <w:tcBorders>
              <w:bottom w:val="nil"/>
            </w:tcBorders>
            <w:vAlign w:val="bottom"/>
          </w:tcPr>
          <w:p w:rsidR="00FD7C35" w:rsidRDefault="00BE2FF3">
            <w:pPr>
              <w:widowControl/>
              <w:jc w:val="right"/>
              <w:textAlignment w:val="bottom"/>
              <w:rPr>
                <w:rFonts w:ascii="Times New Roman" w:eastAsia="宋体" w:hAnsi="Times New Roman" w:cs="Times New Roman"/>
                <w:b/>
                <w:szCs w:val="21"/>
              </w:rPr>
            </w:pPr>
            <w:r>
              <w:rPr>
                <w:rFonts w:ascii="Times New Roman" w:eastAsia="宋体" w:hAnsi="Times New Roman" w:cs="Times New Roman"/>
                <w:szCs w:val="21"/>
              </w:rPr>
              <w:t xml:space="preserve">4.31 </w:t>
            </w:r>
          </w:p>
        </w:tc>
        <w:tc>
          <w:tcPr>
            <w:tcW w:w="2210" w:type="dxa"/>
            <w:tcBorders>
              <w:bottom w:val="nil"/>
            </w:tcBorders>
            <w:vAlign w:val="bottom"/>
          </w:tcPr>
          <w:p w:rsidR="00FD7C35" w:rsidRDefault="00BE2FF3">
            <w:pPr>
              <w:widowControl/>
              <w:jc w:val="right"/>
              <w:textAlignment w:val="bottom"/>
              <w:rPr>
                <w:rFonts w:ascii="Times New Roman" w:eastAsia="宋体" w:hAnsi="Times New Roman" w:cs="Times New Roman"/>
                <w:b/>
                <w:szCs w:val="21"/>
              </w:rPr>
            </w:pPr>
            <w:r>
              <w:rPr>
                <w:rFonts w:ascii="Times New Roman" w:eastAsia="宋体" w:hAnsi="Times New Roman" w:cs="Times New Roman"/>
                <w:szCs w:val="21"/>
              </w:rPr>
              <w:t xml:space="preserve">1.68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电气机械和器材制造业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2.18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1.43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纺织服装、服饰业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r>
      <w:tr w:rsidR="00FD7C35">
        <w:trPr>
          <w:jc w:val="center"/>
        </w:trPr>
        <w:tc>
          <w:tcPr>
            <w:tcW w:w="3828" w:type="dxa"/>
            <w:tcBorders>
              <w:top w:val="nil"/>
              <w:bottom w:val="single" w:sz="4" w:space="0" w:color="auto"/>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纺织业</w:t>
            </w:r>
          </w:p>
        </w:tc>
        <w:tc>
          <w:tcPr>
            <w:tcW w:w="2090" w:type="dxa"/>
            <w:tcBorders>
              <w:top w:val="nil"/>
              <w:bottom w:val="single" w:sz="4" w:space="0" w:color="auto"/>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c>
          <w:tcPr>
            <w:tcW w:w="2210" w:type="dxa"/>
            <w:tcBorders>
              <w:top w:val="nil"/>
              <w:bottom w:val="single" w:sz="4" w:space="0" w:color="auto"/>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r>
      <w:tr w:rsidR="00FD7C35">
        <w:trPr>
          <w:jc w:val="center"/>
        </w:trPr>
        <w:tc>
          <w:tcPr>
            <w:tcW w:w="3828" w:type="dxa"/>
            <w:tcBorders>
              <w:top w:val="single" w:sz="4" w:space="0" w:color="auto"/>
              <w:bottom w:val="single" w:sz="4" w:space="0" w:color="auto"/>
            </w:tcBorders>
          </w:tcPr>
          <w:p w:rsidR="00FD7C35" w:rsidRDefault="00FD7C35">
            <w:pPr>
              <w:rPr>
                <w:rFonts w:ascii="宋体" w:eastAsia="宋体" w:hAnsi="宋体" w:cs="宋体"/>
                <w:b/>
                <w:bCs/>
                <w:szCs w:val="21"/>
              </w:rPr>
            </w:pPr>
          </w:p>
        </w:tc>
        <w:tc>
          <w:tcPr>
            <w:tcW w:w="2090" w:type="dxa"/>
            <w:tcBorders>
              <w:top w:val="single" w:sz="4" w:space="0" w:color="auto"/>
              <w:bottom w:val="single" w:sz="4" w:space="0" w:color="auto"/>
            </w:tcBorders>
            <w:vAlign w:val="center"/>
          </w:tcPr>
          <w:p w:rsidR="00FD7C35" w:rsidRDefault="00BE2FF3">
            <w:pPr>
              <w:jc w:val="center"/>
              <w:rPr>
                <w:rFonts w:ascii="宋体" w:eastAsia="宋体" w:hAnsi="宋体" w:cs="宋体"/>
                <w:b/>
                <w:bCs/>
                <w:szCs w:val="21"/>
              </w:rPr>
            </w:pPr>
            <w:r>
              <w:rPr>
                <w:rFonts w:ascii="宋体" w:eastAsia="宋体" w:hAnsi="宋体" w:cs="宋体" w:hint="eastAsia"/>
                <w:b/>
                <w:bCs/>
                <w:szCs w:val="21"/>
              </w:rPr>
              <w:t>R&amp;D</w:t>
            </w:r>
            <w:r>
              <w:rPr>
                <w:rFonts w:ascii="宋体" w:eastAsia="宋体" w:hAnsi="宋体" w:cs="宋体" w:hint="eastAsia"/>
                <w:b/>
                <w:bCs/>
                <w:szCs w:val="21"/>
              </w:rPr>
              <w:t>经费支出</w:t>
            </w:r>
          </w:p>
          <w:p w:rsidR="00FD7C35" w:rsidRDefault="00BE2FF3">
            <w:pPr>
              <w:jc w:val="center"/>
              <w:rPr>
                <w:rFonts w:ascii="宋体" w:eastAsia="宋体" w:hAnsi="宋体" w:cs="宋体"/>
                <w:b/>
                <w:bCs/>
                <w:szCs w:val="21"/>
              </w:rPr>
            </w:pPr>
            <w:r>
              <w:rPr>
                <w:rFonts w:ascii="宋体" w:eastAsia="宋体" w:hAnsi="宋体" w:cs="宋体" w:hint="eastAsia"/>
                <w:b/>
                <w:bCs/>
                <w:szCs w:val="21"/>
              </w:rPr>
              <w:t>（亿元）</w:t>
            </w:r>
          </w:p>
        </w:tc>
        <w:tc>
          <w:tcPr>
            <w:tcW w:w="2210" w:type="dxa"/>
            <w:tcBorders>
              <w:top w:val="single" w:sz="4" w:space="0" w:color="auto"/>
              <w:bottom w:val="single" w:sz="4" w:space="0" w:color="auto"/>
            </w:tcBorders>
            <w:vAlign w:val="center"/>
          </w:tcPr>
          <w:p w:rsidR="00FD7C35" w:rsidRDefault="00BE2FF3">
            <w:pPr>
              <w:jc w:val="center"/>
              <w:rPr>
                <w:rFonts w:ascii="宋体" w:eastAsia="宋体" w:hAnsi="宋体" w:cs="宋体"/>
                <w:b/>
                <w:bCs/>
                <w:szCs w:val="21"/>
              </w:rPr>
            </w:pPr>
            <w:r>
              <w:rPr>
                <w:rFonts w:ascii="宋体" w:eastAsia="宋体" w:hAnsi="宋体" w:cs="宋体" w:hint="eastAsia"/>
                <w:b/>
                <w:bCs/>
                <w:szCs w:val="21"/>
              </w:rPr>
              <w:t>R&amp;D</w:t>
            </w:r>
            <w:r>
              <w:rPr>
                <w:rFonts w:ascii="宋体" w:eastAsia="宋体" w:hAnsi="宋体" w:cs="宋体" w:hint="eastAsia"/>
                <w:b/>
                <w:bCs/>
                <w:szCs w:val="21"/>
              </w:rPr>
              <w:t>经费</w:t>
            </w:r>
            <w:r>
              <w:rPr>
                <w:rFonts w:ascii="宋体" w:eastAsia="宋体" w:hAnsi="宋体" w:cs="宋体" w:hint="eastAsia"/>
                <w:b/>
                <w:bCs/>
                <w:szCs w:val="21"/>
              </w:rPr>
              <w:t>/</w:t>
            </w:r>
            <w:r>
              <w:rPr>
                <w:rFonts w:ascii="宋体" w:eastAsia="宋体" w:hAnsi="宋体" w:cs="宋体" w:hint="eastAsia"/>
                <w:b/>
                <w:bCs/>
                <w:szCs w:val="21"/>
              </w:rPr>
              <w:t>营业收入（</w:t>
            </w:r>
            <w:r>
              <w:rPr>
                <w:rFonts w:ascii="宋体" w:eastAsia="宋体" w:hAnsi="宋体" w:cs="宋体" w:hint="eastAsia"/>
                <w:b/>
                <w:bCs/>
                <w:szCs w:val="21"/>
              </w:rPr>
              <w:t>%</w:t>
            </w:r>
            <w:r>
              <w:rPr>
                <w:rFonts w:ascii="宋体" w:eastAsia="宋体" w:hAnsi="宋体" w:cs="宋体" w:hint="eastAsia"/>
                <w:b/>
                <w:bCs/>
                <w:szCs w:val="21"/>
              </w:rPr>
              <w:t>）</w:t>
            </w:r>
          </w:p>
        </w:tc>
      </w:tr>
      <w:tr w:rsidR="00FD7C35">
        <w:trPr>
          <w:jc w:val="center"/>
        </w:trPr>
        <w:tc>
          <w:tcPr>
            <w:tcW w:w="3828" w:type="dxa"/>
            <w:tcBorders>
              <w:top w:val="single" w:sz="4" w:space="0" w:color="auto"/>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非金属矿物制品业</w:t>
            </w:r>
          </w:p>
        </w:tc>
        <w:tc>
          <w:tcPr>
            <w:tcW w:w="2090" w:type="dxa"/>
            <w:tcBorders>
              <w:top w:val="single" w:sz="4" w:space="0" w:color="auto"/>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c>
          <w:tcPr>
            <w:tcW w:w="2210" w:type="dxa"/>
            <w:tcBorders>
              <w:top w:val="single" w:sz="4" w:space="0" w:color="auto"/>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化学原料和化学制品制造业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0.02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1.87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计算机、通信和其他电子设备制造业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1.71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3.16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家具制造业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农副食品加工业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皮革、毛皮、羽毛及其制品和制鞋业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其他制造业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kern w:val="0"/>
                <w:szCs w:val="21"/>
                <w:lang/>
              </w:rPr>
            </w:pPr>
            <w:r>
              <w:rPr>
                <w:rFonts w:ascii="Times New Roman" w:eastAsia="宋体" w:hAnsi="Times New Roman" w:cs="Times New Roman"/>
                <w:szCs w:val="21"/>
              </w:rPr>
              <w:t>食品制造业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0.05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0.74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通用设备制造业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0.12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9.04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文教、工美、体育和娱乐用品制造业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0.01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1.16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橡胶和塑料制品业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0.17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5.62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医药制造业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0.02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2.90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仪器仪表制造业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造纸和纸制品业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r>
      <w:tr w:rsidR="00FD7C35">
        <w:trPr>
          <w:jc w:val="center"/>
        </w:trPr>
        <w:tc>
          <w:tcPr>
            <w:tcW w:w="3828" w:type="dxa"/>
            <w:tcBorders>
              <w:top w:val="nil"/>
              <w:bottom w:val="nil"/>
            </w:tcBorders>
            <w:vAlign w:val="center"/>
          </w:tcPr>
          <w:p w:rsidR="00FD7C35" w:rsidRDefault="00BE2FF3">
            <w:pPr>
              <w:widowControl/>
              <w:jc w:val="left"/>
              <w:textAlignment w:val="bottom"/>
              <w:rPr>
                <w:rFonts w:ascii="Times New Roman" w:eastAsia="宋体" w:hAnsi="Times New Roman" w:cs="Times New Roman"/>
                <w:szCs w:val="21"/>
              </w:rPr>
            </w:pPr>
            <w:r>
              <w:rPr>
                <w:rFonts w:ascii="Times New Roman" w:eastAsia="宋体" w:hAnsi="Times New Roman" w:cs="Times New Roman"/>
                <w:szCs w:val="21"/>
              </w:rPr>
              <w:t>专用设备制造业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0.02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2.04 </w:t>
            </w:r>
          </w:p>
        </w:tc>
      </w:tr>
      <w:tr w:rsidR="00FD7C35">
        <w:trPr>
          <w:jc w:val="center"/>
        </w:trPr>
        <w:tc>
          <w:tcPr>
            <w:tcW w:w="3828" w:type="dxa"/>
            <w:tcBorders>
              <w:top w:val="nil"/>
              <w:bottom w:val="nil"/>
            </w:tcBorders>
          </w:tcPr>
          <w:p w:rsidR="00FD7C35" w:rsidRDefault="00BE2FF3">
            <w:pPr>
              <w:rPr>
                <w:rFonts w:ascii="Times New Roman" w:eastAsia="宋体" w:hAnsi="Times New Roman" w:cs="Times New Roman"/>
                <w:b/>
                <w:szCs w:val="21"/>
              </w:rPr>
            </w:pPr>
            <w:r>
              <w:rPr>
                <w:rFonts w:ascii="Times New Roman" w:eastAsia="宋体" w:hAnsi="Times New Roman" w:cs="Times New Roman"/>
                <w:b/>
                <w:bCs/>
                <w:szCs w:val="21"/>
              </w:rPr>
              <w:t>电力、热力、燃气及水生产和供应业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b/>
                <w:szCs w:val="21"/>
              </w:rPr>
            </w:pPr>
            <w:r>
              <w:rPr>
                <w:rFonts w:ascii="Times New Roman" w:eastAsia="宋体" w:hAnsi="Times New Roman" w:cs="Times New Roman"/>
                <w:szCs w:val="21"/>
              </w:rPr>
              <w:t xml:space="preserve">1.62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b/>
                <w:szCs w:val="21"/>
              </w:rPr>
            </w:pPr>
            <w:r>
              <w:rPr>
                <w:rFonts w:ascii="Times New Roman" w:eastAsia="宋体" w:hAnsi="Times New Roman" w:cs="Times New Roman"/>
                <w:szCs w:val="21"/>
              </w:rPr>
              <w:t xml:space="preserve">0.65 </w:t>
            </w:r>
          </w:p>
        </w:tc>
      </w:tr>
      <w:tr w:rsidR="00FD7C35">
        <w:trPr>
          <w:jc w:val="center"/>
        </w:trPr>
        <w:tc>
          <w:tcPr>
            <w:tcW w:w="3828" w:type="dxa"/>
            <w:tcBorders>
              <w:top w:val="nil"/>
              <w:bottom w:val="nil"/>
            </w:tcBorders>
            <w:vAlign w:val="center"/>
          </w:tcPr>
          <w:p w:rsidR="00FD7C35" w:rsidRDefault="00BE2FF3">
            <w:pPr>
              <w:rPr>
                <w:rFonts w:ascii="Times New Roman" w:eastAsia="宋体" w:hAnsi="Times New Roman" w:cs="Times New Roman"/>
                <w:szCs w:val="21"/>
              </w:rPr>
            </w:pPr>
            <w:r>
              <w:rPr>
                <w:rFonts w:ascii="Times New Roman" w:eastAsia="宋体" w:hAnsi="Times New Roman" w:cs="Times New Roman"/>
                <w:szCs w:val="21"/>
              </w:rPr>
              <w:t>电力、热力生产和供应业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1.62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0.90 </w:t>
            </w:r>
          </w:p>
        </w:tc>
      </w:tr>
      <w:tr w:rsidR="00FD7C35">
        <w:trPr>
          <w:jc w:val="center"/>
        </w:trPr>
        <w:tc>
          <w:tcPr>
            <w:tcW w:w="3828" w:type="dxa"/>
            <w:tcBorders>
              <w:top w:val="nil"/>
              <w:bottom w:val="nil"/>
            </w:tcBorders>
            <w:vAlign w:val="center"/>
          </w:tcPr>
          <w:p w:rsidR="00FD7C35" w:rsidRDefault="00BE2FF3">
            <w:pPr>
              <w:rPr>
                <w:rFonts w:ascii="Times New Roman" w:eastAsia="宋体" w:hAnsi="Times New Roman" w:cs="Times New Roman"/>
                <w:szCs w:val="21"/>
              </w:rPr>
            </w:pPr>
            <w:r>
              <w:rPr>
                <w:rFonts w:ascii="Times New Roman" w:eastAsia="宋体" w:hAnsi="Times New Roman" w:cs="Times New Roman"/>
                <w:szCs w:val="21"/>
              </w:rPr>
              <w:t>燃气生产和供应业</w:t>
            </w:r>
          </w:p>
        </w:tc>
        <w:tc>
          <w:tcPr>
            <w:tcW w:w="209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0.01 </w:t>
            </w:r>
          </w:p>
        </w:tc>
        <w:tc>
          <w:tcPr>
            <w:tcW w:w="2210" w:type="dxa"/>
            <w:tcBorders>
              <w:top w:val="nil"/>
              <w:bottom w:val="nil"/>
            </w:tcBorders>
            <w:vAlign w:val="bottom"/>
          </w:tcPr>
          <w:p w:rsidR="00FD7C35" w:rsidRDefault="00BE2FF3">
            <w:pPr>
              <w:widowControl/>
              <w:jc w:val="right"/>
              <w:textAlignment w:val="bottom"/>
              <w:rPr>
                <w:rFonts w:ascii="Times New Roman" w:eastAsia="宋体" w:hAnsi="Times New Roman" w:cs="Times New Roman"/>
                <w:kern w:val="0"/>
                <w:szCs w:val="21"/>
                <w:lang/>
              </w:rPr>
            </w:pPr>
            <w:r>
              <w:rPr>
                <w:rFonts w:ascii="Times New Roman" w:eastAsia="宋体" w:hAnsi="Times New Roman" w:cs="Times New Roman"/>
                <w:szCs w:val="21"/>
              </w:rPr>
              <w:t xml:space="preserve">0.01 </w:t>
            </w:r>
          </w:p>
        </w:tc>
      </w:tr>
      <w:tr w:rsidR="00FD7C35">
        <w:trPr>
          <w:jc w:val="center"/>
        </w:trPr>
        <w:tc>
          <w:tcPr>
            <w:tcW w:w="3828" w:type="dxa"/>
            <w:tcBorders>
              <w:top w:val="nil"/>
            </w:tcBorders>
            <w:vAlign w:val="center"/>
          </w:tcPr>
          <w:p w:rsidR="00FD7C35" w:rsidRDefault="00BE2FF3">
            <w:pPr>
              <w:rPr>
                <w:rFonts w:ascii="Times New Roman" w:eastAsia="宋体" w:hAnsi="Times New Roman" w:cs="Times New Roman"/>
                <w:szCs w:val="21"/>
              </w:rPr>
            </w:pPr>
            <w:r>
              <w:rPr>
                <w:rFonts w:ascii="Times New Roman" w:eastAsia="宋体" w:hAnsi="Times New Roman" w:cs="Times New Roman"/>
                <w:szCs w:val="21"/>
              </w:rPr>
              <w:t>水的生产和供应业</w:t>
            </w:r>
          </w:p>
        </w:tc>
        <w:tc>
          <w:tcPr>
            <w:tcW w:w="2090" w:type="dxa"/>
            <w:tcBorders>
              <w:top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c>
          <w:tcPr>
            <w:tcW w:w="2210" w:type="dxa"/>
            <w:tcBorders>
              <w:top w:val="nil"/>
            </w:tcBorders>
            <w:vAlign w:val="bottom"/>
          </w:tcPr>
          <w:p w:rsidR="00FD7C35" w:rsidRDefault="00BE2FF3">
            <w:pPr>
              <w:widowControl/>
              <w:jc w:val="right"/>
              <w:textAlignment w:val="bottom"/>
              <w:rPr>
                <w:rFonts w:ascii="Times New Roman" w:eastAsia="宋体" w:hAnsi="Times New Roman" w:cs="Times New Roman"/>
                <w:szCs w:val="21"/>
              </w:rPr>
            </w:pPr>
            <w:r>
              <w:rPr>
                <w:rFonts w:ascii="Times New Roman" w:eastAsia="宋体" w:hAnsi="Times New Roman" w:cs="Times New Roman"/>
                <w:szCs w:val="21"/>
              </w:rPr>
              <w:t xml:space="preserve">0.00 </w:t>
            </w:r>
          </w:p>
        </w:tc>
      </w:tr>
    </w:tbl>
    <w:p w:rsidR="00FD7C35" w:rsidRDefault="00BE2FF3">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w:t>
      </w:r>
      <w:bookmarkStart w:id="0" w:name="_GoBack"/>
      <w:bookmarkEnd w:id="0"/>
      <w:r>
        <w:rPr>
          <w:rFonts w:ascii="黑体" w:eastAsia="黑体" w:hAnsi="黑体" w:cs="黑体" w:hint="eastAsia"/>
          <w:kern w:val="0"/>
          <w:sz w:val="32"/>
          <w:szCs w:val="32"/>
        </w:rPr>
        <w:t>、文化及相关产业</w:t>
      </w:r>
    </w:p>
    <w:p w:rsidR="00FD7C35" w:rsidRDefault="00BE2FF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年末，全区有文化及相关产业法人单位</w:t>
      </w:r>
      <w:r>
        <w:rPr>
          <w:rFonts w:ascii="仿宋_GB2312" w:eastAsia="仿宋_GB2312" w:hAnsi="仿宋_GB2312" w:cs="仿宋_GB2312" w:hint="eastAsia"/>
          <w:kern w:val="0"/>
          <w:sz w:val="32"/>
          <w:szCs w:val="32"/>
        </w:rPr>
        <w:t>441</w:t>
      </w:r>
      <w:r>
        <w:rPr>
          <w:rFonts w:ascii="仿宋_GB2312" w:eastAsia="仿宋_GB2312" w:hAnsi="仿宋_GB2312" w:cs="仿宋_GB2312" w:hint="eastAsia"/>
          <w:kern w:val="0"/>
          <w:sz w:val="32"/>
          <w:szCs w:val="32"/>
        </w:rPr>
        <w:t>个；从业人员</w:t>
      </w:r>
      <w:r>
        <w:rPr>
          <w:rFonts w:ascii="仿宋_GB2312" w:eastAsia="仿宋_GB2312" w:hAnsi="仿宋_GB2312" w:cs="仿宋_GB2312" w:hint="eastAsia"/>
          <w:kern w:val="0"/>
          <w:sz w:val="32"/>
          <w:szCs w:val="32"/>
        </w:rPr>
        <w:t>4144</w:t>
      </w:r>
      <w:r>
        <w:rPr>
          <w:rFonts w:ascii="仿宋_GB2312" w:eastAsia="仿宋_GB2312" w:hAnsi="仿宋_GB2312" w:cs="仿宋_GB2312" w:hint="eastAsia"/>
          <w:kern w:val="0"/>
          <w:sz w:val="32"/>
          <w:szCs w:val="32"/>
        </w:rPr>
        <w:t>人；资产总计</w:t>
      </w:r>
      <w:r>
        <w:rPr>
          <w:rFonts w:ascii="仿宋_GB2312" w:eastAsia="仿宋_GB2312" w:hAnsi="仿宋_GB2312" w:cs="仿宋_GB2312" w:hint="eastAsia"/>
          <w:kern w:val="0"/>
          <w:sz w:val="32"/>
          <w:szCs w:val="32"/>
        </w:rPr>
        <w:t>17.11</w:t>
      </w:r>
      <w:r>
        <w:rPr>
          <w:rFonts w:ascii="仿宋_GB2312" w:eastAsia="仿宋_GB2312" w:hAnsi="仿宋_GB2312" w:cs="仿宋_GB2312" w:hint="eastAsia"/>
          <w:kern w:val="0"/>
          <w:sz w:val="32"/>
          <w:szCs w:val="32"/>
        </w:rPr>
        <w:t>亿元。</w:t>
      </w:r>
    </w:p>
    <w:p w:rsidR="00FD7C35" w:rsidRDefault="00BE2FF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年末，全区有经营性文化产业法人单位</w:t>
      </w:r>
      <w:r>
        <w:rPr>
          <w:rFonts w:ascii="仿宋_GB2312" w:eastAsia="仿宋_GB2312" w:hAnsi="仿宋_GB2312" w:cs="仿宋_GB2312" w:hint="eastAsia"/>
          <w:kern w:val="0"/>
          <w:sz w:val="32"/>
          <w:szCs w:val="32"/>
        </w:rPr>
        <w:t>411</w:t>
      </w:r>
      <w:r>
        <w:rPr>
          <w:rFonts w:ascii="仿宋_GB2312" w:eastAsia="仿宋_GB2312" w:hAnsi="仿宋_GB2312" w:cs="仿宋_GB2312" w:hint="eastAsia"/>
          <w:kern w:val="0"/>
          <w:sz w:val="32"/>
          <w:szCs w:val="32"/>
        </w:rPr>
        <w:t>个；从业人员</w:t>
      </w:r>
      <w:r>
        <w:rPr>
          <w:rFonts w:ascii="仿宋_GB2312" w:eastAsia="仿宋_GB2312" w:hAnsi="仿宋_GB2312" w:cs="仿宋_GB2312" w:hint="eastAsia"/>
          <w:kern w:val="0"/>
          <w:sz w:val="32"/>
          <w:szCs w:val="32"/>
        </w:rPr>
        <w:t>3903</w:t>
      </w:r>
      <w:r>
        <w:rPr>
          <w:rFonts w:ascii="仿宋_GB2312" w:eastAsia="仿宋_GB2312" w:hAnsi="仿宋_GB2312" w:cs="仿宋_GB2312" w:hint="eastAsia"/>
          <w:kern w:val="0"/>
          <w:sz w:val="32"/>
          <w:szCs w:val="32"/>
        </w:rPr>
        <w:t>人；资产总计</w:t>
      </w:r>
      <w:r>
        <w:rPr>
          <w:rFonts w:ascii="仿宋_GB2312" w:eastAsia="仿宋_GB2312" w:hAnsi="仿宋_GB2312" w:cs="仿宋_GB2312" w:hint="eastAsia"/>
          <w:kern w:val="0"/>
          <w:sz w:val="32"/>
          <w:szCs w:val="32"/>
        </w:rPr>
        <w:t>16.17</w:t>
      </w:r>
      <w:r>
        <w:rPr>
          <w:rFonts w:ascii="仿宋_GB2312" w:eastAsia="仿宋_GB2312" w:hAnsi="仿宋_GB2312" w:cs="仿宋_GB2312" w:hint="eastAsia"/>
          <w:kern w:val="0"/>
          <w:sz w:val="32"/>
          <w:szCs w:val="32"/>
        </w:rPr>
        <w:t>亿元；全年实现营业收入</w:t>
      </w:r>
      <w:r>
        <w:rPr>
          <w:rFonts w:ascii="仿宋_GB2312" w:eastAsia="仿宋_GB2312" w:hAnsi="仿宋_GB2312" w:cs="仿宋_GB2312" w:hint="eastAsia"/>
          <w:kern w:val="0"/>
          <w:sz w:val="32"/>
          <w:szCs w:val="32"/>
        </w:rPr>
        <w:t>8.40</w:t>
      </w:r>
      <w:r>
        <w:rPr>
          <w:rFonts w:ascii="仿宋_GB2312" w:eastAsia="仿宋_GB2312" w:hAnsi="仿宋_GB2312" w:cs="仿宋_GB2312" w:hint="eastAsia"/>
          <w:kern w:val="0"/>
          <w:sz w:val="32"/>
          <w:szCs w:val="32"/>
        </w:rPr>
        <w:t>亿元。</w:t>
      </w:r>
    </w:p>
    <w:p w:rsidR="00FD7C35" w:rsidRDefault="00BE2FF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年末，全区有公益性文化事业（含社团）法人单位</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个；从业人员</w:t>
      </w:r>
      <w:r>
        <w:rPr>
          <w:rFonts w:ascii="仿宋_GB2312" w:eastAsia="仿宋_GB2312" w:hAnsi="仿宋_GB2312" w:cs="仿宋_GB2312" w:hint="eastAsia"/>
          <w:kern w:val="0"/>
          <w:sz w:val="32"/>
          <w:szCs w:val="32"/>
        </w:rPr>
        <w:t>241</w:t>
      </w:r>
      <w:r>
        <w:rPr>
          <w:rFonts w:ascii="仿宋_GB2312" w:eastAsia="仿宋_GB2312" w:hAnsi="仿宋_GB2312" w:cs="仿宋_GB2312" w:hint="eastAsia"/>
          <w:kern w:val="0"/>
          <w:sz w:val="32"/>
          <w:szCs w:val="32"/>
        </w:rPr>
        <w:t>人；资产总计</w:t>
      </w:r>
      <w:r>
        <w:rPr>
          <w:rFonts w:ascii="仿宋_GB2312" w:eastAsia="仿宋_GB2312" w:hAnsi="仿宋_GB2312" w:cs="仿宋_GB2312" w:hint="eastAsia"/>
          <w:kern w:val="0"/>
          <w:sz w:val="32"/>
          <w:szCs w:val="32"/>
        </w:rPr>
        <w:t>0.94</w:t>
      </w:r>
      <w:r>
        <w:rPr>
          <w:rFonts w:ascii="仿宋_GB2312" w:eastAsia="仿宋_GB2312" w:hAnsi="仿宋_GB2312" w:cs="仿宋_GB2312" w:hint="eastAsia"/>
          <w:kern w:val="0"/>
          <w:sz w:val="32"/>
          <w:szCs w:val="32"/>
        </w:rPr>
        <w:t>亿元；全年支出（费用）</w:t>
      </w:r>
      <w:r>
        <w:rPr>
          <w:rFonts w:ascii="仿宋_GB2312" w:eastAsia="仿宋_GB2312" w:hAnsi="仿宋_GB2312" w:cs="仿宋_GB2312" w:hint="eastAsia"/>
          <w:kern w:val="0"/>
          <w:sz w:val="32"/>
          <w:szCs w:val="32"/>
        </w:rPr>
        <w:t>0.98</w:t>
      </w:r>
      <w:r>
        <w:rPr>
          <w:rFonts w:ascii="仿宋_GB2312" w:eastAsia="仿宋_GB2312" w:hAnsi="仿宋_GB2312" w:cs="仿宋_GB2312" w:hint="eastAsia"/>
          <w:kern w:val="0"/>
          <w:sz w:val="32"/>
          <w:szCs w:val="32"/>
        </w:rPr>
        <w:t>亿元。</w:t>
      </w:r>
    </w:p>
    <w:p w:rsidR="00FD7C35" w:rsidRDefault="00FD7C35">
      <w:pPr>
        <w:widowControl/>
        <w:spacing w:line="560" w:lineRule="exact"/>
        <w:ind w:firstLineChars="200" w:firstLine="640"/>
        <w:rPr>
          <w:rFonts w:ascii="仿宋_GB2312" w:eastAsia="仿宋_GB2312" w:hAnsi="仿宋_GB2312" w:cs="仿宋_GB2312"/>
          <w:kern w:val="0"/>
          <w:sz w:val="32"/>
          <w:szCs w:val="32"/>
        </w:rPr>
      </w:pPr>
    </w:p>
    <w:p w:rsidR="00FD7C35" w:rsidRDefault="00FD7C35">
      <w:pPr>
        <w:widowControl/>
        <w:spacing w:line="560" w:lineRule="exact"/>
        <w:rPr>
          <w:rFonts w:ascii="黑体" w:eastAsia="黑体" w:hAnsi="黑体" w:cs="黑体"/>
          <w:kern w:val="0"/>
          <w:sz w:val="30"/>
          <w:szCs w:val="30"/>
        </w:rPr>
      </w:pPr>
    </w:p>
    <w:p w:rsidR="00FD7C35" w:rsidRDefault="00BE2FF3">
      <w:pPr>
        <w:widowControl/>
        <w:spacing w:line="500" w:lineRule="exact"/>
        <w:rPr>
          <w:rFonts w:ascii="黑体" w:eastAsia="黑体" w:hAnsi="黑体" w:cs="黑体"/>
          <w:kern w:val="0"/>
          <w:sz w:val="32"/>
          <w:szCs w:val="32"/>
        </w:rPr>
      </w:pPr>
      <w:r>
        <w:rPr>
          <w:rFonts w:ascii="黑体" w:eastAsia="黑体" w:hAnsi="黑体" w:cs="黑体" w:hint="eastAsia"/>
          <w:kern w:val="0"/>
          <w:sz w:val="32"/>
          <w:szCs w:val="32"/>
        </w:rPr>
        <w:lastRenderedPageBreak/>
        <w:t>注释：</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战略性新兴产业：根据</w:t>
      </w:r>
      <w:r>
        <w:rPr>
          <w:rFonts w:ascii="仿宋_GB2312" w:eastAsia="仿宋_GB2312" w:hAnsi="仿宋_GB2312" w:cs="仿宋_GB2312" w:hint="eastAsia"/>
          <w:kern w:val="0"/>
          <w:sz w:val="28"/>
          <w:szCs w:val="28"/>
        </w:rPr>
        <w:t>《国务院关于加快培育和发展战略性新兴产业的决定》（国发〔</w:t>
      </w:r>
      <w:r>
        <w:rPr>
          <w:rFonts w:ascii="仿宋_GB2312" w:eastAsia="仿宋_GB2312" w:hAnsi="仿宋_GB2312" w:cs="仿宋_GB2312" w:hint="eastAsia"/>
          <w:kern w:val="0"/>
          <w:sz w:val="28"/>
          <w:szCs w:val="28"/>
        </w:rPr>
        <w:t>2010</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32</w:t>
      </w:r>
      <w:r>
        <w:rPr>
          <w:rFonts w:ascii="仿宋_GB2312" w:eastAsia="仿宋_GB2312" w:hAnsi="仿宋_GB2312" w:cs="仿宋_GB2312" w:hint="eastAsia"/>
          <w:kern w:val="0"/>
          <w:sz w:val="28"/>
          <w:szCs w:val="28"/>
        </w:rPr>
        <w:t>号）的精神和国家统计局制定的《战略性新兴产业分类（</w:t>
      </w:r>
      <w:r>
        <w:rPr>
          <w:rFonts w:ascii="仿宋_GB2312" w:eastAsia="仿宋_GB2312" w:hAnsi="仿宋_GB2312" w:cs="仿宋_GB2312" w:hint="eastAsia"/>
          <w:kern w:val="0"/>
          <w:sz w:val="28"/>
          <w:szCs w:val="28"/>
        </w:rPr>
        <w:t>2018</w:t>
      </w:r>
      <w:r>
        <w:rPr>
          <w:rFonts w:ascii="仿宋_GB2312" w:eastAsia="仿宋_GB2312" w:hAnsi="仿宋_GB2312" w:cs="仿宋_GB2312" w:hint="eastAsia"/>
          <w:kern w:val="0"/>
          <w:sz w:val="28"/>
          <w:szCs w:val="28"/>
        </w:rPr>
        <w:t>）》标准确定。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w:t>
      </w:r>
      <w:r>
        <w:rPr>
          <w:rFonts w:ascii="仿宋_GB2312" w:eastAsia="仿宋_GB2312" w:hAnsi="仿宋_GB2312" w:cs="仿宋_GB2312" w:hint="eastAsia"/>
          <w:kern w:val="0"/>
          <w:sz w:val="28"/>
          <w:szCs w:val="28"/>
        </w:rPr>
        <w:t>9</w:t>
      </w:r>
      <w:r>
        <w:rPr>
          <w:rFonts w:ascii="仿宋_GB2312" w:eastAsia="仿宋_GB2312" w:hAnsi="仿宋_GB2312" w:cs="仿宋_GB2312" w:hint="eastAsia"/>
          <w:kern w:val="0"/>
          <w:sz w:val="28"/>
          <w:szCs w:val="28"/>
        </w:rPr>
        <w:t>大领域。</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规模以上工业：是指年主营业务收入</w:t>
      </w:r>
      <w:r>
        <w:rPr>
          <w:rFonts w:ascii="仿宋_GB2312" w:eastAsia="仿宋_GB2312" w:hAnsi="仿宋_GB2312" w:cs="仿宋_GB2312" w:hint="eastAsia"/>
          <w:kern w:val="0"/>
          <w:sz w:val="28"/>
          <w:szCs w:val="28"/>
        </w:rPr>
        <w:t>2000</w:t>
      </w:r>
      <w:r>
        <w:rPr>
          <w:rFonts w:ascii="仿宋_GB2312" w:eastAsia="仿宋_GB2312" w:hAnsi="仿宋_GB2312" w:cs="仿宋_GB2312" w:hint="eastAsia"/>
          <w:kern w:val="0"/>
          <w:sz w:val="28"/>
          <w:szCs w:val="28"/>
        </w:rPr>
        <w:t>万元及以上的工业法人</w:t>
      </w:r>
      <w:r>
        <w:rPr>
          <w:rFonts w:ascii="仿宋_GB2312" w:eastAsia="仿宋_GB2312" w:hAnsi="仿宋_GB2312" w:cs="仿宋_GB2312" w:hint="eastAsia"/>
          <w:kern w:val="0"/>
          <w:sz w:val="28"/>
          <w:szCs w:val="28"/>
        </w:rPr>
        <w:t>单位。</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高技术制造业：按照《高技术产业（制造业）分类（</w:t>
      </w:r>
      <w:r>
        <w:rPr>
          <w:rFonts w:ascii="仿宋_GB2312" w:eastAsia="仿宋_GB2312" w:hAnsi="仿宋_GB2312" w:cs="仿宋_GB2312" w:hint="eastAsia"/>
          <w:kern w:val="0"/>
          <w:sz w:val="28"/>
          <w:szCs w:val="28"/>
        </w:rPr>
        <w:t>2017</w:t>
      </w:r>
      <w:r>
        <w:rPr>
          <w:rFonts w:ascii="仿宋_GB2312" w:eastAsia="仿宋_GB2312" w:hAnsi="仿宋_GB2312" w:cs="仿宋_GB2312" w:hint="eastAsia"/>
          <w:kern w:val="0"/>
          <w:sz w:val="28"/>
          <w:szCs w:val="28"/>
        </w:rPr>
        <w:t>）》，高技术制造业是指国民经济行业中</w:t>
      </w:r>
      <w:r>
        <w:rPr>
          <w:rFonts w:ascii="仿宋_GB2312" w:eastAsia="仿宋_GB2312" w:hAnsi="仿宋_GB2312" w:cs="仿宋_GB2312" w:hint="eastAsia"/>
          <w:kern w:val="0"/>
          <w:sz w:val="28"/>
          <w:szCs w:val="28"/>
        </w:rPr>
        <w:t>R&amp;D</w:t>
      </w:r>
      <w:r>
        <w:rPr>
          <w:rFonts w:ascii="仿宋_GB2312" w:eastAsia="仿宋_GB2312" w:hAnsi="仿宋_GB2312" w:cs="仿宋_GB2312" w:hint="eastAsia"/>
          <w:kern w:val="0"/>
          <w:sz w:val="28"/>
          <w:szCs w:val="28"/>
        </w:rPr>
        <w:t>投入强度相对高的制造业行业，包括：医药制造，航空、航天器及设备制造，电子及通信设备制造，计算机及办公设备制造，医疗仪器设备及仪器仪表制造，信息化学品制造等</w:t>
      </w: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大类。</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r>
        <w:rPr>
          <w:rFonts w:ascii="仿宋_GB2312" w:eastAsia="仿宋_GB2312" w:hAnsi="仿宋_GB2312" w:cs="仿宋_GB2312" w:hint="eastAsia"/>
          <w:kern w:val="0"/>
          <w:sz w:val="28"/>
          <w:szCs w:val="28"/>
        </w:rPr>
        <w:t>研究与试验发展：是指为增加知识存量（也包括有关人类、文化和社会的知识）以及设计已有知识的新应用而进行的创造性、系统性工作，包括基础研究、应用研究和试验发展三种类型。</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文化及相关产业：根据《文化及相关产业分类（</w:t>
      </w:r>
      <w:r>
        <w:rPr>
          <w:rFonts w:ascii="仿宋_GB2312" w:eastAsia="仿宋_GB2312" w:hAnsi="仿宋_GB2312" w:cs="仿宋_GB2312" w:hint="eastAsia"/>
          <w:kern w:val="0"/>
          <w:sz w:val="28"/>
          <w:szCs w:val="28"/>
        </w:rPr>
        <w:t>2018</w:t>
      </w:r>
      <w:r>
        <w:rPr>
          <w:rFonts w:ascii="仿宋_GB2312" w:eastAsia="仿宋_GB2312" w:hAnsi="仿宋_GB2312" w:cs="仿宋_GB2312" w:hint="eastAsia"/>
          <w:kern w:val="0"/>
          <w:sz w:val="28"/>
          <w:szCs w:val="28"/>
        </w:rPr>
        <w:t>）》，文化及相关产业是指为社会公众提供文化产品和文化相关产品的生产活动的</w:t>
      </w:r>
      <w:r>
        <w:rPr>
          <w:rFonts w:ascii="仿宋_GB2312" w:eastAsia="仿宋_GB2312" w:hAnsi="仿宋_GB2312" w:cs="仿宋_GB2312" w:hint="eastAsia"/>
          <w:kern w:val="0"/>
          <w:sz w:val="28"/>
          <w:szCs w:val="28"/>
        </w:rPr>
        <w:lastRenderedPageBreak/>
        <w:t>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rsidR="00FD7C35" w:rsidRDefault="00BE2FF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7</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表中的合计数和部分计算数据因小数取舍而产生的误差，均未作机械调整。</w:t>
      </w:r>
    </w:p>
    <w:p w:rsidR="00FD7C35" w:rsidRDefault="00FD7C35">
      <w:pPr>
        <w:spacing w:line="560" w:lineRule="exact"/>
      </w:pPr>
    </w:p>
    <w:sectPr w:rsidR="00FD7C35" w:rsidSect="00FD7C35">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FF3" w:rsidRDefault="00BE2FF3" w:rsidP="00FD7C35">
      <w:r>
        <w:separator/>
      </w:r>
    </w:p>
  </w:endnote>
  <w:endnote w:type="continuationSeparator" w:id="0">
    <w:p w:rsidR="00BE2FF3" w:rsidRDefault="00BE2FF3" w:rsidP="00FD7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35" w:rsidRDefault="00FD7C35">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D7C35" w:rsidRDefault="00FD7C35">
                <w:pPr>
                  <w:pStyle w:val="a4"/>
                </w:pPr>
                <w:r>
                  <w:rPr>
                    <w:rFonts w:ascii="宋体" w:eastAsia="宋体" w:hAnsi="宋体" w:cs="宋体" w:hint="eastAsia"/>
                    <w:sz w:val="28"/>
                    <w:szCs w:val="28"/>
                  </w:rPr>
                  <w:fldChar w:fldCharType="begin"/>
                </w:r>
                <w:r w:rsidR="00BE2FF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0AA4">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FF3" w:rsidRDefault="00BE2FF3" w:rsidP="00FD7C35">
      <w:r>
        <w:separator/>
      </w:r>
    </w:p>
  </w:footnote>
  <w:footnote w:type="continuationSeparator" w:id="0">
    <w:p w:rsidR="00BE2FF3" w:rsidRDefault="00BE2FF3" w:rsidP="00FD7C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EBF"/>
    <w:rsid w:val="00076E50"/>
    <w:rsid w:val="000828BD"/>
    <w:rsid w:val="00087796"/>
    <w:rsid w:val="002A3D3F"/>
    <w:rsid w:val="002C763D"/>
    <w:rsid w:val="00303CDA"/>
    <w:rsid w:val="003632F1"/>
    <w:rsid w:val="003A2E0C"/>
    <w:rsid w:val="00440B76"/>
    <w:rsid w:val="004E7D4B"/>
    <w:rsid w:val="00601A68"/>
    <w:rsid w:val="00681A1E"/>
    <w:rsid w:val="006D21B8"/>
    <w:rsid w:val="006D43FB"/>
    <w:rsid w:val="006D6CB1"/>
    <w:rsid w:val="00741789"/>
    <w:rsid w:val="00742A48"/>
    <w:rsid w:val="007A0AA4"/>
    <w:rsid w:val="007A72A2"/>
    <w:rsid w:val="00824763"/>
    <w:rsid w:val="008D3758"/>
    <w:rsid w:val="0090080F"/>
    <w:rsid w:val="009C1395"/>
    <w:rsid w:val="009F03D2"/>
    <w:rsid w:val="00A97DC2"/>
    <w:rsid w:val="00B7794D"/>
    <w:rsid w:val="00B82EBF"/>
    <w:rsid w:val="00BE2FF3"/>
    <w:rsid w:val="00BE3A86"/>
    <w:rsid w:val="00C81C11"/>
    <w:rsid w:val="00D20E6C"/>
    <w:rsid w:val="00D2156C"/>
    <w:rsid w:val="00D916E7"/>
    <w:rsid w:val="00DA711C"/>
    <w:rsid w:val="00DB398F"/>
    <w:rsid w:val="00E7514D"/>
    <w:rsid w:val="00EA3177"/>
    <w:rsid w:val="00EA6779"/>
    <w:rsid w:val="00EF42A6"/>
    <w:rsid w:val="00FD7C35"/>
    <w:rsid w:val="051C2DDC"/>
    <w:rsid w:val="084A559E"/>
    <w:rsid w:val="1E890C84"/>
    <w:rsid w:val="2722263D"/>
    <w:rsid w:val="27D10AA1"/>
    <w:rsid w:val="2F7355CD"/>
    <w:rsid w:val="30F176B5"/>
    <w:rsid w:val="377A5F8A"/>
    <w:rsid w:val="43BB60B5"/>
    <w:rsid w:val="492C2644"/>
    <w:rsid w:val="4CB633C7"/>
    <w:rsid w:val="52D144F3"/>
    <w:rsid w:val="57DE33B8"/>
    <w:rsid w:val="582A7D7B"/>
    <w:rsid w:val="59447E7E"/>
    <w:rsid w:val="5B963481"/>
    <w:rsid w:val="64C6627B"/>
    <w:rsid w:val="72543517"/>
    <w:rsid w:val="752C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3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FD7C35"/>
    <w:rPr>
      <w:rFonts w:asciiTheme="majorHAnsi" w:eastAsia="黑体" w:hAnsiTheme="majorHAnsi" w:cstheme="majorBidi"/>
      <w:sz w:val="20"/>
      <w:szCs w:val="20"/>
    </w:rPr>
  </w:style>
  <w:style w:type="paragraph" w:styleId="a4">
    <w:name w:val="footer"/>
    <w:basedOn w:val="a"/>
    <w:link w:val="Char"/>
    <w:uiPriority w:val="99"/>
    <w:unhideWhenUsed/>
    <w:qFormat/>
    <w:rsid w:val="00FD7C3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D7C3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FD7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FD7C35"/>
    <w:rPr>
      <w:sz w:val="18"/>
      <w:szCs w:val="18"/>
    </w:rPr>
  </w:style>
  <w:style w:type="character" w:customStyle="1" w:styleId="Char">
    <w:name w:val="页脚 Char"/>
    <w:basedOn w:val="a0"/>
    <w:link w:val="a4"/>
    <w:uiPriority w:val="99"/>
    <w:qFormat/>
    <w:rsid w:val="00FD7C3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93599-E821-446D-83FB-CADB2167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388</Words>
  <Characters>2217</Characters>
  <Application>Microsoft Office Word</Application>
  <DocSecurity>0</DocSecurity>
  <Lines>18</Lines>
  <Paragraphs>5</Paragraphs>
  <ScaleCrop>false</ScaleCrop>
  <Company>Microsoft</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丁华龙</cp:lastModifiedBy>
  <cp:revision>19</cp:revision>
  <cp:lastPrinted>2020-05-06T07:55:00Z</cp:lastPrinted>
  <dcterms:created xsi:type="dcterms:W3CDTF">2020-01-06T03:06:00Z</dcterms:created>
  <dcterms:modified xsi:type="dcterms:W3CDTF">2020-06-22T06:32:00Z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