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210" w:rightChars="-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spacing w:line="56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大鹏新区应急工程管理办法》起草说明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我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重新起草</w:t>
      </w:r>
      <w:r>
        <w:rPr>
          <w:rFonts w:hint="eastAsia" w:ascii="仿宋_GB2312" w:eastAsia="仿宋_GB2312"/>
          <w:color w:val="auto"/>
          <w:sz w:val="32"/>
          <w:szCs w:val="32"/>
        </w:rPr>
        <w:t>了《大鹏新区应急工程管理办法》（以下简称《管理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一、起草背景和政策依据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（一）文件起草背景。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新区于201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发《大鹏新区应急工程管理办法》</w:t>
      </w:r>
      <w:r>
        <w:rPr>
          <w:rFonts w:hint="eastAsia" w:ascii="仿宋_GB2312" w:eastAsia="仿宋_GB2312"/>
          <w:color w:val="auto"/>
          <w:sz w:val="32"/>
          <w:szCs w:val="32"/>
        </w:rPr>
        <w:t>（深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鹏办规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以下简称原管理办法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原管理办法自公布之日起5个工作日后生效，有效期三年，已于2020年6月8日过期失效。同时，原管理办法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应急工程发包方式</w:t>
      </w:r>
      <w:r>
        <w:rPr>
          <w:rFonts w:hint="eastAsia" w:ascii="仿宋_GB2312" w:eastAsia="仿宋_GB2312"/>
          <w:color w:val="auto"/>
          <w:sz w:val="32"/>
          <w:szCs w:val="32"/>
        </w:rPr>
        <w:t>与现行规章制度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要求不符。为进一步规范大鹏新区应急工程认定、发包、建设、监督和管理工作，我局重新起草了</w:t>
      </w:r>
      <w:r>
        <w:rPr>
          <w:rFonts w:hint="eastAsia" w:ascii="仿宋_GB2312" w:eastAsia="仿宋_GB2312"/>
          <w:color w:val="auto"/>
          <w:sz w:val="32"/>
          <w:szCs w:val="32"/>
        </w:rPr>
        <w:t>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起草政策依据。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我局结合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必须招标的工程项目规定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》（中华人民共和国国家发展和改革委员会令第16号）、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大鹏新区政府投资工程管理办法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》（深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鹏办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规〔201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〕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、《深圳市大鹏新区小型建设工程资金管理暂行办法》（深鹏发财规〔2018〕4号）、《大鹏新区小型建设工程发包管理办法》（深鹏住建规〔2020〕1号）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等有关规定，重新起草了《</w:t>
      </w:r>
      <w:r>
        <w:rPr>
          <w:rFonts w:hint="eastAsia" w:ascii="仿宋_GB2312" w:eastAsia="仿宋_GB2312"/>
          <w:color w:val="auto"/>
          <w:sz w:val="32"/>
          <w:szCs w:val="32"/>
        </w:rPr>
        <w:t>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二、起草过程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2020年伊始，我局就着手重新起草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2020年5月25日，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形成了征求意见稿，并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向新区新区政法办公室、发展和财政局、教育和卫生健康局、科技创新和经济服务局、水务局、文化广电旅游体育局、应急管理局、城市管理和综合执法局、政务服务数据管理局、城市更新和土地整备局、规划土地监察局、机关事务管理中心、建筑工务署、坝光开发署、各办事处、市市规划和自然资源局大鹏管理局、深圳市生态环境局大鹏管理局、市规划和自然资源局大鹏管理局、深圳市交通运输局大鹏管理局、市公安局大鹏分局、大鹏新区医疗健康集团、投资控股有限公司、大鹏供电局、人才安居有限公司、坝光开发建设运营管理有限公司共18</w:t>
      </w:r>
      <w:r>
        <w:rPr>
          <w:rFonts w:ascii="仿宋_GB2312" w:hAnsi="宋体" w:eastAsia="仿宋_GB2312"/>
          <w:color w:val="auto"/>
          <w:sz w:val="32"/>
          <w:szCs w:val="32"/>
        </w:rPr>
        <w:t>家单位征求意见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共收到11条修改意见，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现已结合各单位意见修改完善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共分八章二十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条，对新区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工程的认定、发包、实施、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经费支付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及监督等活动予以明确。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（一）规范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认定范围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为解决新区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工程范围模糊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难以界定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的问题，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《深圳市特殊工程认定和发包办法》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结合新区实际，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《管理办法》第二章对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认定范围和不得认定的情形进行了明确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认定范围按照《深圳市特殊工程认定和发包办法》第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条规定执行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不得认定的情形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包括：（1）已列入政府投资项目计划，按正常建设程序可以按时竣工的工程；（2）房地产开发建设项目；（3）已开工建设或已完工的建设工程；（4）因建设单位计划不周密、前期工作不主动、不落实等人为因素造成时间紧张、工期延误的工程；（5）社会投资项目中，非享受政府直通车服务企业或者非高新技术、战略性新兴产业和现代服务业企业投资的建设工程，不得被认定为应急工程。</w:t>
      </w:r>
    </w:p>
    <w:p>
      <w:pPr>
        <w:spacing w:line="560" w:lineRule="exact"/>
        <w:ind w:firstLine="640"/>
        <w:rPr>
          <w:rFonts w:hint="default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（二）简化应急工程认定程序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为简化认定程序，工程估算价在400万元以下的应急工程，由新区建设行政主管部门审核后直接出具认定意见，认定程序为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主管部门审核-主管部门认定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；工程估算价在400万元（含）以上且1000万元以下的，认定程序为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建设单位申请-主管部门审核-主管部门建议-新区分管领导审定或召开会议议定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；工程估算价在1000万元（含）以上的，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申请-主管部门建议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新区分管领导审核-新区常务会议定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）完善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发包制度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对发包制度进行完善。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《管理办法》第三章规定了单项合同估算价在400万元以下的施工发包及100万元以下的服务类发包，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发包；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单项合同估算价在400万元以上的施工发包及100万元以上的服务类发包，依法进行公开招标。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同时明确规定，如国家、省、市对必须公开招标限额另有规定的，按相关规定执行。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明确应急工程经费拨付等规定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了经费来源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资金支付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方式、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投资控制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以及资金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追偿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的规定。关于资金追偿，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十二条规定，因责任事故引发的应急工程，所需资金由财政性资金垫付的，建设单位应当依法向事故责任单位或者责任人追偿。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（五）加强应急工程过程管理</w:t>
      </w:r>
    </w:p>
    <w:p>
      <w:p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对应急工程的前期工作内容进行了分类说明，对开工手续进行了明确，对施工过程的质量安全管理、档案资料管理进行了强调，并对工程完工后的竣工验收、结决算、评价等工作总体时限进行了规定。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）强化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和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责任追究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章明确了新区发改、建设、审计等相关行政管理部门应当依职责加强应急工程监督管理，依法依规从严查处应急工程发包和建设中的违法违规行为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新区建设行政主管部门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无正当理由未能实施或拒绝实施应急工程的承包商进行处理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建设单位对承包商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履约行为进行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评价。对于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应急工程认定、发包或建设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过程中发现的滥用职权、徇私舞弊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弄虚作假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等涉嫌违法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违规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违纪行为，依法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追究责任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四、主要特点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定义清晰明确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的认定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根据《深圳市特殊工程认定和发包办法》，结合新区实际，明确了应急工程认定范围和不得认定的情形，使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清晰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容易界定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）建立高效稳定的认定机制。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在《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深圳市特殊工程认定和发包办法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定的基础上，结合新区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实际，将应急工程按照估算价分类设定认定程序，实现小工程直接认定、大工程新区相关会议议定，并将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申请表和认定表模板化，形成高效稳定的认定机制。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在主管部门审核环节，根据工程复杂性组织专家论证，提供专业技术认定建议，辅助主管部门或相关领导进行应急工程认定。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（三）建立公平简易的发包制度。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发包方式按工程单项合同估算价（金额）区分，限额以下的施工类或服务类项目按照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自行发包或随机抽签发包，限额以上的公开招标。实现了小项目发包公平简易，大项目发包公平公正。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E8AD0"/>
    <w:multiLevelType w:val="singleLevel"/>
    <w:tmpl w:val="82CE8A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1D4B2D28"/>
    <w:rsid w:val="26A17883"/>
    <w:rsid w:val="2BA00299"/>
    <w:rsid w:val="2E956525"/>
    <w:rsid w:val="356356DE"/>
    <w:rsid w:val="39323C99"/>
    <w:rsid w:val="39DC2834"/>
    <w:rsid w:val="461C143D"/>
    <w:rsid w:val="48C25942"/>
    <w:rsid w:val="49CC5013"/>
    <w:rsid w:val="555C513B"/>
    <w:rsid w:val="5AC6207C"/>
    <w:rsid w:val="5E5501BD"/>
    <w:rsid w:val="637F01F2"/>
    <w:rsid w:val="6B5C313F"/>
    <w:rsid w:val="6E0B44B8"/>
    <w:rsid w:val="6FD629BB"/>
    <w:rsid w:val="71076A2A"/>
    <w:rsid w:val="72EA5EC2"/>
    <w:rsid w:val="75F56DAB"/>
    <w:rsid w:val="7B68709B"/>
    <w:rsid w:val="7DA565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11</TotalTime>
  <ScaleCrop>false</ScaleCrop>
  <LinksUpToDate>false</LinksUpToDate>
  <CharactersWithSpaces>602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2018-03-21T03:05:00Z</dcterms:created>
  <dc:creator>三只</dc:creator>
  <cp:lastModifiedBy>Administrator</cp:lastModifiedBy>
  <cp:lastPrinted>2020-08-12T02:31:00Z</cp:lastPrinted>
  <dcterms:modified xsi:type="dcterms:W3CDTF">2020-08-28T01:39:39Z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