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楷体" w:hAnsi="楷体" w:eastAsia="楷体" w:cs="楷体"/>
          <w:sz w:val="32"/>
          <w:szCs w:val="32"/>
          <w:highlight w:val="none"/>
          <w:lang w:eastAsia="zh-CN"/>
        </w:rPr>
      </w:pPr>
      <w:r>
        <w:rPr>
          <w:rFonts w:hint="eastAsia" w:ascii="方正小标宋简体" w:hAnsi="方正小标宋简体" w:eastAsia="方正小标宋简体" w:cs="方正小标宋简体"/>
          <w:sz w:val="44"/>
          <w:szCs w:val="44"/>
          <w:highlight w:val="none"/>
          <w:lang w:eastAsia="zh-CN"/>
        </w:rPr>
        <w:t>大鹏新区20</w:t>
      </w:r>
      <w:r>
        <w:rPr>
          <w:rFonts w:hint="eastAsia" w:ascii="方正小标宋简体" w:hAnsi="方正小标宋简体" w:eastAsia="方正小标宋简体" w:cs="方正小标宋简体"/>
          <w:sz w:val="44"/>
          <w:szCs w:val="44"/>
          <w:highlight w:val="none"/>
          <w:lang w:val="en-US" w:eastAsia="zh-CN"/>
        </w:rPr>
        <w:t>20</w:t>
      </w:r>
      <w:r>
        <w:rPr>
          <w:rFonts w:hint="eastAsia" w:ascii="方正小标宋简体" w:hAnsi="方正小标宋简体" w:eastAsia="方正小标宋简体" w:cs="方正小标宋简体"/>
          <w:sz w:val="44"/>
          <w:szCs w:val="44"/>
          <w:highlight w:val="none"/>
          <w:lang w:eastAsia="zh-CN"/>
        </w:rPr>
        <w:t>年国民经济和社会发展统计公报</w:t>
      </w:r>
    </w:p>
    <w:p>
      <w:pPr>
        <w:spacing w:line="560" w:lineRule="exact"/>
        <w:jc w:val="center"/>
        <w:rPr>
          <w:rFonts w:hint="eastAsia" w:ascii="楷体" w:hAnsi="楷体" w:eastAsia="楷体" w:cs="楷体"/>
          <w:sz w:val="32"/>
          <w:szCs w:val="32"/>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20</w:t>
      </w:r>
      <w:r>
        <w:rPr>
          <w:color w:val="000000" w:themeColor="text1"/>
          <w:highlight w:val="none"/>
          <w:lang w:eastAsia="zh-CN"/>
          <w14:textFill>
            <w14:solidFill>
              <w14:schemeClr w14:val="tx1"/>
            </w14:solidFill>
          </w14:textFill>
        </w:rPr>
        <w:t>年</w:t>
      </w:r>
      <w:r>
        <w:rPr>
          <w:rFonts w:hint="eastAsia"/>
          <w:color w:val="000000" w:themeColor="text1"/>
          <w:highlight w:val="none"/>
          <w:lang w:eastAsia="zh-CN"/>
          <w14:textFill>
            <w14:solidFill>
              <w14:schemeClr w14:val="tx1"/>
            </w14:solidFill>
          </w14:textFill>
        </w:rPr>
        <w:t>，面对严峻复杂的国际形势、艰巨繁重的国内改革发展稳定任务特别是新冠肺炎疫情的严重冲击,</w:t>
      </w:r>
      <w:r>
        <w:rPr>
          <w:rFonts w:hint="eastAsia"/>
          <w:color w:val="000000" w:themeColor="text1"/>
          <w:highlight w:val="none"/>
          <w:lang w:val="en-US" w:eastAsia="zh-CN"/>
          <w14:textFill>
            <w14:solidFill>
              <w14:schemeClr w14:val="tx1"/>
            </w14:solidFill>
          </w14:textFill>
        </w:rPr>
        <w:t>新区</w:t>
      </w:r>
      <w:r>
        <w:rPr>
          <w:rFonts w:hint="eastAsia"/>
          <w:color w:val="000000" w:themeColor="text1"/>
          <w:highlight w:val="none"/>
          <w:lang w:eastAsia="zh-CN"/>
          <w14:textFill>
            <w14:solidFill>
              <w14:schemeClr w14:val="tx1"/>
            </w14:solidFill>
          </w14:textFill>
        </w:rPr>
        <w:t>坚持以习近平新时代中国特色社会主义思想为指导，全面贯彻落实党的十九大和十九届二中、三中、四中、五中全会精神，深入贯彻落实习近平总书记出席深圳经济特区建立</w:t>
      </w:r>
      <w:r>
        <w:rPr>
          <w:rFonts w:hint="eastAsia"/>
          <w:color w:val="000000" w:themeColor="text1"/>
          <w:highlight w:val="none"/>
          <w:lang w:val="en-US" w:eastAsia="zh-CN"/>
          <w14:textFill>
            <w14:solidFill>
              <w14:schemeClr w14:val="tx1"/>
            </w14:solidFill>
          </w14:textFill>
        </w:rPr>
        <w:t>40周年庆祝大会和视察</w:t>
      </w:r>
      <w:r>
        <w:rPr>
          <w:rFonts w:hint="eastAsia"/>
          <w:color w:val="000000" w:themeColor="text1"/>
          <w:highlight w:val="none"/>
          <w:lang w:eastAsia="zh-CN"/>
          <w14:textFill>
            <w14:solidFill>
              <w14:schemeClr w14:val="tx1"/>
            </w14:solidFill>
          </w14:textFill>
        </w:rPr>
        <w:t>广东重要讲话、重要指示精神，聚焦高质量发展，积极构建新发展格局，全面落实“六稳”“六保”任务，统筹抓好疫情防控和经济社会发展，有力战胜了一系列风险挑战，全区经济社会保持平稳发展。</w:t>
      </w:r>
    </w:p>
    <w:p>
      <w:pPr>
        <w:pStyle w:val="5"/>
        <w:spacing w:before="34"/>
        <w:ind w:left="148" w:right="313"/>
        <w:jc w:val="center"/>
        <w:rPr>
          <w:rFonts w:ascii="黑体" w:hAnsi="黑体" w:eastAsia="黑体" w:cs="黑体"/>
          <w:highlight w:val="none"/>
          <w:lang w:eastAsia="zh-CN"/>
        </w:rPr>
      </w:pPr>
    </w:p>
    <w:p>
      <w:pPr>
        <w:pStyle w:val="5"/>
        <w:spacing w:before="34"/>
        <w:ind w:left="148" w:right="313"/>
        <w:jc w:val="center"/>
        <w:rPr>
          <w:rFonts w:ascii="黑体" w:hAnsi="黑体" w:eastAsia="黑体" w:cs="黑体"/>
          <w:highlight w:val="none"/>
          <w:lang w:eastAsia="zh-CN"/>
        </w:rPr>
      </w:pPr>
      <w:r>
        <w:rPr>
          <w:rFonts w:ascii="黑体" w:hAnsi="黑体" w:eastAsia="黑体" w:cs="黑体"/>
          <w:highlight w:val="none"/>
          <w:lang w:eastAsia="zh-CN"/>
        </w:rPr>
        <w:t>一、综合</w:t>
      </w:r>
    </w:p>
    <w:p>
      <w:pPr>
        <w:pStyle w:val="5"/>
        <w:spacing w:before="0" w:line="560" w:lineRule="atLeast"/>
        <w:ind w:left="0" w:firstLine="640" w:firstLineChars="200"/>
        <w:jc w:val="both"/>
        <w:rPr>
          <w:rFonts w:hint="eastAsia"/>
          <w:color w:val="auto"/>
          <w:highlight w:val="none"/>
          <w:lang w:eastAsia="zh-CN"/>
        </w:rPr>
      </w:pPr>
      <w:r>
        <w:rPr>
          <w:rFonts w:hint="eastAsia"/>
          <w:color w:val="auto"/>
          <w:highlight w:val="none"/>
          <w:lang w:val="en-US" w:eastAsia="zh-CN"/>
        </w:rPr>
        <w:t>经深圳市统计局初步核定</w:t>
      </w:r>
      <w:r>
        <w:rPr>
          <w:color w:val="auto"/>
          <w:highlight w:val="none"/>
          <w:lang w:eastAsia="zh-CN"/>
        </w:rPr>
        <w:t>，全区实现地区生产总值</w:t>
      </w:r>
      <w:r>
        <w:rPr>
          <w:rFonts w:hint="eastAsia"/>
          <w:color w:val="auto"/>
          <w:highlight w:val="none"/>
          <w:lang w:val="en-US" w:eastAsia="zh-CN"/>
        </w:rPr>
        <w:t>340.35</w:t>
      </w:r>
      <w:r>
        <w:rPr>
          <w:color w:val="auto"/>
          <w:highlight w:val="none"/>
          <w:lang w:eastAsia="zh-CN"/>
        </w:rPr>
        <w:t>亿元，</w:t>
      </w:r>
      <w:r>
        <w:rPr>
          <w:rFonts w:hint="eastAsia"/>
          <w:color w:val="auto"/>
          <w:highlight w:val="none"/>
          <w:lang w:val="en-US" w:eastAsia="zh-CN"/>
        </w:rPr>
        <w:t>按可比价计算，比上年（下同）增长0.2</w:t>
      </w:r>
      <w:r>
        <w:rPr>
          <w:color w:val="auto"/>
          <w:highlight w:val="none"/>
          <w:lang w:eastAsia="zh-CN"/>
        </w:rPr>
        <w:t>%。</w:t>
      </w:r>
      <w:r>
        <w:rPr>
          <w:rFonts w:hint="eastAsia"/>
          <w:color w:val="auto"/>
          <w:highlight w:val="none"/>
          <w:lang w:eastAsia="zh-CN"/>
        </w:rPr>
        <w:t>其中第一产业增加值1.2</w:t>
      </w:r>
      <w:r>
        <w:rPr>
          <w:rFonts w:hint="eastAsia"/>
          <w:color w:val="auto"/>
          <w:highlight w:val="none"/>
          <w:lang w:val="en-US" w:eastAsia="zh-CN"/>
        </w:rPr>
        <w:t>0</w:t>
      </w:r>
      <w:r>
        <w:rPr>
          <w:rFonts w:hint="eastAsia"/>
          <w:color w:val="auto"/>
          <w:highlight w:val="none"/>
          <w:lang w:eastAsia="zh-CN"/>
        </w:rPr>
        <w:t>亿元，增长37.1%；第二产业增加值200.52亿元，下降4.6%；第三产业增加值138.64亿元，增长8.0%；三次产业比例为0.</w:t>
      </w:r>
      <w:r>
        <w:rPr>
          <w:rFonts w:hint="eastAsia"/>
          <w:color w:val="auto"/>
          <w:highlight w:val="none"/>
          <w:lang w:val="en-US" w:eastAsia="zh-CN"/>
        </w:rPr>
        <w:t>35</w:t>
      </w:r>
      <w:r>
        <w:rPr>
          <w:rFonts w:hint="eastAsia"/>
          <w:color w:val="auto"/>
          <w:highlight w:val="none"/>
          <w:lang w:eastAsia="zh-CN"/>
        </w:rPr>
        <w:t>：58.9</w:t>
      </w:r>
      <w:r>
        <w:rPr>
          <w:rFonts w:hint="eastAsia"/>
          <w:color w:val="auto"/>
          <w:highlight w:val="none"/>
          <w:lang w:val="en-US" w:eastAsia="zh-CN"/>
        </w:rPr>
        <w:t>1</w:t>
      </w:r>
      <w:r>
        <w:rPr>
          <w:rFonts w:hint="eastAsia"/>
          <w:color w:val="auto"/>
          <w:highlight w:val="none"/>
          <w:lang w:eastAsia="zh-CN"/>
        </w:rPr>
        <w:t>：40.7</w:t>
      </w:r>
      <w:r>
        <w:rPr>
          <w:rFonts w:hint="eastAsia"/>
          <w:color w:val="auto"/>
          <w:highlight w:val="none"/>
          <w:lang w:val="en-US" w:eastAsia="zh-CN"/>
        </w:rPr>
        <w:t>3</w:t>
      </w:r>
      <w:r>
        <w:rPr>
          <w:rFonts w:hint="eastAsia"/>
          <w:color w:val="auto"/>
          <w:highlight w:val="none"/>
          <w:lang w:eastAsia="zh-CN"/>
        </w:rPr>
        <w:t>。</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万元GDP水耗为</w:t>
      </w:r>
      <w:r>
        <w:rPr>
          <w:rFonts w:hint="eastAsia"/>
          <w:color w:val="000000" w:themeColor="text1"/>
          <w:highlight w:val="none"/>
          <w:lang w:val="en-US" w:eastAsia="zh-CN"/>
          <w14:textFill>
            <w14:solidFill>
              <w14:schemeClr w14:val="tx1"/>
            </w14:solidFill>
          </w14:textFill>
        </w:rPr>
        <w:t>5.5</w:t>
      </w:r>
      <w:r>
        <w:rPr>
          <w:color w:val="000000" w:themeColor="text1"/>
          <w:highlight w:val="none"/>
          <w:lang w:eastAsia="zh-CN"/>
          <w14:textFill>
            <w14:solidFill>
              <w14:schemeClr w14:val="tx1"/>
            </w14:solidFill>
          </w14:textFill>
        </w:rPr>
        <w:t>立方米/万元，</w:t>
      </w:r>
      <w:r>
        <w:rPr>
          <w:rFonts w:hint="eastAsia"/>
          <w:color w:val="000000" w:themeColor="text1"/>
          <w:highlight w:val="none"/>
          <w:lang w:val="en-US" w:eastAsia="zh-CN"/>
          <w14:textFill>
            <w14:solidFill>
              <w14:schemeClr w14:val="tx1"/>
            </w14:solidFill>
          </w14:textFill>
        </w:rPr>
        <w:t>增长1.0</w:t>
      </w:r>
      <w:r>
        <w:rPr>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万元GDP电耗</w:t>
      </w:r>
      <w:r>
        <w:rPr>
          <w:rFonts w:hint="eastAsia"/>
          <w:color w:val="000000" w:themeColor="text1"/>
          <w:highlight w:val="none"/>
          <w:lang w:val="en-US" w:eastAsia="zh-CN"/>
          <w14:textFill>
            <w14:solidFill>
              <w14:schemeClr w14:val="tx1"/>
            </w14:solidFill>
          </w14:textFill>
        </w:rPr>
        <w:t>351.77</w:t>
      </w:r>
      <w:r>
        <w:rPr>
          <w:color w:val="000000" w:themeColor="text1"/>
          <w:highlight w:val="none"/>
          <w:lang w:eastAsia="zh-CN"/>
          <w14:textFill>
            <w14:solidFill>
              <w14:schemeClr w14:val="tx1"/>
            </w14:solidFill>
          </w14:textFill>
        </w:rPr>
        <w:t>千瓦时/万元,</w:t>
      </w:r>
      <w:r>
        <w:rPr>
          <w:rFonts w:hint="eastAsia"/>
          <w:color w:val="000000" w:themeColor="text1"/>
          <w:highlight w:val="none"/>
          <w:lang w:val="en-US" w:eastAsia="zh-CN"/>
          <w14:textFill>
            <w14:solidFill>
              <w14:schemeClr w14:val="tx1"/>
            </w14:solidFill>
          </w14:textFill>
        </w:rPr>
        <w:t>增长0.1%</w:t>
      </w:r>
      <w:r>
        <w:rPr>
          <w:color w:val="000000" w:themeColor="text1"/>
          <w:highlight w:val="none"/>
          <w:lang w:eastAsia="zh-CN"/>
          <w14:textFill>
            <w14:solidFill>
              <w14:schemeClr w14:val="tx1"/>
            </w14:solidFill>
          </w14:textFill>
        </w:rPr>
        <w:t>。</w:t>
      </w:r>
    </w:p>
    <w:p>
      <w:pPr>
        <w:pStyle w:val="5"/>
        <w:spacing w:before="0" w:line="560" w:lineRule="atLeast"/>
        <w:ind w:left="0" w:firstLine="640" w:firstLineChars="200"/>
        <w:jc w:val="both"/>
        <w:rPr>
          <w:rFonts w:hint="eastAsia"/>
          <w:color w:val="000000" w:themeColor="text1"/>
          <w:highlight w:val="none"/>
          <w:lang w:eastAsia="zh-CN"/>
          <w14:textFill>
            <w14:solidFill>
              <w14:schemeClr w14:val="tx1"/>
            </w14:solidFill>
          </w14:textFill>
        </w:rPr>
      </w:pPr>
      <w:r>
        <w:drawing>
          <wp:inline distT="0" distB="0" distL="114300" distR="114300">
            <wp:extent cx="4973320" cy="2341880"/>
            <wp:effectExtent l="4445" t="4445" r="13335" b="15875"/>
            <wp:docPr id="2"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494"/>
        <w:jc w:val="center"/>
        <w:rPr>
          <w:color w:val="000000" w:themeColor="text1"/>
          <w:sz w:val="28"/>
          <w:szCs w:val="28"/>
          <w:highlight w:val="none"/>
          <w:lang w:eastAsia="zh-CN"/>
          <w14:textFill>
            <w14:solidFill>
              <w14:schemeClr w14:val="tx1"/>
            </w14:solidFill>
          </w14:textFill>
        </w:rPr>
      </w:pPr>
      <w:r>
        <w:rPr>
          <w:rFonts w:ascii="仿宋_GB2312" w:hAnsi="仿宋_GB2312" w:eastAsia="仿宋_GB2312" w:cs="仿宋_GB2312"/>
          <w:sz w:val="28"/>
          <w:szCs w:val="28"/>
          <w:highlight w:val="none"/>
          <w:lang w:eastAsia="zh-CN"/>
        </w:rPr>
        <w:t>图</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eastAsia="zh-CN"/>
        </w:rPr>
        <w:t>2016-2020</w:t>
      </w:r>
      <w:r>
        <w:rPr>
          <w:rFonts w:ascii="仿宋_GB2312" w:hAnsi="仿宋_GB2312" w:eastAsia="仿宋_GB2312" w:cs="仿宋_GB2312"/>
          <w:sz w:val="28"/>
          <w:szCs w:val="28"/>
          <w:highlight w:val="none"/>
          <w:lang w:eastAsia="zh-CN"/>
        </w:rPr>
        <w:t>年大鹏新区三次产业比例</w:t>
      </w:r>
    </w:p>
    <w:p>
      <w:pPr>
        <w:pStyle w:val="5"/>
        <w:spacing w:before="0" w:line="560" w:lineRule="atLeast"/>
        <w:ind w:left="0" w:firstLine="640" w:firstLineChars="200"/>
        <w:jc w:val="both"/>
        <w:rPr>
          <w:color w:val="000000" w:themeColor="text1"/>
          <w:highlight w:val="none"/>
          <w:lang w:eastAsia="zh-CN"/>
          <w14:textFill>
            <w14:solidFill>
              <w14:schemeClr w14:val="tx1"/>
            </w14:solidFill>
          </w14:textFill>
        </w:rPr>
      </w:pPr>
    </w:p>
    <w:p>
      <w:pPr>
        <w:pStyle w:val="5"/>
        <w:spacing w:before="0" w:line="560" w:lineRule="atLeas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全年规模以上战略性新兴产业增加值为</w:t>
      </w:r>
      <w:r>
        <w:rPr>
          <w:rFonts w:hint="eastAsia"/>
          <w:color w:val="000000" w:themeColor="text1"/>
          <w:highlight w:val="none"/>
          <w:lang w:val="en-US" w:eastAsia="zh-CN"/>
          <w14:textFill>
            <w14:solidFill>
              <w14:schemeClr w14:val="tx1"/>
            </w14:solidFill>
          </w14:textFill>
        </w:rPr>
        <w:t>190.22</w:t>
      </w:r>
      <w:r>
        <w:rPr>
          <w:color w:val="000000" w:themeColor="text1"/>
          <w:highlight w:val="none"/>
          <w:lang w:eastAsia="zh-CN"/>
          <w14:textFill>
            <w14:solidFill>
              <w14:schemeClr w14:val="tx1"/>
            </w14:solidFill>
          </w14:textFill>
        </w:rPr>
        <w:t>亿元，比上年</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1.4</w:t>
      </w:r>
      <w:r>
        <w:rPr>
          <w:color w:val="000000" w:themeColor="text1"/>
          <w:highlight w:val="none"/>
          <w:lang w:eastAsia="zh-CN"/>
          <w14:textFill>
            <w14:solidFill>
              <w14:schemeClr w14:val="tx1"/>
            </w14:solidFill>
          </w14:textFill>
        </w:rPr>
        <w:t>%，占GDP比</w:t>
      </w:r>
      <w:r>
        <w:rPr>
          <w:rFonts w:hint="eastAsia"/>
          <w:color w:val="000000" w:themeColor="text1"/>
          <w:highlight w:val="none"/>
          <w:lang w:eastAsia="zh-CN"/>
          <w14:textFill>
            <w14:solidFill>
              <w14:schemeClr w14:val="tx1"/>
            </w14:solidFill>
          </w14:textFill>
        </w:rPr>
        <w:t>重</w:t>
      </w:r>
      <w:r>
        <w:rPr>
          <w:color w:val="000000" w:themeColor="text1"/>
          <w:highlight w:val="none"/>
          <w:lang w:eastAsia="zh-CN"/>
          <w14:textFill>
            <w14:solidFill>
              <w14:schemeClr w14:val="tx1"/>
            </w14:solidFill>
          </w14:textFill>
        </w:rPr>
        <w:t>为5</w:t>
      </w:r>
      <w:r>
        <w:rPr>
          <w:rFonts w:hint="eastAsia"/>
          <w:color w:val="000000" w:themeColor="text1"/>
          <w:highlight w:val="none"/>
          <w:lang w:val="en-US" w:eastAsia="zh-CN"/>
          <w14:textFill>
            <w14:solidFill>
              <w14:schemeClr w14:val="tx1"/>
            </w14:solidFill>
          </w14:textFill>
        </w:rPr>
        <w:t>5</w:t>
      </w:r>
      <w:r>
        <w:rPr>
          <w:color w:val="000000" w:themeColor="text1"/>
          <w:highlight w:val="none"/>
          <w:lang w:eastAsia="zh-CN"/>
          <w14:textFill>
            <w14:solidFill>
              <w14:schemeClr w14:val="tx1"/>
            </w14:solidFill>
          </w14:textFill>
        </w:rPr>
        <w:t>.9%。其中绿色低碳产业增加值为</w:t>
      </w:r>
      <w:r>
        <w:rPr>
          <w:rFonts w:hint="eastAsia"/>
          <w:color w:val="000000" w:themeColor="text1"/>
          <w:highlight w:val="none"/>
          <w:lang w:val="en-US" w:eastAsia="zh-CN"/>
          <w14:textFill>
            <w14:solidFill>
              <w14:schemeClr w14:val="tx1"/>
            </w14:solidFill>
          </w14:textFill>
        </w:rPr>
        <w:t>164.47</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0.4</w:t>
      </w:r>
      <w:r>
        <w:rPr>
          <w:color w:val="000000" w:themeColor="text1"/>
          <w:highlight w:val="none"/>
          <w:lang w:eastAsia="zh-CN"/>
          <w14:textFill>
            <w14:solidFill>
              <w14:schemeClr w14:val="tx1"/>
            </w14:solidFill>
          </w14:textFill>
        </w:rPr>
        <w:t>%；新材料产业增加值为</w:t>
      </w:r>
      <w:r>
        <w:rPr>
          <w:rFonts w:hint="eastAsia"/>
          <w:color w:val="000000" w:themeColor="text1"/>
          <w:highlight w:val="none"/>
          <w:lang w:val="en-US" w:eastAsia="zh-CN"/>
          <w14:textFill>
            <w14:solidFill>
              <w14:schemeClr w14:val="tx1"/>
            </w14:solidFill>
          </w14:textFill>
        </w:rPr>
        <w:t>14.04</w:t>
      </w:r>
      <w:r>
        <w:rPr>
          <w:color w:val="000000" w:themeColor="text1"/>
          <w:highlight w:val="none"/>
          <w:lang w:eastAsia="zh-CN"/>
          <w14:textFill>
            <w14:solidFill>
              <w14:schemeClr w14:val="tx1"/>
            </w14:solidFill>
          </w14:textFill>
        </w:rPr>
        <w:t>亿元，下降1</w:t>
      </w:r>
      <w:r>
        <w:rPr>
          <w:rFonts w:hint="eastAsia"/>
          <w:color w:val="000000" w:themeColor="text1"/>
          <w:highlight w:val="none"/>
          <w:lang w:val="en-US" w:eastAsia="zh-CN"/>
          <w14:textFill>
            <w14:solidFill>
              <w14:schemeClr w14:val="tx1"/>
            </w14:solidFill>
          </w14:textFill>
        </w:rPr>
        <w:t>2.0</w:t>
      </w:r>
      <w:r>
        <w:rPr>
          <w:color w:val="000000" w:themeColor="text1"/>
          <w:highlight w:val="none"/>
          <w:lang w:eastAsia="zh-CN"/>
          <w14:textFill>
            <w14:solidFill>
              <w14:schemeClr w14:val="tx1"/>
            </w14:solidFill>
          </w14:textFill>
        </w:rPr>
        <w:t>%；新一代信息技术产业增加值为</w:t>
      </w:r>
      <w:r>
        <w:rPr>
          <w:rFonts w:hint="eastAsia"/>
          <w:color w:val="000000" w:themeColor="text1"/>
          <w:highlight w:val="none"/>
          <w:lang w:val="en-US" w:eastAsia="zh-CN"/>
          <w14:textFill>
            <w14:solidFill>
              <w14:schemeClr w14:val="tx1"/>
            </w14:solidFill>
          </w14:textFill>
        </w:rPr>
        <w:t>9.03</w:t>
      </w:r>
      <w:r>
        <w:rPr>
          <w:color w:val="000000" w:themeColor="text1"/>
          <w:highlight w:val="none"/>
          <w:lang w:eastAsia="zh-CN"/>
          <w14:textFill>
            <w14:solidFill>
              <w14:schemeClr w14:val="tx1"/>
            </w14:solidFill>
          </w14:textFill>
        </w:rPr>
        <w:t>亿元，下降</w:t>
      </w:r>
      <w:r>
        <w:rPr>
          <w:rFonts w:hint="eastAsia"/>
          <w:color w:val="000000" w:themeColor="text1"/>
          <w:highlight w:val="none"/>
          <w:lang w:val="en-US" w:eastAsia="zh-CN"/>
          <w14:textFill>
            <w14:solidFill>
              <w14:schemeClr w14:val="tx1"/>
            </w14:solidFill>
          </w14:textFill>
        </w:rPr>
        <w:t>2.2</w:t>
      </w:r>
      <w:r>
        <w:rPr>
          <w:color w:val="000000" w:themeColor="text1"/>
          <w:highlight w:val="none"/>
          <w:lang w:eastAsia="zh-CN"/>
          <w14:textFill>
            <w14:solidFill>
              <w14:schemeClr w14:val="tx1"/>
            </w14:solidFill>
          </w14:textFill>
        </w:rPr>
        <w:t>%；数字经济产业增加值为1.</w:t>
      </w:r>
      <w:r>
        <w:rPr>
          <w:rFonts w:hint="eastAsia"/>
          <w:color w:val="000000" w:themeColor="text1"/>
          <w:highlight w:val="none"/>
          <w:lang w:val="en-US" w:eastAsia="zh-CN"/>
          <w14:textFill>
            <w14:solidFill>
              <w14:schemeClr w14:val="tx1"/>
            </w14:solidFill>
          </w14:textFill>
        </w:rPr>
        <w:t>37</w:t>
      </w:r>
      <w:r>
        <w:rPr>
          <w:color w:val="000000" w:themeColor="text1"/>
          <w:highlight w:val="none"/>
          <w:lang w:eastAsia="zh-CN"/>
          <w14:textFill>
            <w14:solidFill>
              <w14:schemeClr w14:val="tx1"/>
            </w14:solidFill>
          </w14:textFill>
        </w:rPr>
        <w:t>亿元，下降</w:t>
      </w:r>
      <w:r>
        <w:rPr>
          <w:rFonts w:hint="eastAsia"/>
          <w:color w:val="000000" w:themeColor="text1"/>
          <w:highlight w:val="none"/>
          <w:lang w:val="en-US" w:eastAsia="zh-CN"/>
          <w14:textFill>
            <w14:solidFill>
              <w14:schemeClr w14:val="tx1"/>
            </w14:solidFill>
          </w14:textFill>
        </w:rPr>
        <w:t>4.8</w:t>
      </w:r>
      <w:r>
        <w:rPr>
          <w:color w:val="000000" w:themeColor="text1"/>
          <w:highlight w:val="none"/>
          <w:lang w:eastAsia="zh-CN"/>
          <w14:textFill>
            <w14:solidFill>
              <w14:schemeClr w14:val="tx1"/>
            </w14:solidFill>
          </w14:textFill>
        </w:rPr>
        <w:t>%；生物医药产业增加值为</w:t>
      </w:r>
      <w:r>
        <w:rPr>
          <w:rFonts w:hint="eastAsia"/>
          <w:color w:val="000000" w:themeColor="text1"/>
          <w:highlight w:val="none"/>
          <w:lang w:val="en-US" w:eastAsia="zh-CN"/>
          <w14:textFill>
            <w14:solidFill>
              <w14:schemeClr w14:val="tx1"/>
            </w14:solidFill>
          </w14:textFill>
        </w:rPr>
        <w:t>1.75</w:t>
      </w:r>
      <w:r>
        <w:rPr>
          <w:color w:val="000000" w:themeColor="text1"/>
          <w:highlight w:val="none"/>
          <w:lang w:eastAsia="zh-CN"/>
          <w14:textFill>
            <w14:solidFill>
              <w14:schemeClr w14:val="tx1"/>
            </w14:solidFill>
          </w14:textFill>
        </w:rPr>
        <w:t>亿元，增长</w:t>
      </w:r>
      <w:r>
        <w:rPr>
          <w:rFonts w:hint="eastAsia"/>
          <w:color w:val="000000" w:themeColor="text1"/>
          <w:highlight w:val="none"/>
          <w:lang w:val="en-US" w:eastAsia="zh-CN"/>
          <w14:textFill>
            <w14:solidFill>
              <w14:schemeClr w14:val="tx1"/>
            </w14:solidFill>
          </w14:textFill>
        </w:rPr>
        <w:t>63.5</w:t>
      </w:r>
      <w:r>
        <w:rPr>
          <w:color w:val="000000" w:themeColor="text1"/>
          <w:highlight w:val="none"/>
          <w:lang w:eastAsia="zh-CN"/>
          <w14:textFill>
            <w14:solidFill>
              <w14:schemeClr w14:val="tx1"/>
            </w14:solidFill>
          </w14:textFill>
        </w:rPr>
        <w:t>%；高端装备制造业增加值为0.0</w:t>
      </w:r>
      <w:r>
        <w:rPr>
          <w:rFonts w:hint="eastAsia"/>
          <w:color w:val="000000" w:themeColor="text1"/>
          <w:highlight w:val="none"/>
          <w:lang w:val="en-US" w:eastAsia="zh-CN"/>
          <w14:textFill>
            <w14:solidFill>
              <w14:schemeClr w14:val="tx1"/>
            </w14:solidFill>
          </w14:textFill>
        </w:rPr>
        <w:t>5</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79.3</w:t>
      </w:r>
      <w:r>
        <w:rPr>
          <w:color w:val="000000" w:themeColor="text1"/>
          <w:highlight w:val="none"/>
          <w:lang w:eastAsia="zh-CN"/>
          <w14:textFill>
            <w14:solidFill>
              <w14:schemeClr w14:val="tx1"/>
            </w14:solidFill>
          </w14:textFill>
        </w:rPr>
        <w:t>%。</w:t>
      </w:r>
    </w:p>
    <w:p>
      <w:pPr>
        <w:pStyle w:val="5"/>
        <w:spacing w:before="34"/>
        <w:ind w:left="150" w:right="313"/>
        <w:jc w:val="center"/>
        <w:rPr>
          <w:rFonts w:ascii="黑体" w:hAnsi="黑体" w:eastAsia="黑体" w:cs="黑体"/>
          <w:highlight w:val="none"/>
          <w:lang w:eastAsia="zh-CN"/>
        </w:rPr>
      </w:pPr>
    </w:p>
    <w:p>
      <w:pPr>
        <w:pStyle w:val="5"/>
        <w:spacing w:before="34"/>
        <w:ind w:left="150" w:right="313"/>
        <w:jc w:val="center"/>
        <w:rPr>
          <w:rFonts w:ascii="黑体" w:hAnsi="黑体" w:eastAsia="黑体" w:cs="黑体"/>
          <w:highlight w:val="none"/>
          <w:lang w:eastAsia="zh-CN"/>
        </w:rPr>
      </w:pPr>
      <w:r>
        <w:rPr>
          <w:rFonts w:ascii="黑体" w:hAnsi="黑体" w:eastAsia="黑体" w:cs="黑体"/>
          <w:highlight w:val="none"/>
          <w:lang w:eastAsia="zh-CN"/>
        </w:rPr>
        <w:t>二、农业</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lang w:eastAsia="zh-CN"/>
          <w14:textFill>
            <w14:solidFill>
              <w14:schemeClr w14:val="tx1"/>
            </w14:solidFill>
          </w14:textFill>
        </w:rPr>
        <w:t>年，农林牧渔业增加值</w:t>
      </w:r>
      <w:r>
        <w:rPr>
          <w:rFonts w:hint="eastAsia"/>
          <w:color w:val="000000" w:themeColor="text1"/>
          <w:highlight w:val="none"/>
          <w:lang w:val="en-US" w:eastAsia="zh-CN"/>
          <w14:textFill>
            <w14:solidFill>
              <w14:schemeClr w14:val="tx1"/>
            </w14:solidFill>
          </w14:textFill>
        </w:rPr>
        <w:t>1.27</w:t>
      </w:r>
      <w:r>
        <w:rPr>
          <w:rFonts w:hint="eastAsia"/>
          <w:color w:val="000000" w:themeColor="text1"/>
          <w:highlight w:val="none"/>
          <w:lang w:eastAsia="zh-CN"/>
          <w14:textFill>
            <w14:solidFill>
              <w14:schemeClr w14:val="tx1"/>
            </w14:solidFill>
          </w14:textFill>
        </w:rPr>
        <w:t>亿元，增长</w:t>
      </w:r>
      <w:r>
        <w:rPr>
          <w:rFonts w:hint="eastAsia"/>
          <w:color w:val="000000" w:themeColor="text1"/>
          <w:highlight w:val="none"/>
          <w:lang w:val="en-US" w:eastAsia="zh-CN"/>
          <w14:textFill>
            <w14:solidFill>
              <w14:schemeClr w14:val="tx1"/>
            </w14:solidFill>
          </w14:textFill>
        </w:rPr>
        <w:t>41.0</w:t>
      </w:r>
      <w:r>
        <w:rPr>
          <w:rFonts w:hint="eastAsia"/>
          <w:color w:val="000000" w:themeColor="text1"/>
          <w:highlight w:val="none"/>
          <w:lang w:eastAsia="zh-CN"/>
          <w14:textFill>
            <w14:solidFill>
              <w14:schemeClr w14:val="tx1"/>
            </w14:solidFill>
          </w14:textFill>
        </w:rPr>
        <w:t>%。农林牧渔服务业增加值</w:t>
      </w:r>
      <w:r>
        <w:rPr>
          <w:rFonts w:hint="eastAsia"/>
          <w:color w:val="000000" w:themeColor="text1"/>
          <w:highlight w:val="none"/>
          <w:lang w:val="en-US" w:eastAsia="zh-CN"/>
          <w14:textFill>
            <w14:solidFill>
              <w14:schemeClr w14:val="tx1"/>
            </w14:solidFill>
          </w14:textFill>
        </w:rPr>
        <w:t>700</w:t>
      </w:r>
      <w:r>
        <w:rPr>
          <w:rFonts w:hint="eastAsia"/>
          <w:color w:val="000000" w:themeColor="text1"/>
          <w:highlight w:val="none"/>
          <w:lang w:eastAsia="zh-CN"/>
          <w14:textFill>
            <w14:solidFill>
              <w14:schemeClr w14:val="tx1"/>
            </w14:solidFill>
          </w14:textFill>
        </w:rPr>
        <w:t>万元，增长</w:t>
      </w:r>
      <w:r>
        <w:rPr>
          <w:rFonts w:hint="eastAsia"/>
          <w:color w:val="000000" w:themeColor="text1"/>
          <w:highlight w:val="none"/>
          <w:lang w:val="en-US" w:eastAsia="zh-CN"/>
          <w14:textFill>
            <w14:solidFill>
              <w14:schemeClr w14:val="tx1"/>
            </w14:solidFill>
          </w14:textFill>
        </w:rPr>
        <w:t>107.2</w:t>
      </w:r>
      <w:r>
        <w:rPr>
          <w:rFonts w:hint="eastAsia"/>
          <w:color w:val="000000" w:themeColor="text1"/>
          <w:highlight w:val="none"/>
          <w:lang w:eastAsia="zh-CN"/>
          <w14:textFill>
            <w14:solidFill>
              <w14:schemeClr w14:val="tx1"/>
            </w14:solidFill>
          </w14:textFill>
        </w:rPr>
        <w:t>%。全年水产品总产量3852吨，其中，海产品3824吨；淡水产品28吨。</w:t>
      </w:r>
    </w:p>
    <w:p>
      <w:pPr>
        <w:pStyle w:val="5"/>
        <w:spacing w:before="0" w:line="560" w:lineRule="atLeast"/>
        <w:ind w:left="0"/>
        <w:jc w:val="center"/>
        <w:rPr>
          <w:color w:val="000000" w:themeColor="text1"/>
          <w:highlight w:val="none"/>
          <w:lang w:eastAsia="zh-CN"/>
          <w14:textFill>
            <w14:solidFill>
              <w14:schemeClr w14:val="tx1"/>
            </w14:solidFill>
          </w14:textFill>
        </w:rPr>
        <w:sectPr>
          <w:headerReference r:id="rId3" w:type="default"/>
          <w:footerReference r:id="rId4" w:type="default"/>
          <w:pgSz w:w="12240" w:h="15840"/>
          <w:pgMar w:top="2098" w:right="1474" w:bottom="1984" w:left="1587" w:header="720" w:footer="720" w:gutter="0"/>
          <w:pgNumType w:fmt="numberInDash" w:start="1"/>
          <w:cols w:space="720" w:num="1"/>
        </w:sectPr>
      </w:pPr>
    </w:p>
    <w:p>
      <w:pPr>
        <w:pStyle w:val="5"/>
        <w:spacing w:before="31"/>
        <w:ind w:left="0" w:leftChars="0" w:right="313" w:firstLine="0" w:firstLineChars="0"/>
        <w:jc w:val="center"/>
        <w:rPr>
          <w:rFonts w:ascii="黑体" w:hAnsi="黑体" w:eastAsia="黑体" w:cs="黑体"/>
          <w:highlight w:val="none"/>
          <w:lang w:eastAsia="zh-CN"/>
        </w:rPr>
      </w:pPr>
      <w:r>
        <w:rPr>
          <w:rFonts w:ascii="黑体" w:hAnsi="黑体" w:eastAsia="黑体" w:cs="黑体"/>
          <w:highlight w:val="none"/>
          <w:lang w:eastAsia="zh-CN"/>
        </w:rPr>
        <w:t>三、工业和建筑业</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highlight w:val="none"/>
          <w:lang w:eastAsia="zh-CN"/>
        </w:rPr>
      </w:pPr>
      <w:r>
        <w:rPr>
          <w:rFonts w:hint="eastAsia"/>
          <w:color w:val="000000" w:themeColor="text1"/>
          <w:highlight w:val="none"/>
          <w:lang w:eastAsia="zh-CN"/>
          <w14:textFill>
            <w14:solidFill>
              <w14:schemeClr w14:val="tx1"/>
            </w14:solidFill>
          </w14:textFill>
        </w:rPr>
        <w:t>规模以上工业企业增加值18</w:t>
      </w:r>
      <w:r>
        <w:rPr>
          <w:rFonts w:hint="eastAsia"/>
          <w:color w:val="000000" w:themeColor="text1"/>
          <w:highlight w:val="none"/>
          <w:lang w:val="en-US" w:eastAsia="zh-CN"/>
          <w14:textFill>
            <w14:solidFill>
              <w14:schemeClr w14:val="tx1"/>
            </w14:solidFill>
          </w14:textFill>
        </w:rPr>
        <w:t>3.72</w:t>
      </w:r>
      <w:r>
        <w:rPr>
          <w:rFonts w:hint="eastAsia"/>
          <w:color w:val="000000" w:themeColor="text1"/>
          <w:highlight w:val="none"/>
          <w:lang w:eastAsia="zh-CN"/>
          <w14:textFill>
            <w14:solidFill>
              <w14:schemeClr w14:val="tx1"/>
            </w14:solidFill>
          </w14:textFill>
        </w:rPr>
        <w:t>亿元。分经济类型看，股份制企业下降</w:t>
      </w:r>
      <w:r>
        <w:rPr>
          <w:rFonts w:hint="eastAsia"/>
          <w:color w:val="000000" w:themeColor="text1"/>
          <w:highlight w:val="none"/>
          <w:lang w:val="en-US" w:eastAsia="zh-CN"/>
          <w14:textFill>
            <w14:solidFill>
              <w14:schemeClr w14:val="tx1"/>
            </w14:solidFill>
          </w14:textFill>
        </w:rPr>
        <w:t>3.5</w:t>
      </w:r>
      <w:r>
        <w:rPr>
          <w:rFonts w:hint="eastAsia"/>
          <w:color w:val="000000" w:themeColor="text1"/>
          <w:highlight w:val="none"/>
          <w:lang w:eastAsia="zh-CN"/>
          <w14:textFill>
            <w14:solidFill>
              <w14:schemeClr w14:val="tx1"/>
            </w14:solidFill>
          </w14:textFill>
        </w:rPr>
        <w:t>%，外商及港澳台商投资企业下降</w:t>
      </w:r>
      <w:r>
        <w:rPr>
          <w:rFonts w:hint="eastAsia"/>
          <w:color w:val="000000" w:themeColor="text1"/>
          <w:highlight w:val="none"/>
          <w:lang w:val="en-US" w:eastAsia="zh-CN"/>
          <w14:textFill>
            <w14:solidFill>
              <w14:schemeClr w14:val="tx1"/>
            </w14:solidFill>
          </w14:textFill>
        </w:rPr>
        <w:t>6.1</w:t>
      </w:r>
      <w:r>
        <w:rPr>
          <w:rFonts w:hint="eastAsia"/>
          <w:color w:val="000000" w:themeColor="text1"/>
          <w:highlight w:val="none"/>
          <w:lang w:eastAsia="zh-CN"/>
          <w14:textFill>
            <w14:solidFill>
              <w14:schemeClr w14:val="tx1"/>
            </w14:solidFill>
          </w14:textFill>
        </w:rPr>
        <w:t>%。分门类看，制造业增长</w:t>
      </w:r>
      <w:r>
        <w:rPr>
          <w:rFonts w:hint="eastAsia"/>
          <w:color w:val="000000" w:themeColor="text1"/>
          <w:highlight w:val="none"/>
          <w:lang w:val="en-US" w:eastAsia="zh-CN"/>
          <w14:textFill>
            <w14:solidFill>
              <w14:schemeClr w14:val="tx1"/>
            </w14:solidFill>
          </w14:textFill>
        </w:rPr>
        <w:t>2.6</w:t>
      </w:r>
      <w:r>
        <w:rPr>
          <w:rFonts w:hint="eastAsia"/>
          <w:color w:val="000000" w:themeColor="text1"/>
          <w:highlight w:val="none"/>
          <w:lang w:eastAsia="zh-CN"/>
          <w14:textFill>
            <w14:solidFill>
              <w14:schemeClr w14:val="tx1"/>
            </w14:solidFill>
          </w14:textFill>
        </w:rPr>
        <w:t>%，电力、热力、燃气及水生产和供应业下降</w:t>
      </w:r>
      <w:r>
        <w:rPr>
          <w:rFonts w:hint="eastAsia"/>
          <w:color w:val="000000" w:themeColor="text1"/>
          <w:highlight w:val="none"/>
          <w:lang w:val="en-US" w:eastAsia="zh-CN"/>
          <w14:textFill>
            <w14:solidFill>
              <w14:schemeClr w14:val="tx1"/>
            </w14:solidFill>
          </w14:textFill>
        </w:rPr>
        <w:t>7.2</w:t>
      </w:r>
      <w:r>
        <w:rPr>
          <w:rFonts w:hint="eastAsia"/>
          <w:color w:val="000000" w:themeColor="text1"/>
          <w:highlight w:val="none"/>
          <w:lang w:eastAsia="zh-CN"/>
          <w14:textFill>
            <w14:solidFill>
              <w14:schemeClr w14:val="tx1"/>
            </w14:solidFill>
          </w14:textFill>
        </w:rPr>
        <w:t>%。全年规模以上工业企业总产值4</w:t>
      </w:r>
      <w:r>
        <w:rPr>
          <w:rFonts w:hint="eastAsia"/>
          <w:color w:val="000000" w:themeColor="text1"/>
          <w:highlight w:val="none"/>
          <w:lang w:val="en-US" w:eastAsia="zh-CN"/>
          <w14:textFill>
            <w14:solidFill>
              <w14:schemeClr w14:val="tx1"/>
            </w14:solidFill>
          </w14:textFill>
        </w:rPr>
        <w:t>83.49</w:t>
      </w:r>
      <w:r>
        <w:rPr>
          <w:rFonts w:hint="eastAsia"/>
          <w:color w:val="000000" w:themeColor="text1"/>
          <w:highlight w:val="none"/>
          <w:lang w:eastAsia="zh-CN"/>
          <w14:textFill>
            <w14:solidFill>
              <w14:schemeClr w14:val="tx1"/>
            </w14:solidFill>
          </w14:textFill>
        </w:rPr>
        <w:t>亿元。按行业分，农副食品加工业总产值下降</w:t>
      </w:r>
      <w:r>
        <w:rPr>
          <w:rFonts w:hint="eastAsia"/>
          <w:color w:val="000000" w:themeColor="text1"/>
          <w:highlight w:val="none"/>
          <w:lang w:val="en-US" w:eastAsia="zh-CN"/>
          <w14:textFill>
            <w14:solidFill>
              <w14:schemeClr w14:val="tx1"/>
            </w14:solidFill>
          </w14:textFill>
        </w:rPr>
        <w:t>18.2</w:t>
      </w:r>
      <w:r>
        <w:rPr>
          <w:rFonts w:hint="eastAsia"/>
          <w:color w:val="000000" w:themeColor="text1"/>
          <w:highlight w:val="none"/>
          <w:lang w:eastAsia="zh-CN"/>
          <w14:textFill>
            <w14:solidFill>
              <w14:schemeClr w14:val="tx1"/>
            </w14:solidFill>
          </w14:textFill>
        </w:rPr>
        <w:t>%，食品制造业下降</w:t>
      </w:r>
      <w:r>
        <w:rPr>
          <w:rFonts w:hint="eastAsia"/>
          <w:color w:val="000000" w:themeColor="text1"/>
          <w:highlight w:val="none"/>
          <w:lang w:val="en-US" w:eastAsia="zh-CN"/>
          <w14:textFill>
            <w14:solidFill>
              <w14:schemeClr w14:val="tx1"/>
            </w14:solidFill>
          </w14:textFill>
        </w:rPr>
        <w:t>14.1</w:t>
      </w:r>
      <w:r>
        <w:rPr>
          <w:rFonts w:hint="eastAsia"/>
          <w:color w:val="000000" w:themeColor="text1"/>
          <w:highlight w:val="none"/>
          <w:lang w:eastAsia="zh-CN"/>
          <w14:textFill>
            <w14:solidFill>
              <w14:schemeClr w14:val="tx1"/>
            </w14:solidFill>
          </w14:textFill>
        </w:rPr>
        <w:t>%，纺织业增长</w:t>
      </w:r>
      <w:r>
        <w:rPr>
          <w:rFonts w:hint="eastAsia"/>
          <w:color w:val="000000" w:themeColor="text1"/>
          <w:highlight w:val="none"/>
          <w:lang w:val="en-US" w:eastAsia="zh-CN"/>
          <w14:textFill>
            <w14:solidFill>
              <w14:schemeClr w14:val="tx1"/>
            </w14:solidFill>
          </w14:textFill>
        </w:rPr>
        <w:t>202.4</w:t>
      </w:r>
      <w:r>
        <w:rPr>
          <w:rFonts w:hint="eastAsia"/>
          <w:color w:val="000000" w:themeColor="text1"/>
          <w:highlight w:val="none"/>
          <w:lang w:eastAsia="zh-CN"/>
          <w14:textFill>
            <w14:solidFill>
              <w14:schemeClr w14:val="tx1"/>
            </w14:solidFill>
          </w14:textFill>
        </w:rPr>
        <w:t>%，纺织服装、服饰业下降</w:t>
      </w:r>
      <w:r>
        <w:rPr>
          <w:rFonts w:hint="eastAsia"/>
          <w:color w:val="000000" w:themeColor="text1"/>
          <w:highlight w:val="none"/>
          <w:lang w:val="en-US" w:eastAsia="zh-CN"/>
          <w14:textFill>
            <w14:solidFill>
              <w14:schemeClr w14:val="tx1"/>
            </w14:solidFill>
          </w14:textFill>
        </w:rPr>
        <w:t>80.3</w:t>
      </w:r>
      <w:r>
        <w:rPr>
          <w:rFonts w:hint="eastAsia"/>
          <w:color w:val="000000" w:themeColor="text1"/>
          <w:highlight w:val="none"/>
          <w:lang w:eastAsia="zh-CN"/>
          <w14:textFill>
            <w14:solidFill>
              <w14:schemeClr w14:val="tx1"/>
            </w14:solidFill>
          </w14:textFill>
        </w:rPr>
        <w:t>%，家具制造业下降</w:t>
      </w:r>
      <w:r>
        <w:rPr>
          <w:rFonts w:hint="eastAsia"/>
          <w:color w:val="000000" w:themeColor="text1"/>
          <w:highlight w:val="none"/>
          <w:lang w:val="en-US" w:eastAsia="zh-CN"/>
          <w14:textFill>
            <w14:solidFill>
              <w14:schemeClr w14:val="tx1"/>
            </w14:solidFill>
          </w14:textFill>
        </w:rPr>
        <w:t>31.9</w:t>
      </w:r>
      <w:r>
        <w:rPr>
          <w:rFonts w:hint="eastAsia"/>
          <w:color w:val="000000" w:themeColor="text1"/>
          <w:highlight w:val="none"/>
          <w:lang w:eastAsia="zh-CN"/>
          <w14:textFill>
            <w14:solidFill>
              <w14:schemeClr w14:val="tx1"/>
            </w14:solidFill>
          </w14:textFill>
        </w:rPr>
        <w:t>%，造纸和纸制品业下降</w:t>
      </w:r>
      <w:r>
        <w:rPr>
          <w:rFonts w:hint="eastAsia"/>
          <w:color w:val="000000" w:themeColor="text1"/>
          <w:highlight w:val="none"/>
          <w:lang w:val="en-US" w:eastAsia="zh-CN"/>
          <w14:textFill>
            <w14:solidFill>
              <w14:schemeClr w14:val="tx1"/>
            </w14:solidFill>
          </w14:textFill>
        </w:rPr>
        <w:t>20.6</w:t>
      </w:r>
      <w:r>
        <w:rPr>
          <w:rFonts w:hint="eastAsia"/>
          <w:color w:val="000000" w:themeColor="text1"/>
          <w:highlight w:val="none"/>
          <w:lang w:eastAsia="zh-CN"/>
          <w14:textFill>
            <w14:solidFill>
              <w14:schemeClr w14:val="tx1"/>
            </w14:solidFill>
          </w14:textFill>
        </w:rPr>
        <w:t>%，文教、工美、体育和娱乐用品制造业增长</w:t>
      </w:r>
      <w:r>
        <w:rPr>
          <w:rFonts w:hint="eastAsia"/>
          <w:color w:val="000000" w:themeColor="text1"/>
          <w:highlight w:val="none"/>
          <w:lang w:val="en-US" w:eastAsia="zh-CN"/>
          <w14:textFill>
            <w14:solidFill>
              <w14:schemeClr w14:val="tx1"/>
            </w14:solidFill>
          </w14:textFill>
        </w:rPr>
        <w:t>47.4</w:t>
      </w:r>
      <w:r>
        <w:rPr>
          <w:rFonts w:hint="eastAsia"/>
          <w:color w:val="000000" w:themeColor="text1"/>
          <w:highlight w:val="none"/>
          <w:lang w:eastAsia="zh-CN"/>
          <w14:textFill>
            <w14:solidFill>
              <w14:schemeClr w14:val="tx1"/>
            </w14:solidFill>
          </w14:textFill>
        </w:rPr>
        <w:t>%，化学原料和化学制品制造业增长</w:t>
      </w:r>
      <w:r>
        <w:rPr>
          <w:rFonts w:hint="eastAsia"/>
          <w:color w:val="000000" w:themeColor="text1"/>
          <w:highlight w:val="none"/>
          <w:lang w:val="en-US" w:eastAsia="zh-CN"/>
          <w14:textFill>
            <w14:solidFill>
              <w14:schemeClr w14:val="tx1"/>
            </w14:solidFill>
          </w14:textFill>
        </w:rPr>
        <w:t>25.7</w:t>
      </w:r>
      <w:r>
        <w:rPr>
          <w:rFonts w:hint="eastAsia"/>
          <w:color w:val="000000" w:themeColor="text1"/>
          <w:highlight w:val="none"/>
          <w:lang w:eastAsia="zh-CN"/>
          <w14:textFill>
            <w14:solidFill>
              <w14:schemeClr w14:val="tx1"/>
            </w14:solidFill>
          </w14:textFill>
        </w:rPr>
        <w:t>%，医药制造业增长</w:t>
      </w:r>
      <w:r>
        <w:rPr>
          <w:rFonts w:hint="eastAsia"/>
          <w:color w:val="000000" w:themeColor="text1"/>
          <w:highlight w:val="none"/>
          <w:lang w:val="en-US" w:eastAsia="zh-CN"/>
          <w14:textFill>
            <w14:solidFill>
              <w14:schemeClr w14:val="tx1"/>
            </w14:solidFill>
          </w14:textFill>
        </w:rPr>
        <w:t>86.9</w:t>
      </w:r>
      <w:r>
        <w:rPr>
          <w:rFonts w:hint="eastAsia"/>
          <w:color w:val="000000" w:themeColor="text1"/>
          <w:highlight w:val="none"/>
          <w:lang w:eastAsia="zh-CN"/>
          <w14:textFill>
            <w14:solidFill>
              <w14:schemeClr w14:val="tx1"/>
            </w14:solidFill>
          </w14:textFill>
        </w:rPr>
        <w:t>%，橡胶和塑料制品业增长</w:t>
      </w:r>
      <w:r>
        <w:rPr>
          <w:rFonts w:hint="eastAsia"/>
          <w:color w:val="000000" w:themeColor="text1"/>
          <w:highlight w:val="none"/>
          <w:lang w:val="en-US" w:eastAsia="zh-CN"/>
          <w14:textFill>
            <w14:solidFill>
              <w14:schemeClr w14:val="tx1"/>
            </w14:solidFill>
          </w14:textFill>
        </w:rPr>
        <w:t>2.7</w:t>
      </w:r>
      <w:r>
        <w:rPr>
          <w:rFonts w:hint="eastAsia"/>
          <w:color w:val="000000" w:themeColor="text1"/>
          <w:highlight w:val="none"/>
          <w:lang w:eastAsia="zh-CN"/>
          <w14:textFill>
            <w14:solidFill>
              <w14:schemeClr w14:val="tx1"/>
            </w14:solidFill>
          </w14:textFill>
        </w:rPr>
        <w:t>%，非金属矿物制品业下降</w:t>
      </w:r>
      <w:r>
        <w:rPr>
          <w:rFonts w:hint="eastAsia"/>
          <w:color w:val="000000" w:themeColor="text1"/>
          <w:highlight w:val="none"/>
          <w:lang w:val="en-US" w:eastAsia="zh-CN"/>
          <w14:textFill>
            <w14:solidFill>
              <w14:schemeClr w14:val="tx1"/>
            </w14:solidFill>
          </w14:textFill>
        </w:rPr>
        <w:t>4.2</w:t>
      </w:r>
      <w:r>
        <w:rPr>
          <w:rFonts w:hint="eastAsia"/>
          <w:color w:val="000000" w:themeColor="text1"/>
          <w:highlight w:val="none"/>
          <w:lang w:eastAsia="zh-CN"/>
          <w14:textFill>
            <w14:solidFill>
              <w14:schemeClr w14:val="tx1"/>
            </w14:solidFill>
          </w14:textFill>
        </w:rPr>
        <w:t>%，有色金属冶炼和压延加工业增长</w:t>
      </w:r>
      <w:r>
        <w:rPr>
          <w:rFonts w:hint="eastAsia"/>
          <w:color w:val="000000" w:themeColor="text1"/>
          <w:highlight w:val="none"/>
          <w:lang w:val="en-US" w:eastAsia="zh-CN"/>
          <w14:textFill>
            <w14:solidFill>
              <w14:schemeClr w14:val="tx1"/>
            </w14:solidFill>
          </w14:textFill>
        </w:rPr>
        <w:t>9.6</w:t>
      </w:r>
      <w:r>
        <w:rPr>
          <w:rFonts w:hint="eastAsia"/>
          <w:color w:val="000000" w:themeColor="text1"/>
          <w:highlight w:val="none"/>
          <w:lang w:eastAsia="zh-CN"/>
          <w14:textFill>
            <w14:solidFill>
              <w14:schemeClr w14:val="tx1"/>
            </w14:solidFill>
          </w14:textFill>
        </w:rPr>
        <w:t>%，专用设备制造业下降</w:t>
      </w:r>
      <w:r>
        <w:rPr>
          <w:rFonts w:hint="eastAsia"/>
          <w:color w:val="000000" w:themeColor="text1"/>
          <w:highlight w:val="none"/>
          <w:lang w:val="en-US" w:eastAsia="zh-CN"/>
          <w14:textFill>
            <w14:solidFill>
              <w14:schemeClr w14:val="tx1"/>
            </w14:solidFill>
          </w14:textFill>
        </w:rPr>
        <w:t>0.2</w:t>
      </w:r>
      <w:r>
        <w:rPr>
          <w:rFonts w:hint="eastAsia"/>
          <w:color w:val="000000" w:themeColor="text1"/>
          <w:highlight w:val="none"/>
          <w:lang w:eastAsia="zh-CN"/>
          <w14:textFill>
            <w14:solidFill>
              <w14:schemeClr w14:val="tx1"/>
            </w14:solidFill>
          </w14:textFill>
        </w:rPr>
        <w:t>%，电气机械和器材制造业下降</w:t>
      </w:r>
      <w:r>
        <w:rPr>
          <w:rFonts w:hint="eastAsia"/>
          <w:color w:val="000000" w:themeColor="text1"/>
          <w:highlight w:val="none"/>
          <w:lang w:val="en-US" w:eastAsia="zh-CN"/>
          <w14:textFill>
            <w14:solidFill>
              <w14:schemeClr w14:val="tx1"/>
            </w14:solidFill>
          </w14:textFill>
        </w:rPr>
        <w:t>21.1</w:t>
      </w:r>
      <w:r>
        <w:rPr>
          <w:rFonts w:hint="eastAsia"/>
          <w:color w:val="000000" w:themeColor="text1"/>
          <w:highlight w:val="none"/>
          <w:lang w:eastAsia="zh-CN"/>
          <w14:textFill>
            <w14:solidFill>
              <w14:schemeClr w14:val="tx1"/>
            </w14:solidFill>
          </w14:textFill>
        </w:rPr>
        <w:t>%，计算机、通信和其他电子设备制造业增长</w:t>
      </w:r>
      <w:r>
        <w:rPr>
          <w:rFonts w:hint="eastAsia"/>
          <w:color w:val="000000" w:themeColor="text1"/>
          <w:highlight w:val="none"/>
          <w:lang w:val="en-US" w:eastAsia="zh-CN"/>
          <w14:textFill>
            <w14:solidFill>
              <w14:schemeClr w14:val="tx1"/>
            </w14:solidFill>
          </w14:textFill>
        </w:rPr>
        <w:t>29.2</w:t>
      </w:r>
      <w:r>
        <w:rPr>
          <w:rFonts w:hint="eastAsia"/>
          <w:color w:val="000000" w:themeColor="text1"/>
          <w:highlight w:val="none"/>
          <w:lang w:eastAsia="zh-CN"/>
          <w14:textFill>
            <w14:solidFill>
              <w14:schemeClr w14:val="tx1"/>
            </w14:solidFill>
          </w14:textFill>
        </w:rPr>
        <w:t>%，仪器、仪表制造业下降</w:t>
      </w:r>
      <w:r>
        <w:rPr>
          <w:rFonts w:hint="eastAsia"/>
          <w:color w:val="000000" w:themeColor="text1"/>
          <w:highlight w:val="none"/>
          <w:lang w:val="en-US" w:eastAsia="zh-CN"/>
          <w14:textFill>
            <w14:solidFill>
              <w14:schemeClr w14:val="tx1"/>
            </w14:solidFill>
          </w14:textFill>
        </w:rPr>
        <w:t>23.3</w:t>
      </w:r>
      <w:r>
        <w:rPr>
          <w:rFonts w:hint="eastAsia"/>
          <w:color w:val="000000" w:themeColor="text1"/>
          <w:highlight w:val="none"/>
          <w:lang w:eastAsia="zh-CN"/>
          <w14:textFill>
            <w14:solidFill>
              <w14:schemeClr w14:val="tx1"/>
            </w14:solidFill>
          </w14:textFill>
        </w:rPr>
        <w:t>%，其他制造业下降</w:t>
      </w:r>
      <w:r>
        <w:rPr>
          <w:rFonts w:hint="eastAsia"/>
          <w:color w:val="000000" w:themeColor="text1"/>
          <w:highlight w:val="none"/>
          <w:lang w:val="en-US" w:eastAsia="zh-CN"/>
          <w14:textFill>
            <w14:solidFill>
              <w14:schemeClr w14:val="tx1"/>
            </w14:solidFill>
          </w14:textFill>
        </w:rPr>
        <w:t>76.1</w:t>
      </w:r>
      <w:r>
        <w:rPr>
          <w:rFonts w:hint="eastAsia"/>
          <w:color w:val="000000" w:themeColor="text1"/>
          <w:highlight w:val="none"/>
          <w:lang w:eastAsia="zh-CN"/>
          <w14:textFill>
            <w14:solidFill>
              <w14:schemeClr w14:val="tx1"/>
            </w14:solidFill>
          </w14:textFill>
        </w:rPr>
        <w:t>%，电力、热力生产和供应业下降</w:t>
      </w:r>
      <w:r>
        <w:rPr>
          <w:rFonts w:hint="eastAsia"/>
          <w:color w:val="000000" w:themeColor="text1"/>
          <w:highlight w:val="none"/>
          <w:lang w:val="en-US" w:eastAsia="zh-CN"/>
          <w14:textFill>
            <w14:solidFill>
              <w14:schemeClr w14:val="tx1"/>
            </w14:solidFill>
          </w14:textFill>
        </w:rPr>
        <w:t>6.7</w:t>
      </w:r>
      <w:r>
        <w:rPr>
          <w:rFonts w:hint="eastAsia"/>
          <w:color w:val="000000" w:themeColor="text1"/>
          <w:highlight w:val="none"/>
          <w:lang w:eastAsia="zh-CN"/>
          <w14:textFill>
            <w14:solidFill>
              <w14:schemeClr w14:val="tx1"/>
            </w14:solidFill>
          </w14:textFill>
        </w:rPr>
        <w:t>%，燃气生产和供应业增长</w:t>
      </w:r>
      <w:r>
        <w:rPr>
          <w:rFonts w:hint="eastAsia"/>
          <w:color w:val="000000" w:themeColor="text1"/>
          <w:highlight w:val="none"/>
          <w:lang w:val="en-US" w:eastAsia="zh-CN"/>
          <w14:textFill>
            <w14:solidFill>
              <w14:schemeClr w14:val="tx1"/>
            </w14:solidFill>
          </w14:textFill>
        </w:rPr>
        <w:t>6.9</w:t>
      </w:r>
      <w:r>
        <w:rPr>
          <w:rFonts w:hint="eastAsia"/>
          <w:color w:val="000000" w:themeColor="text1"/>
          <w:highlight w:val="none"/>
          <w:lang w:eastAsia="zh-CN"/>
          <w14:textFill>
            <w14:solidFill>
              <w14:schemeClr w14:val="tx1"/>
            </w14:solidFill>
          </w14:textFill>
        </w:rPr>
        <w:t>%，水的生产和供应业增长</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lang w:eastAsia="zh-CN"/>
          <w14:textFill>
            <w14:solidFill>
              <w14:schemeClr w14:val="tx1"/>
            </w14:solidFill>
          </w14:textFill>
        </w:rPr>
        <w:t>%。</w:t>
      </w:r>
    </w:p>
    <w:p>
      <w:pPr>
        <w:pStyle w:val="5"/>
        <w:spacing w:before="0" w:line="560" w:lineRule="exact"/>
        <w:ind w:left="0" w:firstLine="560" w:firstLineChars="200"/>
        <w:jc w:val="center"/>
        <w:rPr>
          <w:rFonts w:ascii="宋体" w:hAnsi="宋体" w:eastAsia="仿宋_GB2312" w:cs="宋体"/>
          <w:sz w:val="28"/>
          <w:szCs w:val="28"/>
          <w:highlight w:val="none"/>
          <w:lang w:eastAsia="zh-CN"/>
        </w:rPr>
      </w:pPr>
      <w:r>
        <w:rPr>
          <w:sz w:val="28"/>
          <w:szCs w:val="28"/>
        </w:rPr>
        <w:drawing>
          <wp:anchor distT="0" distB="0" distL="114300" distR="114300" simplePos="0" relativeHeight="251662336" behindDoc="0" locked="0" layoutInCell="1" allowOverlap="1">
            <wp:simplePos x="0" y="0"/>
            <wp:positionH relativeFrom="column">
              <wp:posOffset>506095</wp:posOffset>
            </wp:positionH>
            <wp:positionV relativeFrom="paragraph">
              <wp:posOffset>158115</wp:posOffset>
            </wp:positionV>
            <wp:extent cx="4655185" cy="1970405"/>
            <wp:effectExtent l="4445" t="4445" r="7620" b="6350"/>
            <wp:wrapTopAndBottom/>
            <wp:docPr id="7"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_GB2312" w:hAnsi="仿宋_GB2312" w:eastAsia="仿宋_GB2312" w:cs="仿宋_GB2312"/>
          <w:sz w:val="28"/>
          <w:szCs w:val="28"/>
          <w:highlight w:val="none"/>
          <w:lang w:eastAsia="zh-CN"/>
        </w:rPr>
        <w:t>图</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2016-2020</w:t>
      </w:r>
      <w:r>
        <w:rPr>
          <w:rFonts w:ascii="仿宋_GB2312" w:hAnsi="仿宋_GB2312" w:eastAsia="仿宋_GB2312" w:cs="仿宋_GB2312"/>
          <w:sz w:val="28"/>
          <w:szCs w:val="28"/>
          <w:highlight w:val="none"/>
          <w:lang w:eastAsia="zh-CN"/>
        </w:rPr>
        <w:t>年大鹏新区</w:t>
      </w:r>
      <w:r>
        <w:rPr>
          <w:rFonts w:hint="eastAsia" w:ascii="仿宋_GB2312" w:hAnsi="仿宋_GB2312" w:eastAsia="仿宋_GB2312" w:cs="仿宋_GB2312"/>
          <w:sz w:val="28"/>
          <w:szCs w:val="28"/>
          <w:highlight w:val="none"/>
          <w:lang w:eastAsia="zh-CN"/>
        </w:rPr>
        <w:t>工业增加值</w:t>
      </w:r>
      <w:r>
        <w:rPr>
          <w:rFonts w:hint="eastAsia" w:ascii="仿宋_GB2312" w:hAnsi="仿宋_GB2312" w:eastAsia="仿宋_GB2312" w:cs="仿宋_GB2312"/>
          <w:sz w:val="28"/>
          <w:szCs w:val="28"/>
          <w:highlight w:val="none"/>
          <w:lang w:val="en-US" w:eastAsia="zh-CN"/>
        </w:rPr>
        <w:t>与</w:t>
      </w:r>
      <w:r>
        <w:rPr>
          <w:rFonts w:hint="eastAsia" w:ascii="仿宋_GB2312" w:hAnsi="仿宋_GB2312" w:eastAsia="仿宋_GB2312" w:cs="仿宋_GB2312"/>
          <w:sz w:val="28"/>
          <w:szCs w:val="28"/>
          <w:highlight w:val="none"/>
          <w:lang w:eastAsia="zh-CN"/>
        </w:rPr>
        <w:t>增速</w:t>
      </w:r>
    </w:p>
    <w:p>
      <w:pPr>
        <w:pStyle w:val="5"/>
        <w:spacing w:before="0" w:afterLines="50" w:line="560" w:lineRule="exact"/>
        <w:ind w:left="0" w:firstLine="640" w:firstLineChars="200"/>
        <w:rPr>
          <w:rFonts w:hint="eastAsia"/>
          <w:highlight w:val="none"/>
          <w:lang w:eastAsia="zh-CN"/>
        </w:rPr>
      </w:pPr>
    </w:p>
    <w:p>
      <w:pPr>
        <w:pStyle w:val="5"/>
        <w:spacing w:before="0" w:afterLines="50" w:line="560" w:lineRule="exact"/>
        <w:ind w:left="0" w:firstLine="640" w:firstLineChars="200"/>
        <w:rPr>
          <w:highlight w:val="none"/>
          <w:lang w:eastAsia="zh-CN"/>
        </w:rPr>
      </w:pPr>
      <w:r>
        <w:rPr>
          <w:rFonts w:hint="eastAsia"/>
          <w:highlight w:val="none"/>
          <w:lang w:eastAsia="zh-CN"/>
        </w:rPr>
        <w:t>全年规模以上工业销售产值比上年下降5.4%。其中，出口交货值增长2.6%，出口交货值占规模以上工业销售产值比重20.4%。</w:t>
      </w:r>
      <w:r>
        <w:rPr>
          <w:highlight w:val="none"/>
          <w:lang w:eastAsia="zh-CN"/>
        </w:rPr>
        <w:t>规模以上工业企业监测的1</w:t>
      </w:r>
      <w:r>
        <w:rPr>
          <w:rFonts w:hint="eastAsia"/>
          <w:highlight w:val="none"/>
          <w:lang w:eastAsia="zh-CN"/>
        </w:rPr>
        <w:t>6</w:t>
      </w:r>
      <w:r>
        <w:rPr>
          <w:highlight w:val="none"/>
          <w:lang w:eastAsia="zh-CN"/>
        </w:rPr>
        <w:t>种主要工业产品中，</w:t>
      </w:r>
      <w:r>
        <w:rPr>
          <w:rFonts w:hint="eastAsia"/>
          <w:highlight w:val="none"/>
          <w:lang w:val="en-US" w:eastAsia="zh-CN"/>
        </w:rPr>
        <w:t>7</w:t>
      </w:r>
      <w:r>
        <w:rPr>
          <w:highlight w:val="none"/>
          <w:lang w:eastAsia="zh-CN"/>
        </w:rPr>
        <w:t>类正增长，</w:t>
      </w:r>
      <w:r>
        <w:rPr>
          <w:rFonts w:hint="eastAsia"/>
          <w:highlight w:val="none"/>
          <w:lang w:val="en-US" w:eastAsia="zh-CN"/>
        </w:rPr>
        <w:t>9</w:t>
      </w:r>
      <w:r>
        <w:rPr>
          <w:highlight w:val="none"/>
          <w:lang w:eastAsia="zh-CN"/>
        </w:rPr>
        <w:t>类负增长，主要产品产量</w:t>
      </w:r>
      <w:r>
        <w:rPr>
          <w:rFonts w:hint="eastAsia"/>
          <w:highlight w:val="none"/>
          <w:lang w:eastAsia="zh-CN"/>
        </w:rPr>
        <w:t>见</w:t>
      </w:r>
      <w:r>
        <w:rPr>
          <w:highlight w:val="none"/>
          <w:lang w:eastAsia="zh-CN"/>
        </w:rPr>
        <w:t>下表:</w:t>
      </w:r>
    </w:p>
    <w:p>
      <w:pPr>
        <w:jc w:val="center"/>
        <w:rPr>
          <w:rFonts w:hint="eastAsia" w:ascii="仿宋_GB2312" w:eastAsia="仿宋_GB2312" w:hAnsiTheme="minorEastAsia" w:cstheme="minorEastAsia"/>
          <w:sz w:val="28"/>
          <w:szCs w:val="28"/>
          <w:highlight w:val="none"/>
          <w:lang w:eastAsia="zh-CN"/>
        </w:rPr>
      </w:pPr>
      <w:r>
        <w:rPr>
          <w:rFonts w:hint="eastAsia" w:ascii="仿宋_GB2312" w:eastAsia="仿宋_GB2312" w:hAnsiTheme="minorEastAsia" w:cstheme="minorEastAsia"/>
          <w:sz w:val="28"/>
          <w:szCs w:val="28"/>
          <w:highlight w:val="none"/>
          <w:lang w:eastAsia="zh-CN"/>
        </w:rPr>
        <w:t>表1 20</w:t>
      </w:r>
      <w:r>
        <w:rPr>
          <w:rFonts w:hint="eastAsia" w:ascii="仿宋_GB2312" w:eastAsia="仿宋_GB2312" w:hAnsiTheme="minorEastAsia" w:cstheme="minorEastAsia"/>
          <w:sz w:val="28"/>
          <w:szCs w:val="28"/>
          <w:highlight w:val="none"/>
          <w:lang w:val="en-US" w:eastAsia="zh-CN"/>
        </w:rPr>
        <w:t>20</w:t>
      </w:r>
      <w:r>
        <w:rPr>
          <w:rFonts w:hint="eastAsia" w:ascii="仿宋_GB2312" w:eastAsia="仿宋_GB2312" w:hAnsiTheme="minorEastAsia" w:cstheme="minorEastAsia"/>
          <w:sz w:val="28"/>
          <w:szCs w:val="28"/>
          <w:highlight w:val="none"/>
          <w:lang w:eastAsia="zh-CN"/>
        </w:rPr>
        <w:t>年主要工业产品产量及增长速度</w:t>
      </w:r>
    </w:p>
    <w:tbl>
      <w:tblPr>
        <w:tblStyle w:val="9"/>
        <w:tblW w:w="8811" w:type="dxa"/>
        <w:tblInd w:w="120" w:type="dxa"/>
        <w:tblLayout w:type="fixed"/>
        <w:tblCellMar>
          <w:top w:w="0" w:type="dxa"/>
          <w:left w:w="0" w:type="dxa"/>
          <w:bottom w:w="0" w:type="dxa"/>
          <w:right w:w="0" w:type="dxa"/>
        </w:tblCellMar>
      </w:tblPr>
      <w:tblGrid>
        <w:gridCol w:w="2857"/>
        <w:gridCol w:w="2410"/>
        <w:gridCol w:w="1843"/>
        <w:gridCol w:w="1701"/>
      </w:tblGrid>
      <w:tr>
        <w:tblPrEx>
          <w:tblLayout w:type="fixed"/>
          <w:tblCellMar>
            <w:top w:w="0" w:type="dxa"/>
            <w:left w:w="0" w:type="dxa"/>
            <w:bottom w:w="0" w:type="dxa"/>
            <w:right w:w="0" w:type="dxa"/>
          </w:tblCellMar>
        </w:tblPrEx>
        <w:trPr>
          <w:cantSplit/>
          <w:trHeight w:val="442" w:hRule="exact"/>
        </w:trPr>
        <w:tc>
          <w:tcPr>
            <w:tcW w:w="2857" w:type="dxa"/>
            <w:tcBorders>
              <w:top w:val="single" w:color="000000" w:sz="12" w:space="0"/>
              <w:left w:val="nil"/>
              <w:bottom w:val="single" w:color="000000" w:sz="8" w:space="0"/>
              <w:right w:val="single" w:color="000000" w:sz="8" w:space="0"/>
            </w:tcBorders>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产品名称</w:t>
            </w:r>
          </w:p>
        </w:tc>
        <w:tc>
          <w:tcPr>
            <w:tcW w:w="2410" w:type="dxa"/>
            <w:tcBorders>
              <w:top w:val="single" w:color="000000" w:sz="12" w:space="0"/>
              <w:left w:val="single" w:color="000000" w:sz="8" w:space="0"/>
              <w:bottom w:val="single" w:color="000000" w:sz="8" w:space="0"/>
              <w:right w:val="single" w:color="auto" w:sz="4" w:space="0"/>
            </w:tcBorders>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计算单位</w:t>
            </w:r>
          </w:p>
        </w:tc>
        <w:tc>
          <w:tcPr>
            <w:tcW w:w="1843" w:type="dxa"/>
            <w:tcBorders>
              <w:top w:val="single" w:color="000000" w:sz="12" w:space="0"/>
              <w:left w:val="single" w:color="auto" w:sz="4" w:space="0"/>
              <w:bottom w:val="single" w:color="000000" w:sz="8" w:space="0"/>
              <w:right w:val="single" w:color="auto" w:sz="4" w:space="0"/>
            </w:tcBorders>
            <w:vAlign w:val="center"/>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年</w:t>
            </w:r>
          </w:p>
        </w:tc>
        <w:tc>
          <w:tcPr>
            <w:tcW w:w="1701" w:type="dxa"/>
            <w:tcBorders>
              <w:top w:val="single" w:color="000000" w:sz="12" w:space="0"/>
              <w:left w:val="single" w:color="auto" w:sz="4" w:space="0"/>
              <w:bottom w:val="single" w:color="000000" w:sz="8" w:space="0"/>
              <w:right w:val="nil"/>
            </w:tcBorders>
            <w:vAlign w:val="center"/>
          </w:tcPr>
          <w:p>
            <w:pPr>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同比增长（%）</w:t>
            </w:r>
          </w:p>
        </w:tc>
      </w:tr>
      <w:tr>
        <w:tblPrEx>
          <w:tblLayout w:type="fixed"/>
          <w:tblCellMar>
            <w:top w:w="0" w:type="dxa"/>
            <w:left w:w="0" w:type="dxa"/>
            <w:bottom w:w="0" w:type="dxa"/>
            <w:right w:w="0" w:type="dxa"/>
          </w:tblCellMar>
        </w:tblPrEx>
        <w:trPr>
          <w:cantSplit/>
          <w:trHeight w:val="284" w:hRule="exact"/>
        </w:trPr>
        <w:tc>
          <w:tcPr>
            <w:tcW w:w="2857" w:type="dxa"/>
            <w:tcBorders>
              <w:top w:val="single" w:color="000000" w:sz="8" w:space="0"/>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发电量</w:t>
            </w:r>
          </w:p>
        </w:tc>
        <w:tc>
          <w:tcPr>
            <w:tcW w:w="2410" w:type="dxa"/>
            <w:tcBorders>
              <w:top w:val="single" w:color="000000" w:sz="8" w:space="0"/>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万千瓦小时</w:t>
            </w:r>
          </w:p>
        </w:tc>
        <w:tc>
          <w:tcPr>
            <w:tcW w:w="1843" w:type="dxa"/>
            <w:tcBorders>
              <w:top w:val="single" w:color="000000" w:sz="8" w:space="0"/>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5245534</w:t>
            </w:r>
          </w:p>
        </w:tc>
        <w:tc>
          <w:tcPr>
            <w:tcW w:w="1701" w:type="dxa"/>
            <w:tcBorders>
              <w:top w:val="single" w:color="000000" w:sz="8" w:space="0"/>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0.2</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其中：核能发电量</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万千瓦小时</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4765241</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-0.1</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印制电路板</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平方米</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1148771</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-13.8</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电子元件</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万只</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36080</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29.5</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光电子器件</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万只（片)</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32961</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-3.0</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集成电路</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万块</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110143</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80.8</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组合音响</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台</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753629</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-22.4</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铅酸蓄电池</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千伏安时</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458572</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6.0</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碱性蓄电池</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万只</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4954</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-24.1</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锂离子电池</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万只</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1126</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-73.0</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自来水生产量</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万立方米</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1640</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4.0</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冷冻蔬菜</w:t>
            </w:r>
          </w:p>
        </w:tc>
        <w:tc>
          <w:tcPr>
            <w:tcW w:w="2410" w:type="dxa"/>
            <w:tcBorders>
              <w:top w:val="nil"/>
              <w:left w:val="single" w:color="000000" w:sz="8" w:space="0"/>
              <w:bottom w:val="nil"/>
              <w:right w:val="single" w:color="auto" w:sz="4" w:space="0"/>
            </w:tcBorders>
          </w:tcPr>
          <w:p>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吨</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2746</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-14.2</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塑料制品</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吨</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2490</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10.0</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合成洗涤剂</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吨</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1725</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商品混凝土</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立方米</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620867</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3.3</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nil"/>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服装</w:t>
            </w:r>
          </w:p>
        </w:tc>
        <w:tc>
          <w:tcPr>
            <w:tcW w:w="2410" w:type="dxa"/>
            <w:tcBorders>
              <w:top w:val="nil"/>
              <w:left w:val="single" w:color="000000" w:sz="8" w:space="0"/>
              <w:bottom w:val="nil"/>
              <w:right w:val="single" w:color="auto" w:sz="4" w:space="0"/>
            </w:tcBorders>
          </w:tcPr>
          <w:p>
            <w:pPr>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万件</w:t>
            </w:r>
          </w:p>
        </w:tc>
        <w:tc>
          <w:tcPr>
            <w:tcW w:w="1843" w:type="dxa"/>
            <w:tcBorders>
              <w:top w:val="nil"/>
              <w:left w:val="single" w:color="auto" w:sz="4" w:space="0"/>
              <w:bottom w:val="nil"/>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284</w:t>
            </w:r>
          </w:p>
        </w:tc>
        <w:tc>
          <w:tcPr>
            <w:tcW w:w="1701" w:type="dxa"/>
            <w:tcBorders>
              <w:top w:val="nil"/>
              <w:left w:val="single" w:color="auto" w:sz="4" w:space="0"/>
              <w:bottom w:val="nil"/>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-60.6</w:t>
            </w:r>
          </w:p>
        </w:tc>
      </w:tr>
      <w:tr>
        <w:tblPrEx>
          <w:tblLayout w:type="fixed"/>
          <w:tblCellMar>
            <w:top w:w="0" w:type="dxa"/>
            <w:left w:w="0" w:type="dxa"/>
            <w:bottom w:w="0" w:type="dxa"/>
            <w:right w:w="0" w:type="dxa"/>
          </w:tblCellMar>
        </w:tblPrEx>
        <w:trPr>
          <w:cantSplit/>
          <w:trHeight w:val="284" w:hRule="exact"/>
        </w:trPr>
        <w:tc>
          <w:tcPr>
            <w:tcW w:w="2857" w:type="dxa"/>
            <w:tcBorders>
              <w:top w:val="nil"/>
              <w:left w:val="nil"/>
              <w:bottom w:val="single" w:color="000000" w:sz="4" w:space="0"/>
              <w:right w:val="single" w:color="000000" w:sz="8" w:space="0"/>
            </w:tcBorders>
          </w:tcPr>
          <w:p>
            <w:pP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糖果</w:t>
            </w:r>
          </w:p>
        </w:tc>
        <w:tc>
          <w:tcPr>
            <w:tcW w:w="2410" w:type="dxa"/>
            <w:tcBorders>
              <w:top w:val="nil"/>
              <w:left w:val="single" w:color="000000" w:sz="8" w:space="0"/>
              <w:bottom w:val="single" w:color="000000" w:sz="4" w:space="0"/>
              <w:right w:val="single" w:color="000000" w:sz="8" w:space="0"/>
            </w:tcBorders>
          </w:tcPr>
          <w:p>
            <w:pPr>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吨</w:t>
            </w:r>
          </w:p>
        </w:tc>
        <w:tc>
          <w:tcPr>
            <w:tcW w:w="1843" w:type="dxa"/>
            <w:tcBorders>
              <w:top w:val="nil"/>
              <w:left w:val="single" w:color="000000" w:sz="8" w:space="0"/>
              <w:bottom w:val="single" w:color="000000" w:sz="4" w:space="0"/>
              <w:right w:val="single" w:color="auto" w:sz="4" w:space="0"/>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34377</w:t>
            </w:r>
          </w:p>
        </w:tc>
        <w:tc>
          <w:tcPr>
            <w:tcW w:w="1701" w:type="dxa"/>
            <w:tcBorders>
              <w:top w:val="nil"/>
              <w:left w:val="single" w:color="auto" w:sz="4" w:space="0"/>
              <w:bottom w:val="single" w:color="000000" w:sz="4" w:space="0"/>
              <w:right w:val="nil"/>
            </w:tcBorders>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-13.0</w:t>
            </w:r>
          </w:p>
        </w:tc>
      </w:tr>
    </w:tbl>
    <w:p>
      <w:pPr>
        <w:spacing w:before="9"/>
        <w:rPr>
          <w:rFonts w:ascii="宋体" w:hAnsi="宋体" w:eastAsia="宋体" w:cs="宋体"/>
          <w:sz w:val="5"/>
          <w:szCs w:val="5"/>
          <w:highlight w:val="none"/>
        </w:rPr>
      </w:pPr>
    </w:p>
    <w:p>
      <w:pPr>
        <w:widowControl/>
        <w:spacing w:line="560" w:lineRule="exact"/>
        <w:ind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p>
    <w:p>
      <w:pPr>
        <w:widowControl/>
        <w:spacing w:line="560" w:lineRule="exact"/>
        <w:ind w:firstLine="640" w:firstLineChars="200"/>
        <w:jc w:val="both"/>
        <w:rPr>
          <w:rFonts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规模以上工业企业全年实现产品营业收入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576.26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亿元，下降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%。实现利润总额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111.31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亿元，增长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18.8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%，劳动生产率6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9.77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万元/人，下降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%。产品销售率9</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规模以上工业企业资产负债率为5</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%，比上年末下降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个百分点。全年规模以上工业企业每百元主营业务收入中的成本为74.</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元，比上年下降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元。</w:t>
      </w:r>
    </w:p>
    <w:p>
      <w:pPr>
        <w:widowControl/>
        <w:spacing w:line="560" w:lineRule="exact"/>
        <w:ind w:firstLine="640" w:firstLineChars="200"/>
        <w:jc w:val="both"/>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auto"/>
          <w:sz w:val="32"/>
          <w:szCs w:val="32"/>
          <w:highlight w:val="none"/>
          <w:lang w:eastAsia="zh-CN"/>
        </w:rPr>
        <w:t>全区具有资质内建筑业企业</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lang w:eastAsia="zh-CN"/>
        </w:rPr>
        <w:t>家。建筑业实现增加值</w:t>
      </w:r>
      <w:r>
        <w:rPr>
          <w:rFonts w:hint="eastAsia" w:ascii="仿宋_GB2312" w:hAnsi="仿宋_GB2312" w:eastAsia="仿宋_GB2312" w:cs="仿宋_GB2312"/>
          <w:color w:val="auto"/>
          <w:sz w:val="32"/>
          <w:szCs w:val="32"/>
          <w:highlight w:val="none"/>
          <w:lang w:val="en-US" w:eastAsia="zh-CN"/>
        </w:rPr>
        <w:t>10.58</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15.5</w:t>
      </w:r>
      <w:r>
        <w:rPr>
          <w:rFonts w:hint="eastAsia" w:ascii="仿宋_GB2312" w:hAnsi="仿宋_GB2312" w:eastAsia="仿宋_GB2312" w:cs="仿宋_GB2312"/>
          <w:color w:val="auto"/>
          <w:sz w:val="32"/>
          <w:szCs w:val="32"/>
          <w:highlight w:val="none"/>
          <w:lang w:eastAsia="zh-CN"/>
        </w:rPr>
        <w:t>%，占GDP比重为</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全年报建工程</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项，总建筑面积达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175.03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万平方米，工程总造价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79.38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亿元。</w:t>
      </w:r>
    </w:p>
    <w:p>
      <w:pPr>
        <w:widowControl/>
        <w:spacing w:line="560" w:lineRule="exact"/>
        <w:ind w:firstLine="640" w:firstLineChars="200"/>
        <w:jc w:val="both"/>
        <w:rPr>
          <w:rFonts w:hint="eastAsia" w:ascii="黑体" w:hAnsi="黑体" w:eastAsia="黑体" w:cs="黑体"/>
          <w:color w:val="000000" w:themeColor="text1"/>
          <w:highlight w:val="none"/>
          <w:lang w:val="en-US" w:eastAsia="zh-CN"/>
          <w14:textFill>
            <w14:solidFill>
              <w14:schemeClr w14:val="tx1"/>
            </w14:solidFill>
          </w14:textFill>
        </w:rPr>
      </w:pPr>
    </w:p>
    <w:p>
      <w:pPr>
        <w:pStyle w:val="5"/>
        <w:spacing w:before="31"/>
        <w:jc w:val="center"/>
        <w:rPr>
          <w:rFonts w:hint="eastAsia"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四、服务业</w:t>
      </w:r>
    </w:p>
    <w:p>
      <w:pPr>
        <w:widowControl/>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全年金融业增加值10.83亿元，比上年增长22.3%；房地产业增加值10.02亿元，增长39.9%；批发和零售业增加值5.89亿元，下降35.1%；住宿和餐饮业增加值1.66亿元，下降9.0%；</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eastAsia="zh-CN"/>
        </w:rPr>
        <w:t>年全年交通运输、仓储和邮政业实现增加值</w:t>
      </w:r>
      <w:r>
        <w:rPr>
          <w:rFonts w:hint="eastAsia" w:ascii="仿宋_GB2312" w:hAnsi="仿宋_GB2312" w:eastAsia="仿宋_GB2312" w:cs="仿宋_GB2312"/>
          <w:color w:val="auto"/>
          <w:sz w:val="32"/>
          <w:szCs w:val="32"/>
          <w:highlight w:val="none"/>
          <w:lang w:val="en-US" w:eastAsia="zh-CN"/>
        </w:rPr>
        <w:t>3.34</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0.8</w:t>
      </w:r>
      <w:r>
        <w:rPr>
          <w:rFonts w:hint="eastAsia" w:ascii="仿宋_GB2312" w:hAnsi="仿宋_GB2312" w:eastAsia="仿宋_GB2312" w:cs="仿宋_GB2312"/>
          <w:color w:val="auto"/>
          <w:sz w:val="32"/>
          <w:szCs w:val="32"/>
          <w:highlight w:val="none"/>
          <w:lang w:eastAsia="zh-CN"/>
        </w:rPr>
        <w:t>%。</w:t>
      </w:r>
    </w:p>
    <w:p>
      <w:pPr>
        <w:widowControl/>
        <w:spacing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全年规模以上服务业企业实现营业收入245.9亿元，比上年增长29.7%；利润总额5.45亿元，下降50.3%。科学研究和技术服务业增长32.9%；交通运输、仓储和邮政业下降6.3%；租赁和商务服务业增长11.5%；水利、环境和公共设施管理业下降21.5%。</w:t>
      </w:r>
    </w:p>
    <w:p>
      <w:pPr>
        <w:widowControl/>
        <w:spacing w:line="560" w:lineRule="exact"/>
        <w:ind w:firstLine="640" w:firstLineChars="200"/>
        <w:jc w:val="both"/>
        <w:rPr>
          <w:rFonts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邮政储蓄期末余额</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亿元，增长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24.9</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%；电信业务收入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0.98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亿元，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下降1.0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%；固定电话用户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3.12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万户，下降</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%；互联网宽带用户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3.30</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与去年持平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widowControl/>
        <w:spacing w:line="560" w:lineRule="exact"/>
        <w:ind w:firstLine="640" w:firstLineChars="200"/>
        <w:jc w:val="both"/>
        <w:rPr>
          <w:rFonts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邮政业全年完成邮政函件业务0.</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51</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万件，包件业务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0.46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万件，特快专递</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753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件。年末全区电话用户总数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7.02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万户，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下降26.2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pStyle w:val="5"/>
        <w:numPr>
          <w:ilvl w:val="0"/>
          <w:numId w:val="0"/>
        </w:numPr>
        <w:spacing w:before="31"/>
        <w:ind w:firstLine="64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pPr>
        <w:pStyle w:val="5"/>
        <w:numPr>
          <w:ilvl w:val="0"/>
          <w:numId w:val="0"/>
        </w:numPr>
        <w:spacing w:before="31"/>
        <w:ind w:firstLine="640" w:firstLineChars="200"/>
        <w:rPr>
          <w:rFonts w:hint="eastAsia" w:ascii="仿宋_GB2312" w:hAnsi="仿宋_GB2312" w:eastAsia="仿宋_GB2312" w:cs="仿宋_GB2312"/>
          <w:color w:val="000000" w:themeColor="text1"/>
          <w:highlight w:val="none"/>
          <w:lang w:val="en-US" w:eastAsia="zh-CN"/>
          <w14:textFill>
            <w14:solidFill>
              <w14:schemeClr w14:val="tx1"/>
            </w14:solidFill>
          </w14:textFill>
        </w:rPr>
      </w:pPr>
    </w:p>
    <w:p>
      <w:pPr>
        <w:pStyle w:val="5"/>
        <w:spacing w:before="31"/>
        <w:ind w:left="2776"/>
        <w:rPr>
          <w:rFonts w:hint="default"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五、</w:t>
      </w:r>
      <w:r>
        <w:rPr>
          <w:rFonts w:ascii="黑体" w:hAnsi="黑体" w:eastAsia="黑体" w:cs="黑体"/>
          <w:color w:val="000000" w:themeColor="text1"/>
          <w:highlight w:val="none"/>
          <w:lang w:eastAsia="zh-CN"/>
          <w14:textFill>
            <w14:solidFill>
              <w14:schemeClr w14:val="tx1"/>
            </w14:solidFill>
          </w14:textFill>
        </w:rPr>
        <w:t>固定资产投资</w:t>
      </w:r>
      <w:r>
        <w:rPr>
          <w:rFonts w:hint="eastAsia" w:ascii="黑体" w:hAnsi="黑体" w:eastAsia="黑体" w:cs="黑体"/>
          <w:color w:val="000000" w:themeColor="text1"/>
          <w:highlight w:val="none"/>
          <w:lang w:val="en-US" w:eastAsia="zh-CN"/>
          <w14:textFill>
            <w14:solidFill>
              <w14:schemeClr w14:val="tx1"/>
            </w14:solidFill>
          </w14:textFill>
        </w:rPr>
        <w:t>和房地产</w:t>
      </w:r>
    </w:p>
    <w:p>
      <w:pPr>
        <w:widowControl/>
        <w:spacing w:line="560" w:lineRule="exact"/>
        <w:ind w:firstLine="640" w:firstLineChars="200"/>
        <w:jc w:val="both"/>
        <w:rPr>
          <w:rFonts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全年固定资产投资总额增长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14.8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%。分办事处看，葵涌办事处投资增长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10.3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%；大鹏办事处投资增长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22.8</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%；南澳办事处投资增长</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20.7</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widowControl/>
        <w:spacing w:line="560" w:lineRule="exact"/>
        <w:ind w:firstLine="640" w:firstLineChars="200"/>
        <w:jc w:val="center"/>
      </w:pPr>
    </w:p>
    <w:p>
      <w:pPr>
        <w:widowControl/>
        <w:spacing w:line="560" w:lineRule="exact"/>
        <w:ind w:firstLine="640" w:firstLineChars="200"/>
        <w:jc w:val="center"/>
      </w:pPr>
    </w:p>
    <w:p>
      <w:pPr>
        <w:widowControl/>
        <w:spacing w:line="560" w:lineRule="exact"/>
        <w:ind w:firstLine="640" w:firstLineChars="200"/>
        <w:jc w:val="center"/>
      </w:pPr>
    </w:p>
    <w:p>
      <w:pPr>
        <w:widowControl/>
        <w:spacing w:line="560" w:lineRule="exact"/>
        <w:ind w:firstLine="640" w:firstLineChars="200"/>
        <w:jc w:val="center"/>
      </w:pPr>
    </w:p>
    <w:p>
      <w:pPr>
        <w:widowControl/>
        <w:spacing w:line="560" w:lineRule="exact"/>
        <w:ind w:firstLine="560" w:firstLineChars="200"/>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p>
    <w:p>
      <w:pPr>
        <w:widowControl/>
        <w:spacing w:line="560" w:lineRule="exact"/>
        <w:ind w:firstLine="560" w:firstLineChars="200"/>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p>
    <w:p>
      <w:pPr>
        <w:widowControl/>
        <w:spacing w:line="560" w:lineRule="exact"/>
        <w:ind w:firstLine="640" w:firstLineChars="200"/>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511810</wp:posOffset>
            </wp:positionH>
            <wp:positionV relativeFrom="paragraph">
              <wp:posOffset>-2073275</wp:posOffset>
            </wp:positionV>
            <wp:extent cx="5200015" cy="2334895"/>
            <wp:effectExtent l="4445" t="4445" r="15240" b="22860"/>
            <wp:wrapSquare wrapText="bothSides"/>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widowControl/>
        <w:spacing w:line="560" w:lineRule="exact"/>
        <w:ind w:firstLine="560" w:firstLineChars="200"/>
        <w:jc w:val="center"/>
        <w:rPr>
          <w:rFonts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图</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3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2016-2020年投资总额增速</w:t>
      </w:r>
    </w:p>
    <w:p>
      <w:pPr>
        <w:widowControl/>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p>
    <w:p>
      <w:pPr>
        <w:widowControl/>
        <w:spacing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分产业看，第一产业投资下降</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lang w:eastAsia="zh-CN"/>
        </w:rPr>
        <w:t>%；第二产业投资增长</w:t>
      </w:r>
      <w:r>
        <w:rPr>
          <w:rFonts w:hint="eastAsia" w:ascii="仿宋_GB2312" w:hAnsi="仿宋_GB2312" w:eastAsia="仿宋_GB2312" w:cs="仿宋_GB2312"/>
          <w:color w:val="auto"/>
          <w:sz w:val="32"/>
          <w:szCs w:val="32"/>
          <w:highlight w:val="none"/>
          <w:lang w:val="en-US" w:eastAsia="zh-CN"/>
        </w:rPr>
        <w:t>13.4</w:t>
      </w:r>
      <w:r>
        <w:rPr>
          <w:rFonts w:hint="eastAsia" w:ascii="仿宋_GB2312" w:hAnsi="仿宋_GB2312" w:eastAsia="仿宋_GB2312" w:cs="仿宋_GB2312"/>
          <w:color w:val="auto"/>
          <w:sz w:val="32"/>
          <w:szCs w:val="32"/>
          <w:highlight w:val="none"/>
          <w:lang w:eastAsia="zh-CN"/>
        </w:rPr>
        <w:t>%；第三产业投资增长</w:t>
      </w:r>
      <w:r>
        <w:rPr>
          <w:rFonts w:hint="eastAsia" w:ascii="仿宋_GB2312" w:hAnsi="仿宋_GB2312" w:eastAsia="仿宋_GB2312" w:cs="仿宋_GB2312"/>
          <w:color w:val="auto"/>
          <w:sz w:val="32"/>
          <w:szCs w:val="32"/>
          <w:highlight w:val="none"/>
          <w:lang w:val="en-US" w:eastAsia="zh-CN"/>
        </w:rPr>
        <w:t>15.3</w:t>
      </w:r>
      <w:r>
        <w:rPr>
          <w:rFonts w:hint="eastAsia" w:ascii="仿宋_GB2312" w:hAnsi="仿宋_GB2312" w:eastAsia="仿宋_GB2312" w:cs="仿宋_GB2312"/>
          <w:color w:val="auto"/>
          <w:sz w:val="32"/>
          <w:szCs w:val="32"/>
          <w:highlight w:val="none"/>
          <w:lang w:eastAsia="zh-CN"/>
        </w:rPr>
        <w:t>%。基础设施投资下降</w:t>
      </w:r>
      <w:r>
        <w:rPr>
          <w:rFonts w:hint="eastAsia" w:ascii="仿宋_GB2312" w:hAnsi="仿宋_GB2312" w:eastAsia="仿宋_GB2312" w:cs="仿宋_GB2312"/>
          <w:color w:val="auto"/>
          <w:sz w:val="32"/>
          <w:szCs w:val="32"/>
          <w:highlight w:val="none"/>
          <w:lang w:val="en-US" w:eastAsia="zh-CN"/>
        </w:rPr>
        <w:t>27.4</w:t>
      </w:r>
      <w:r>
        <w:rPr>
          <w:rFonts w:hint="eastAsia" w:ascii="仿宋_GB2312" w:hAnsi="仿宋_GB2312" w:eastAsia="仿宋_GB2312" w:cs="仿宋_GB2312"/>
          <w:color w:val="auto"/>
          <w:sz w:val="32"/>
          <w:szCs w:val="32"/>
          <w:highlight w:val="none"/>
          <w:lang w:eastAsia="zh-CN"/>
        </w:rPr>
        <w:t>%，占固定资产投资的比重为</w:t>
      </w:r>
      <w:r>
        <w:rPr>
          <w:rFonts w:hint="eastAsia" w:ascii="仿宋_GB2312" w:hAnsi="仿宋_GB2312" w:eastAsia="仿宋_GB2312" w:cs="仿宋_GB2312"/>
          <w:color w:val="auto"/>
          <w:sz w:val="32"/>
          <w:szCs w:val="32"/>
          <w:highlight w:val="none"/>
          <w:lang w:val="en-US" w:eastAsia="zh-CN"/>
        </w:rPr>
        <w:t>20.8</w:t>
      </w:r>
      <w:r>
        <w:rPr>
          <w:rFonts w:hint="eastAsia" w:ascii="仿宋_GB2312" w:hAnsi="仿宋_GB2312" w:eastAsia="仿宋_GB2312" w:cs="仿宋_GB2312"/>
          <w:color w:val="auto"/>
          <w:sz w:val="32"/>
          <w:szCs w:val="32"/>
          <w:highlight w:val="none"/>
          <w:lang w:eastAsia="zh-CN"/>
        </w:rPr>
        <w:t>%。全年房地产开发投资</w:t>
      </w:r>
      <w:r>
        <w:rPr>
          <w:rFonts w:hint="eastAsia" w:ascii="仿宋_GB2312" w:hAnsi="仿宋_GB2312" w:eastAsia="仿宋_GB2312" w:cs="仿宋_GB2312"/>
          <w:color w:val="auto"/>
          <w:sz w:val="32"/>
          <w:szCs w:val="32"/>
          <w:highlight w:val="none"/>
          <w:lang w:val="en-US" w:eastAsia="zh-CN"/>
        </w:rPr>
        <w:t>46.66</w:t>
      </w:r>
      <w:r>
        <w:rPr>
          <w:rFonts w:hint="eastAsia" w:ascii="仿宋_GB2312" w:hAnsi="仿宋_GB2312" w:eastAsia="仿宋_GB2312" w:cs="仿宋_GB2312"/>
          <w:color w:val="auto"/>
          <w:sz w:val="32"/>
          <w:szCs w:val="32"/>
          <w:highlight w:val="none"/>
          <w:lang w:eastAsia="zh-CN"/>
        </w:rPr>
        <w:t>亿元，增长</w:t>
      </w:r>
      <w:r>
        <w:rPr>
          <w:rFonts w:hint="eastAsia" w:ascii="仿宋_GB2312" w:hAnsi="仿宋_GB2312" w:eastAsia="仿宋_GB2312" w:cs="仿宋_GB2312"/>
          <w:color w:val="auto"/>
          <w:sz w:val="32"/>
          <w:szCs w:val="32"/>
          <w:highlight w:val="none"/>
          <w:lang w:val="en-US" w:eastAsia="zh-CN"/>
        </w:rPr>
        <w:t>55.9</w:t>
      </w:r>
      <w:r>
        <w:rPr>
          <w:rFonts w:hint="eastAsia" w:ascii="仿宋_GB2312" w:hAnsi="仿宋_GB2312" w:eastAsia="仿宋_GB2312" w:cs="仿宋_GB2312"/>
          <w:color w:val="auto"/>
          <w:sz w:val="32"/>
          <w:szCs w:val="32"/>
          <w:highlight w:val="none"/>
          <w:lang w:eastAsia="zh-CN"/>
        </w:rPr>
        <w:t>%。销售面积</w:t>
      </w:r>
      <w:r>
        <w:rPr>
          <w:rFonts w:hint="eastAsia" w:ascii="仿宋_GB2312" w:hAnsi="仿宋_GB2312" w:eastAsia="仿宋_GB2312" w:cs="仿宋_GB2312"/>
          <w:color w:val="auto"/>
          <w:sz w:val="32"/>
          <w:szCs w:val="32"/>
          <w:highlight w:val="none"/>
          <w:lang w:val="en-US" w:eastAsia="zh-CN"/>
        </w:rPr>
        <w:t>10.49</w:t>
      </w:r>
      <w:r>
        <w:rPr>
          <w:rFonts w:hint="eastAsia" w:ascii="仿宋_GB2312" w:hAnsi="仿宋_GB2312" w:eastAsia="仿宋_GB2312" w:cs="仿宋_GB2312"/>
          <w:color w:val="auto"/>
          <w:sz w:val="32"/>
          <w:szCs w:val="32"/>
          <w:highlight w:val="none"/>
          <w:lang w:eastAsia="zh-CN"/>
        </w:rPr>
        <w:t>万平方米，增长</w:t>
      </w:r>
      <w:r>
        <w:rPr>
          <w:rFonts w:hint="eastAsia" w:ascii="仿宋_GB2312" w:hAnsi="仿宋_GB2312" w:eastAsia="仿宋_GB2312" w:cs="仿宋_GB2312"/>
          <w:color w:val="auto"/>
          <w:sz w:val="32"/>
          <w:szCs w:val="32"/>
          <w:highlight w:val="none"/>
          <w:lang w:val="en-US" w:eastAsia="zh-CN"/>
        </w:rPr>
        <w:t>186.2</w:t>
      </w:r>
      <w:r>
        <w:rPr>
          <w:rFonts w:hint="eastAsia" w:ascii="仿宋_GB2312" w:hAnsi="仿宋_GB2312" w:eastAsia="仿宋_GB2312" w:cs="仿宋_GB2312"/>
          <w:color w:val="auto"/>
          <w:sz w:val="32"/>
          <w:szCs w:val="32"/>
          <w:highlight w:val="none"/>
          <w:lang w:eastAsia="zh-CN"/>
        </w:rPr>
        <w:t>%。销售金额</w:t>
      </w:r>
      <w:r>
        <w:rPr>
          <w:rFonts w:hint="eastAsia" w:ascii="仿宋_GB2312" w:hAnsi="仿宋_GB2312" w:eastAsia="仿宋_GB2312" w:cs="仿宋_GB2312"/>
          <w:color w:val="auto"/>
          <w:sz w:val="32"/>
          <w:szCs w:val="32"/>
          <w:highlight w:val="none"/>
          <w:lang w:val="en-US" w:eastAsia="zh-CN"/>
        </w:rPr>
        <w:t>34.29</w:t>
      </w:r>
      <w:r>
        <w:rPr>
          <w:rFonts w:hint="eastAsia" w:ascii="仿宋_GB2312" w:hAnsi="仿宋_GB2312" w:eastAsia="仿宋_GB2312" w:cs="仿宋_GB2312"/>
          <w:color w:val="auto"/>
          <w:sz w:val="32"/>
          <w:szCs w:val="32"/>
          <w:highlight w:val="none"/>
          <w:lang w:eastAsia="zh-CN"/>
        </w:rPr>
        <w:t>亿元，增长</w:t>
      </w:r>
      <w:r>
        <w:rPr>
          <w:rFonts w:hint="eastAsia" w:ascii="仿宋_GB2312" w:hAnsi="仿宋_GB2312" w:eastAsia="仿宋_GB2312" w:cs="仿宋_GB2312"/>
          <w:color w:val="auto"/>
          <w:sz w:val="32"/>
          <w:szCs w:val="32"/>
          <w:highlight w:val="none"/>
          <w:lang w:val="en-US" w:eastAsia="zh-CN"/>
        </w:rPr>
        <w:t>209.7</w:t>
      </w:r>
      <w:r>
        <w:rPr>
          <w:rFonts w:hint="eastAsia" w:ascii="仿宋_GB2312" w:hAnsi="仿宋_GB2312" w:eastAsia="仿宋_GB2312" w:cs="仿宋_GB2312"/>
          <w:color w:val="auto"/>
          <w:sz w:val="32"/>
          <w:szCs w:val="32"/>
          <w:highlight w:val="none"/>
          <w:lang w:eastAsia="zh-CN"/>
        </w:rPr>
        <w:t>%。商品房单位平方米</w:t>
      </w:r>
      <w:r>
        <w:rPr>
          <w:rFonts w:hint="eastAsia" w:ascii="仿宋_GB2312" w:hAnsi="仿宋_GB2312" w:eastAsia="仿宋_GB2312" w:cs="仿宋_GB2312"/>
          <w:color w:val="auto"/>
          <w:sz w:val="32"/>
          <w:szCs w:val="32"/>
          <w:highlight w:val="none"/>
          <w:lang w:val="en-US" w:eastAsia="zh-CN"/>
        </w:rPr>
        <w:t>3.27</w:t>
      </w:r>
      <w:r>
        <w:rPr>
          <w:rFonts w:hint="eastAsia" w:ascii="仿宋_GB2312" w:hAnsi="仿宋_GB2312" w:eastAsia="仿宋_GB2312" w:cs="仿宋_GB2312"/>
          <w:color w:val="auto"/>
          <w:sz w:val="32"/>
          <w:szCs w:val="32"/>
          <w:highlight w:val="none"/>
          <w:lang w:eastAsia="zh-CN"/>
        </w:rPr>
        <w:t>万元。</w:t>
      </w:r>
    </w:p>
    <w:p>
      <w:pPr>
        <w:pStyle w:val="5"/>
        <w:spacing w:before="146"/>
        <w:ind w:left="149" w:right="313"/>
        <w:jc w:val="center"/>
        <w:rPr>
          <w:rFonts w:hint="eastAsia" w:ascii="黑体" w:hAnsi="黑体" w:eastAsia="黑体" w:cs="黑体"/>
          <w:color w:val="000000" w:themeColor="text1"/>
          <w:highlight w:val="none"/>
          <w:lang w:val="en-US" w:eastAsia="zh-CN"/>
          <w14:textFill>
            <w14:solidFill>
              <w14:schemeClr w14:val="tx1"/>
            </w14:solidFill>
          </w14:textFill>
        </w:rPr>
      </w:pPr>
    </w:p>
    <w:p>
      <w:pPr>
        <w:pStyle w:val="5"/>
        <w:spacing w:before="146"/>
        <w:ind w:left="149" w:right="313"/>
        <w:jc w:val="center"/>
        <w:rPr>
          <w:rFonts w:hint="default" w:ascii="黑体" w:hAnsi="黑体" w:eastAsia="黑体" w:cs="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highlight w:val="none"/>
          <w:lang w:val="en-US" w:eastAsia="zh-CN"/>
          <w14:textFill>
            <w14:solidFill>
              <w14:schemeClr w14:val="tx1"/>
            </w14:solidFill>
          </w14:textFill>
        </w:rPr>
        <w:t>六</w:t>
      </w:r>
      <w:r>
        <w:rPr>
          <w:rFonts w:ascii="黑体" w:hAnsi="黑体" w:eastAsia="黑体" w:cs="黑体"/>
          <w:color w:val="000000" w:themeColor="text1"/>
          <w:highlight w:val="none"/>
          <w:lang w:eastAsia="zh-CN"/>
          <w14:textFill>
            <w14:solidFill>
              <w14:schemeClr w14:val="tx1"/>
            </w14:solidFill>
          </w14:textFill>
        </w:rPr>
        <w:t>、</w:t>
      </w:r>
      <w:r>
        <w:rPr>
          <w:rFonts w:hint="eastAsia" w:ascii="黑体" w:hAnsi="黑体" w:eastAsia="黑体" w:cs="黑体"/>
          <w:color w:val="000000" w:themeColor="text1"/>
          <w:highlight w:val="none"/>
          <w:lang w:val="en-US" w:eastAsia="zh-CN"/>
          <w14:textFill>
            <w14:solidFill>
              <w14:schemeClr w14:val="tx1"/>
            </w14:solidFill>
          </w14:textFill>
        </w:rPr>
        <w:t>商业和旅游业</w:t>
      </w:r>
    </w:p>
    <w:p>
      <w:pPr>
        <w:widowControl/>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全年社会消费品零售总额</w:t>
      </w:r>
      <w:r>
        <w:rPr>
          <w:rFonts w:hint="eastAsia" w:ascii="仿宋_GB2312" w:hAnsi="仿宋_GB2312" w:eastAsia="仿宋_GB2312" w:cs="仿宋_GB2312"/>
          <w:color w:val="auto"/>
          <w:sz w:val="32"/>
          <w:szCs w:val="32"/>
          <w:highlight w:val="none"/>
          <w:lang w:val="en-US" w:eastAsia="zh-CN"/>
        </w:rPr>
        <w:t>42.29</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lang w:eastAsia="zh-CN"/>
        </w:rPr>
        <w:t>%。按办事处分，葵涌办事处</w:t>
      </w:r>
      <w:r>
        <w:rPr>
          <w:rFonts w:hint="eastAsia" w:ascii="仿宋_GB2312" w:hAnsi="仿宋_GB2312" w:eastAsia="仿宋_GB2312" w:cs="仿宋_GB2312"/>
          <w:color w:val="auto"/>
          <w:sz w:val="32"/>
          <w:szCs w:val="32"/>
          <w:highlight w:val="none"/>
          <w:lang w:val="en-US" w:eastAsia="zh-CN"/>
        </w:rPr>
        <w:t>19.84</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lang w:eastAsia="zh-CN"/>
        </w:rPr>
        <w:t>%。大鹏办事处</w:t>
      </w:r>
      <w:r>
        <w:rPr>
          <w:rFonts w:hint="eastAsia" w:ascii="仿宋_GB2312" w:hAnsi="仿宋_GB2312" w:eastAsia="仿宋_GB2312" w:cs="仿宋_GB2312"/>
          <w:color w:val="auto"/>
          <w:sz w:val="32"/>
          <w:szCs w:val="32"/>
          <w:highlight w:val="none"/>
          <w:lang w:val="en-US" w:eastAsia="zh-CN"/>
        </w:rPr>
        <w:t>16.11</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lang w:eastAsia="zh-CN"/>
        </w:rPr>
        <w:t>%。南澳办事处</w:t>
      </w:r>
      <w:r>
        <w:rPr>
          <w:rFonts w:hint="eastAsia" w:ascii="仿宋_GB2312" w:hAnsi="仿宋_GB2312" w:eastAsia="仿宋_GB2312" w:cs="仿宋_GB2312"/>
          <w:color w:val="auto"/>
          <w:sz w:val="32"/>
          <w:szCs w:val="32"/>
          <w:highlight w:val="none"/>
          <w:lang w:val="en-US" w:eastAsia="zh-CN"/>
        </w:rPr>
        <w:t>6.34</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6.9</w:t>
      </w:r>
      <w:r>
        <w:rPr>
          <w:rFonts w:hint="eastAsia" w:ascii="仿宋_GB2312" w:hAnsi="仿宋_GB2312" w:eastAsia="仿宋_GB2312" w:cs="仿宋_GB2312"/>
          <w:color w:val="auto"/>
          <w:sz w:val="32"/>
          <w:szCs w:val="32"/>
          <w:highlight w:val="none"/>
          <w:lang w:eastAsia="zh-CN"/>
        </w:rPr>
        <w:t>%。批发业商品销售额实现</w:t>
      </w:r>
      <w:r>
        <w:rPr>
          <w:rFonts w:hint="eastAsia" w:ascii="仿宋_GB2312" w:hAnsi="仿宋_GB2312" w:eastAsia="仿宋_GB2312" w:cs="仿宋_GB2312"/>
          <w:color w:val="auto"/>
          <w:sz w:val="32"/>
          <w:szCs w:val="32"/>
          <w:highlight w:val="none"/>
          <w:lang w:val="en-US" w:eastAsia="zh-CN"/>
        </w:rPr>
        <w:t>60.45</w:t>
      </w:r>
      <w:r>
        <w:rPr>
          <w:rFonts w:hint="eastAsia" w:ascii="仿宋_GB2312" w:hAnsi="仿宋_GB2312" w:eastAsia="仿宋_GB2312" w:cs="仿宋_GB2312"/>
          <w:color w:val="auto"/>
          <w:sz w:val="32"/>
          <w:szCs w:val="32"/>
          <w:highlight w:val="none"/>
          <w:lang w:eastAsia="zh-CN"/>
        </w:rPr>
        <w:t>亿元，</w:t>
      </w:r>
      <w:r>
        <w:rPr>
          <w:rFonts w:hint="eastAsia" w:ascii="仿宋_GB2312" w:hAnsi="仿宋_GB2312" w:eastAsia="仿宋_GB2312" w:cs="仿宋_GB2312"/>
          <w:color w:val="auto"/>
          <w:sz w:val="32"/>
          <w:szCs w:val="32"/>
          <w:highlight w:val="none"/>
          <w:lang w:val="en-US" w:eastAsia="zh-CN"/>
        </w:rPr>
        <w:t>下降42.1</w:t>
      </w:r>
      <w:r>
        <w:rPr>
          <w:rFonts w:hint="eastAsia" w:ascii="仿宋_GB2312" w:hAnsi="仿宋_GB2312" w:eastAsia="仿宋_GB2312" w:cs="仿宋_GB2312"/>
          <w:color w:val="auto"/>
          <w:sz w:val="32"/>
          <w:szCs w:val="32"/>
          <w:highlight w:val="none"/>
          <w:lang w:eastAsia="zh-CN"/>
        </w:rPr>
        <w:t>%。零售业商品销售额实现</w:t>
      </w:r>
      <w:r>
        <w:rPr>
          <w:rFonts w:hint="eastAsia" w:ascii="仿宋_GB2312" w:hAnsi="仿宋_GB2312" w:eastAsia="仿宋_GB2312" w:cs="仿宋_GB2312"/>
          <w:color w:val="auto"/>
          <w:sz w:val="32"/>
          <w:szCs w:val="32"/>
          <w:highlight w:val="none"/>
          <w:lang w:val="en-US" w:eastAsia="zh-CN"/>
        </w:rPr>
        <w:t>18.89</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8.1</w:t>
      </w:r>
      <w:r>
        <w:rPr>
          <w:rFonts w:hint="eastAsia" w:ascii="仿宋_GB2312" w:hAnsi="仿宋_GB2312" w:eastAsia="仿宋_GB2312" w:cs="仿宋_GB2312"/>
          <w:color w:val="auto"/>
          <w:sz w:val="32"/>
          <w:szCs w:val="32"/>
          <w:highlight w:val="none"/>
          <w:lang w:eastAsia="zh-CN"/>
        </w:rPr>
        <w:t>%。住宿业营业额实现</w:t>
      </w:r>
      <w:r>
        <w:rPr>
          <w:rFonts w:hint="eastAsia" w:ascii="仿宋_GB2312" w:hAnsi="仿宋_GB2312" w:eastAsia="仿宋_GB2312" w:cs="仿宋_GB2312"/>
          <w:color w:val="auto"/>
          <w:sz w:val="32"/>
          <w:szCs w:val="32"/>
          <w:highlight w:val="none"/>
          <w:lang w:val="en-US" w:eastAsia="zh-CN"/>
        </w:rPr>
        <w:t>9.66</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13.0</w:t>
      </w:r>
      <w:r>
        <w:rPr>
          <w:rFonts w:hint="eastAsia" w:ascii="仿宋_GB2312" w:hAnsi="仿宋_GB2312" w:eastAsia="仿宋_GB2312" w:cs="仿宋_GB2312"/>
          <w:color w:val="auto"/>
          <w:sz w:val="32"/>
          <w:szCs w:val="32"/>
          <w:highlight w:val="none"/>
          <w:lang w:eastAsia="zh-CN"/>
        </w:rPr>
        <w:t>%。餐饮业营业额实现</w:t>
      </w:r>
      <w:r>
        <w:rPr>
          <w:rFonts w:hint="eastAsia" w:ascii="仿宋_GB2312" w:hAnsi="仿宋_GB2312" w:eastAsia="仿宋_GB2312" w:cs="仿宋_GB2312"/>
          <w:color w:val="auto"/>
          <w:sz w:val="32"/>
          <w:szCs w:val="32"/>
          <w:highlight w:val="none"/>
          <w:lang w:val="en-US" w:eastAsia="zh-CN"/>
        </w:rPr>
        <w:t>6.86</w:t>
      </w:r>
      <w:r>
        <w:rPr>
          <w:rFonts w:hint="eastAsia" w:ascii="仿宋_GB2312" w:hAnsi="仿宋_GB2312" w:eastAsia="仿宋_GB2312" w:cs="仿宋_GB2312"/>
          <w:color w:val="auto"/>
          <w:sz w:val="32"/>
          <w:szCs w:val="32"/>
          <w:highlight w:val="none"/>
          <w:lang w:eastAsia="zh-CN"/>
        </w:rPr>
        <w:t>亿元，下降</w:t>
      </w:r>
      <w:r>
        <w:rPr>
          <w:rFonts w:hint="eastAsia" w:ascii="仿宋_GB2312" w:hAnsi="仿宋_GB2312" w:eastAsia="仿宋_GB2312" w:cs="仿宋_GB2312"/>
          <w:color w:val="auto"/>
          <w:sz w:val="32"/>
          <w:szCs w:val="32"/>
          <w:highlight w:val="none"/>
          <w:lang w:val="en-US" w:eastAsia="zh-CN"/>
        </w:rPr>
        <w:t>18.8</w:t>
      </w:r>
      <w:r>
        <w:rPr>
          <w:rFonts w:hint="eastAsia" w:ascii="仿宋_GB2312" w:hAnsi="仿宋_GB2312" w:eastAsia="仿宋_GB2312" w:cs="仿宋_GB2312"/>
          <w:color w:val="auto"/>
          <w:sz w:val="32"/>
          <w:szCs w:val="32"/>
          <w:highlight w:val="none"/>
          <w:lang w:eastAsia="zh-CN"/>
        </w:rPr>
        <w:t>%。</w:t>
      </w:r>
    </w:p>
    <w:p>
      <w:pPr>
        <w:widowControl/>
        <w:spacing w:line="560" w:lineRule="exact"/>
        <w:ind w:firstLine="640" w:firstLineChars="200"/>
        <w:jc w:val="both"/>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在限额以上企业商品销售额中，全年石油及制品类销售额</w:t>
      </w:r>
      <w:r>
        <w:rPr>
          <w:rFonts w:hint="eastAsia" w:ascii="仿宋_GB2312" w:hAnsi="仿宋_GB2312" w:eastAsia="仿宋_GB2312" w:cs="仿宋_GB2312"/>
          <w:color w:val="auto"/>
          <w:sz w:val="32"/>
          <w:szCs w:val="32"/>
          <w:highlight w:val="none"/>
          <w:lang w:val="en-US" w:eastAsia="zh-CN"/>
        </w:rPr>
        <w:t>下降43.4</w:t>
      </w:r>
      <w:r>
        <w:rPr>
          <w:rFonts w:hint="eastAsia" w:ascii="仿宋_GB2312" w:hAnsi="仿宋_GB2312" w:eastAsia="仿宋_GB2312" w:cs="仿宋_GB2312"/>
          <w:color w:val="auto"/>
          <w:sz w:val="32"/>
          <w:szCs w:val="32"/>
          <w:highlight w:val="none"/>
          <w:lang w:eastAsia="zh-CN"/>
        </w:rPr>
        <w:t>%，烟酒类销售额增长</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lang w:eastAsia="zh-CN"/>
        </w:rPr>
        <w:t>%，家用电器和音像器材类销售额</w:t>
      </w:r>
      <w:r>
        <w:rPr>
          <w:rFonts w:hint="eastAsia" w:ascii="仿宋_GB2312" w:hAnsi="仿宋_GB2312" w:eastAsia="仿宋_GB2312" w:cs="仿宋_GB2312"/>
          <w:color w:val="auto"/>
          <w:sz w:val="32"/>
          <w:szCs w:val="32"/>
          <w:highlight w:val="none"/>
          <w:lang w:val="en-US" w:eastAsia="zh-CN"/>
        </w:rPr>
        <w:t>下降73.3</w:t>
      </w:r>
      <w:r>
        <w:rPr>
          <w:rFonts w:hint="eastAsia" w:ascii="仿宋_GB2312" w:hAnsi="仿宋_GB2312" w:eastAsia="仿宋_GB2312" w:cs="仿宋_GB2312"/>
          <w:color w:val="auto"/>
          <w:sz w:val="32"/>
          <w:szCs w:val="32"/>
          <w:highlight w:val="none"/>
          <w:lang w:eastAsia="zh-CN"/>
        </w:rPr>
        <w:t>%，汽车类产品销售额下降</w:t>
      </w:r>
      <w:r>
        <w:rPr>
          <w:rFonts w:hint="eastAsia" w:ascii="仿宋_GB2312" w:hAnsi="仿宋_GB2312" w:eastAsia="仿宋_GB2312" w:cs="仿宋_GB2312"/>
          <w:color w:val="auto"/>
          <w:sz w:val="32"/>
          <w:szCs w:val="32"/>
          <w:highlight w:val="none"/>
          <w:lang w:val="en-US" w:eastAsia="zh-CN"/>
        </w:rPr>
        <w:t>7.7</w:t>
      </w:r>
      <w:r>
        <w:rPr>
          <w:rFonts w:hint="eastAsia" w:ascii="仿宋_GB2312" w:hAnsi="仿宋_GB2312" w:eastAsia="仿宋_GB2312" w:cs="仿宋_GB2312"/>
          <w:color w:val="auto"/>
          <w:sz w:val="32"/>
          <w:szCs w:val="32"/>
          <w:highlight w:val="none"/>
          <w:lang w:eastAsia="zh-CN"/>
        </w:rPr>
        <w:t>%，建筑及装潢材料类销售额增长</w:t>
      </w:r>
      <w:r>
        <w:rPr>
          <w:rFonts w:hint="eastAsia" w:ascii="仿宋_GB2312" w:hAnsi="仿宋_GB2312" w:eastAsia="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lang w:eastAsia="zh-CN"/>
        </w:rPr>
        <w:t>%，粮油、食品类销售额</w:t>
      </w:r>
      <w:r>
        <w:rPr>
          <w:rFonts w:hint="eastAsia" w:ascii="仿宋_GB2312" w:hAnsi="仿宋_GB2312" w:eastAsia="仿宋_GB2312" w:cs="仿宋_GB2312"/>
          <w:color w:val="auto"/>
          <w:sz w:val="32"/>
          <w:szCs w:val="32"/>
          <w:highlight w:val="none"/>
          <w:lang w:val="en-US" w:eastAsia="zh-CN"/>
        </w:rPr>
        <w:t>下降7.2</w:t>
      </w:r>
      <w:r>
        <w:rPr>
          <w:rFonts w:hint="eastAsia" w:ascii="仿宋_GB2312" w:hAnsi="仿宋_GB2312" w:eastAsia="仿宋_GB2312" w:cs="仿宋_GB2312"/>
          <w:color w:val="auto"/>
          <w:sz w:val="32"/>
          <w:szCs w:val="32"/>
          <w:highlight w:val="none"/>
          <w:lang w:eastAsia="zh-CN"/>
        </w:rPr>
        <w:t>%，五金、电料类销售额</w:t>
      </w:r>
      <w:r>
        <w:rPr>
          <w:rFonts w:hint="eastAsia" w:ascii="仿宋_GB2312" w:hAnsi="仿宋_GB2312" w:eastAsia="仿宋_GB2312" w:cs="仿宋_GB2312"/>
          <w:color w:val="auto"/>
          <w:sz w:val="32"/>
          <w:szCs w:val="32"/>
          <w:highlight w:val="none"/>
          <w:lang w:val="en-US" w:eastAsia="zh-CN"/>
        </w:rPr>
        <w:t>下降70.0</w:t>
      </w:r>
      <w:r>
        <w:rPr>
          <w:rFonts w:hint="eastAsia" w:ascii="仿宋_GB2312" w:hAnsi="仿宋_GB2312" w:eastAsia="仿宋_GB2312" w:cs="仿宋_GB2312"/>
          <w:color w:val="auto"/>
          <w:sz w:val="32"/>
          <w:szCs w:val="32"/>
          <w:highlight w:val="none"/>
          <w:lang w:eastAsia="zh-CN"/>
        </w:rPr>
        <w:t>%。</w:t>
      </w:r>
    </w:p>
    <w:p>
      <w:pPr>
        <w:widowControl/>
        <w:spacing w:line="560" w:lineRule="exact"/>
        <w:ind w:firstLine="640" w:firstLineChars="200"/>
        <w:jc w:val="center"/>
      </w:pPr>
    </w:p>
    <w:p>
      <w:pPr>
        <w:widowControl/>
        <w:spacing w:line="560" w:lineRule="exact"/>
        <w:ind w:firstLine="640" w:firstLineChars="200"/>
        <w:jc w:val="center"/>
      </w:pPr>
      <w:r>
        <w:drawing>
          <wp:anchor distT="0" distB="0" distL="114300" distR="114300" simplePos="0" relativeHeight="251664384" behindDoc="1" locked="0" layoutInCell="1" allowOverlap="1">
            <wp:simplePos x="0" y="0"/>
            <wp:positionH relativeFrom="column">
              <wp:posOffset>791210</wp:posOffset>
            </wp:positionH>
            <wp:positionV relativeFrom="paragraph">
              <wp:posOffset>41275</wp:posOffset>
            </wp:positionV>
            <wp:extent cx="4496435" cy="2077085"/>
            <wp:effectExtent l="5080" t="4445" r="13335" b="13970"/>
            <wp:wrapTight wrapText="bothSides">
              <wp:wrapPolygon>
                <wp:start x="-24" y="-46"/>
                <wp:lineTo x="-24" y="21547"/>
                <wp:lineTo x="21573" y="21547"/>
                <wp:lineTo x="21573" y="-46"/>
                <wp:lineTo x="-24" y="-46"/>
              </wp:wrapPolygon>
            </wp:wrapTight>
            <wp:docPr id="10"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widowControl/>
        <w:spacing w:line="560" w:lineRule="exact"/>
        <w:ind w:firstLine="640" w:firstLineChars="200"/>
        <w:jc w:val="center"/>
      </w:pPr>
    </w:p>
    <w:p>
      <w:pPr>
        <w:widowControl/>
        <w:spacing w:line="560" w:lineRule="exact"/>
        <w:ind w:firstLine="640" w:firstLineChars="200"/>
        <w:jc w:val="center"/>
      </w:pPr>
    </w:p>
    <w:p>
      <w:pPr>
        <w:widowControl/>
        <w:spacing w:line="560" w:lineRule="exact"/>
        <w:ind w:firstLine="640" w:firstLineChars="200"/>
        <w:jc w:val="center"/>
      </w:pPr>
    </w:p>
    <w:p>
      <w:pPr>
        <w:widowControl/>
        <w:spacing w:line="560" w:lineRule="exact"/>
        <w:jc w:val="both"/>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widowControl/>
        <w:spacing w:line="560" w:lineRule="exact"/>
        <w:ind w:firstLine="640" w:firstLineChars="200"/>
        <w:jc w:val="cente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p>
    <w:p>
      <w:pPr>
        <w:widowControl/>
        <w:spacing w:line="560" w:lineRule="exact"/>
        <w:ind w:firstLine="560" w:firstLineChars="200"/>
        <w:jc w:val="center"/>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图4 2016-2020年社会消费品零售总额增速</w:t>
      </w:r>
    </w:p>
    <w:p>
      <w:pPr>
        <w:tabs>
          <w:tab w:val="left" w:pos="939"/>
        </w:tabs>
        <w:bidi w:val="0"/>
        <w:jc w:val="left"/>
        <w:rPr>
          <w:lang w:val="en-US" w:eastAsia="zh-CN"/>
        </w:rPr>
      </w:pPr>
    </w:p>
    <w:p>
      <w:pPr>
        <w:pStyle w:val="5"/>
        <w:spacing w:before="0" w:line="560" w:lineRule="exact"/>
        <w:ind w:firstLine="640" w:firstLineChars="200"/>
        <w:jc w:val="both"/>
        <w:rPr>
          <w:rFonts w:ascii="黑体" w:hAnsi="黑体" w:eastAsia="黑体" w:cs="黑体"/>
          <w:highlight w:val="none"/>
          <w:lang w:eastAsia="zh-CN"/>
        </w:rPr>
      </w:pPr>
      <w:r>
        <w:rPr>
          <w:rFonts w:hint="eastAsia"/>
          <w:color w:val="000000" w:themeColor="text1"/>
          <w:highlight w:val="none"/>
          <w:lang w:eastAsia="zh-CN"/>
          <w14:textFill>
            <w14:solidFill>
              <w14:schemeClr w14:val="tx1"/>
            </w14:solidFill>
          </w14:textFill>
        </w:rPr>
        <w:t>截至20</w:t>
      </w:r>
      <w:r>
        <w:rPr>
          <w:rFonts w:hint="eastAsia"/>
          <w:color w:val="000000" w:themeColor="text1"/>
          <w:highlight w:val="none"/>
          <w:lang w:val="en-US" w:eastAsia="zh-CN"/>
          <w14:textFill>
            <w14:solidFill>
              <w14:schemeClr w14:val="tx1"/>
            </w14:solidFill>
          </w14:textFill>
        </w:rPr>
        <w:t>20</w:t>
      </w:r>
      <w:r>
        <w:rPr>
          <w:rFonts w:hint="eastAsia"/>
          <w:color w:val="000000" w:themeColor="text1"/>
          <w:highlight w:val="none"/>
          <w:lang w:eastAsia="zh-CN"/>
          <w14:textFill>
            <w14:solidFill>
              <w14:schemeClr w14:val="tx1"/>
            </w14:solidFill>
          </w14:textFill>
        </w:rPr>
        <w:t>年末，全区</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lang w:eastAsia="zh-CN"/>
          <w14:textFill>
            <w14:solidFill>
              <w14:schemeClr w14:val="tx1"/>
            </w14:solidFill>
          </w14:textFill>
        </w:rPr>
        <w:t>星级酒店</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家，</w:t>
      </w:r>
      <w:r>
        <w:rPr>
          <w:rFonts w:hint="eastAsia"/>
          <w:color w:val="000000" w:themeColor="text1"/>
          <w:highlight w:val="none"/>
          <w:lang w:val="en-US" w:eastAsia="zh-CN"/>
          <w14:textFill>
            <w14:solidFill>
              <w14:schemeClr w14:val="tx1"/>
            </w14:solidFill>
          </w14:textFill>
        </w:rPr>
        <w:t>五星级标准</w:t>
      </w:r>
      <w:r>
        <w:rPr>
          <w:rFonts w:hint="eastAsia"/>
          <w:color w:val="000000" w:themeColor="text1"/>
          <w:highlight w:val="none"/>
          <w:lang w:eastAsia="zh-CN"/>
          <w14:textFill>
            <w14:solidFill>
              <w14:schemeClr w14:val="tx1"/>
            </w14:solidFill>
          </w14:textFill>
        </w:rPr>
        <w:t>酒店2家，旅行社</w:t>
      </w:r>
      <w:r>
        <w:rPr>
          <w:rFonts w:hint="eastAsia"/>
          <w:color w:val="000000" w:themeColor="text1"/>
          <w:highlight w:val="none"/>
          <w:lang w:val="en-US" w:eastAsia="zh-CN"/>
          <w14:textFill>
            <w14:solidFill>
              <w14:schemeClr w14:val="tx1"/>
            </w14:solidFill>
          </w14:textFill>
        </w:rPr>
        <w:t>15</w:t>
      </w:r>
      <w:r>
        <w:rPr>
          <w:rFonts w:hint="eastAsia"/>
          <w:color w:val="000000" w:themeColor="text1"/>
          <w:highlight w:val="none"/>
          <w:lang w:eastAsia="zh-CN"/>
          <w14:textFill>
            <w14:solidFill>
              <w14:schemeClr w14:val="tx1"/>
            </w14:solidFill>
          </w14:textFill>
        </w:rPr>
        <w:t>家。全区接待总人数</w:t>
      </w:r>
      <w:r>
        <w:rPr>
          <w:rFonts w:hint="eastAsia"/>
          <w:color w:val="000000" w:themeColor="text1"/>
          <w:highlight w:val="none"/>
          <w:lang w:val="en-US" w:eastAsia="zh-CN"/>
          <w14:textFill>
            <w14:solidFill>
              <w14:schemeClr w14:val="tx1"/>
            </w14:solidFill>
          </w14:textFill>
        </w:rPr>
        <w:t>967.91</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下降9.0</w:t>
      </w:r>
      <w:r>
        <w:rPr>
          <w:rFonts w:hint="eastAsia"/>
          <w:color w:val="000000" w:themeColor="text1"/>
          <w:highlight w:val="none"/>
          <w:lang w:eastAsia="zh-CN"/>
          <w14:textFill>
            <w14:solidFill>
              <w14:schemeClr w14:val="tx1"/>
            </w14:solidFill>
          </w14:textFill>
        </w:rPr>
        <w:t>%。旅游业总收入</w:t>
      </w:r>
      <w:r>
        <w:rPr>
          <w:rFonts w:hint="eastAsia"/>
          <w:color w:val="000000" w:themeColor="text1"/>
          <w:highlight w:val="none"/>
          <w:lang w:val="en-US" w:eastAsia="zh-CN"/>
          <w14:textFill>
            <w14:solidFill>
              <w14:schemeClr w14:val="tx1"/>
            </w14:solidFill>
          </w14:textFill>
        </w:rPr>
        <w:t>61.69</w:t>
      </w:r>
      <w:r>
        <w:rPr>
          <w:rFonts w:hint="eastAsia"/>
          <w:color w:val="000000" w:themeColor="text1"/>
          <w:highlight w:val="none"/>
          <w:lang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增长20.7</w:t>
      </w:r>
      <w:r>
        <w:rPr>
          <w:rFonts w:hint="eastAsia"/>
          <w:color w:val="000000" w:themeColor="text1"/>
          <w:highlight w:val="none"/>
          <w:lang w:eastAsia="zh-CN"/>
          <w14:textFill>
            <w14:solidFill>
              <w14:schemeClr w14:val="tx1"/>
            </w14:solidFill>
          </w14:textFill>
        </w:rPr>
        <w:t>%。国内游客</w:t>
      </w:r>
      <w:r>
        <w:rPr>
          <w:rFonts w:hint="eastAsia"/>
          <w:color w:val="000000" w:themeColor="text1"/>
          <w:highlight w:val="none"/>
          <w:lang w:val="en-US" w:eastAsia="zh-CN"/>
          <w14:textFill>
            <w14:solidFill>
              <w14:schemeClr w14:val="tx1"/>
            </w14:solidFill>
          </w14:textFill>
        </w:rPr>
        <w:t>929.20</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下降11.8</w:t>
      </w:r>
      <w:r>
        <w:rPr>
          <w:rFonts w:hint="eastAsia"/>
          <w:color w:val="000000" w:themeColor="text1"/>
          <w:highlight w:val="none"/>
          <w:lang w:eastAsia="zh-CN"/>
          <w14:textFill>
            <w14:solidFill>
              <w14:schemeClr w14:val="tx1"/>
            </w14:solidFill>
          </w14:textFill>
        </w:rPr>
        <w:t>%；国内旅游收入</w:t>
      </w:r>
      <w:r>
        <w:rPr>
          <w:rFonts w:hint="eastAsia"/>
          <w:color w:val="000000" w:themeColor="text1"/>
          <w:highlight w:val="none"/>
          <w:lang w:val="en-US" w:eastAsia="zh-CN"/>
          <w14:textFill>
            <w14:solidFill>
              <w14:schemeClr w14:val="tx1"/>
            </w14:solidFill>
          </w14:textFill>
        </w:rPr>
        <w:t>44.45</w:t>
      </w:r>
      <w:r>
        <w:rPr>
          <w:rFonts w:hint="eastAsia"/>
          <w:color w:val="000000" w:themeColor="text1"/>
          <w:highlight w:val="none"/>
          <w:lang w:eastAsia="zh-CN"/>
          <w14:textFill>
            <w14:solidFill>
              <w14:schemeClr w14:val="tx1"/>
            </w14:solidFill>
          </w14:textFill>
        </w:rPr>
        <w:t>亿元。海外游客</w:t>
      </w:r>
      <w:r>
        <w:rPr>
          <w:rFonts w:hint="eastAsia"/>
          <w:color w:val="000000" w:themeColor="text1"/>
          <w:highlight w:val="none"/>
          <w:lang w:val="en-US" w:eastAsia="zh-CN"/>
          <w14:textFill>
            <w14:solidFill>
              <w14:schemeClr w14:val="tx1"/>
            </w14:solidFill>
          </w14:textFill>
        </w:rPr>
        <w:t>38.71</w:t>
      </w:r>
      <w:r>
        <w:rPr>
          <w:rFonts w:hint="eastAsia"/>
          <w:color w:val="000000" w:themeColor="text1"/>
          <w:highlight w:val="none"/>
          <w:lang w:eastAsia="zh-CN"/>
          <w14:textFill>
            <w14:solidFill>
              <w14:schemeClr w14:val="tx1"/>
            </w14:solidFill>
          </w14:textFill>
        </w:rPr>
        <w:t>万人次，增长</w:t>
      </w:r>
      <w:r>
        <w:rPr>
          <w:rFonts w:hint="eastAsia"/>
          <w:color w:val="000000" w:themeColor="text1"/>
          <w:highlight w:val="none"/>
          <w:lang w:val="en-US" w:eastAsia="zh-CN"/>
          <w14:textFill>
            <w14:solidFill>
              <w14:schemeClr w14:val="tx1"/>
            </w14:solidFill>
          </w14:textFill>
        </w:rPr>
        <w:t>268</w:t>
      </w:r>
      <w:r>
        <w:rPr>
          <w:rFonts w:hint="eastAsia"/>
          <w:color w:val="000000" w:themeColor="text1"/>
          <w:highlight w:val="none"/>
          <w:lang w:eastAsia="zh-CN"/>
          <w14:textFill>
            <w14:solidFill>
              <w14:schemeClr w14:val="tx1"/>
            </w14:solidFill>
          </w14:textFill>
        </w:rPr>
        <w:t>%，国际旅游收入</w:t>
      </w:r>
      <w:r>
        <w:rPr>
          <w:rFonts w:hint="eastAsia"/>
          <w:color w:val="000000" w:themeColor="text1"/>
          <w:highlight w:val="none"/>
          <w:lang w:val="en-US" w:eastAsia="zh-CN"/>
          <w14:textFill>
            <w14:solidFill>
              <w14:schemeClr w14:val="tx1"/>
            </w14:solidFill>
          </w14:textFill>
        </w:rPr>
        <w:t>17.24</w:t>
      </w:r>
      <w:r>
        <w:rPr>
          <w:rFonts w:hint="eastAsia"/>
          <w:color w:val="000000" w:themeColor="text1"/>
          <w:highlight w:val="none"/>
          <w:lang w:eastAsia="zh-CN"/>
          <w14:textFill>
            <w14:solidFill>
              <w14:schemeClr w14:val="tx1"/>
            </w14:solidFill>
          </w14:textFill>
        </w:rPr>
        <w:t>亿元。在入区游客中，过夜游客</w:t>
      </w:r>
      <w:r>
        <w:rPr>
          <w:rFonts w:hint="eastAsia"/>
          <w:color w:val="000000" w:themeColor="text1"/>
          <w:highlight w:val="none"/>
          <w:lang w:val="en-US" w:eastAsia="zh-CN"/>
          <w14:textFill>
            <w14:solidFill>
              <w14:schemeClr w14:val="tx1"/>
            </w14:solidFill>
          </w14:textFill>
        </w:rPr>
        <w:t>95.58</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下降55.4</w:t>
      </w:r>
      <w:r>
        <w:rPr>
          <w:rFonts w:hint="eastAsia"/>
          <w:color w:val="000000" w:themeColor="text1"/>
          <w:highlight w:val="none"/>
          <w:lang w:eastAsia="zh-CN"/>
          <w14:textFill>
            <w14:solidFill>
              <w14:schemeClr w14:val="tx1"/>
            </w14:solidFill>
          </w14:textFill>
        </w:rPr>
        <w:t>%，一日游游客</w:t>
      </w:r>
      <w:r>
        <w:rPr>
          <w:rFonts w:hint="eastAsia"/>
          <w:color w:val="000000" w:themeColor="text1"/>
          <w:highlight w:val="none"/>
          <w:lang w:val="en-US" w:eastAsia="zh-CN"/>
          <w14:textFill>
            <w14:solidFill>
              <w14:schemeClr w14:val="tx1"/>
            </w14:solidFill>
          </w14:textFill>
        </w:rPr>
        <w:t>872.33</w:t>
      </w:r>
      <w:r>
        <w:rPr>
          <w:rFonts w:hint="eastAsia"/>
          <w:color w:val="000000" w:themeColor="text1"/>
          <w:highlight w:val="none"/>
          <w:lang w:eastAsia="zh-CN"/>
          <w14:textFill>
            <w14:solidFill>
              <w14:schemeClr w14:val="tx1"/>
            </w14:solidFill>
          </w14:textFill>
        </w:rPr>
        <w:t>万人次，增长</w:t>
      </w:r>
      <w:r>
        <w:rPr>
          <w:rFonts w:hint="eastAsia"/>
          <w:color w:val="000000" w:themeColor="text1"/>
          <w:highlight w:val="none"/>
          <w:lang w:val="en-US" w:eastAsia="zh-CN"/>
          <w14:textFill>
            <w14:solidFill>
              <w14:schemeClr w14:val="tx1"/>
            </w14:solidFill>
          </w14:textFill>
        </w:rPr>
        <w:t>2.8</w:t>
      </w:r>
      <w:r>
        <w:rPr>
          <w:rFonts w:hint="eastAsia"/>
          <w:color w:val="000000" w:themeColor="text1"/>
          <w:highlight w:val="none"/>
          <w:lang w:eastAsia="zh-CN"/>
          <w14:textFill>
            <w14:solidFill>
              <w14:schemeClr w14:val="tx1"/>
            </w14:solidFill>
          </w14:textFill>
        </w:rPr>
        <w:t>%。景点接待人数</w:t>
      </w:r>
      <w:r>
        <w:rPr>
          <w:rFonts w:hint="eastAsia"/>
          <w:color w:val="000000" w:themeColor="text1"/>
          <w:highlight w:val="none"/>
          <w:lang w:val="en-US" w:eastAsia="zh-CN"/>
          <w14:textFill>
            <w14:solidFill>
              <w14:schemeClr w14:val="tx1"/>
            </w14:solidFill>
          </w14:textFill>
        </w:rPr>
        <w:t>870.91</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下降8.3</w:t>
      </w:r>
      <w:r>
        <w:rPr>
          <w:rFonts w:hint="eastAsia"/>
          <w:color w:val="000000" w:themeColor="text1"/>
          <w:highlight w:val="none"/>
          <w:lang w:eastAsia="zh-CN"/>
          <w14:textFill>
            <w14:solidFill>
              <w14:schemeClr w14:val="tx1"/>
            </w14:solidFill>
          </w14:textFill>
        </w:rPr>
        <w:t>%。其中，收费景点人数</w:t>
      </w:r>
      <w:r>
        <w:rPr>
          <w:rFonts w:hint="eastAsia"/>
          <w:color w:val="000000" w:themeColor="text1"/>
          <w:highlight w:val="none"/>
          <w:lang w:val="en-US" w:eastAsia="zh-CN"/>
          <w14:textFill>
            <w14:solidFill>
              <w14:schemeClr w14:val="tx1"/>
            </w14:solidFill>
          </w14:textFill>
        </w:rPr>
        <w:t>172.53</w:t>
      </w:r>
      <w:r>
        <w:rPr>
          <w:rFonts w:hint="eastAsia"/>
          <w:color w:val="000000" w:themeColor="text1"/>
          <w:highlight w:val="none"/>
          <w:lang w:eastAsia="zh-CN"/>
          <w14:textFill>
            <w14:solidFill>
              <w14:schemeClr w14:val="tx1"/>
            </w14:solidFill>
          </w14:textFill>
        </w:rPr>
        <w:t>万人次，下降</w:t>
      </w:r>
      <w:r>
        <w:rPr>
          <w:rFonts w:hint="eastAsia"/>
          <w:color w:val="000000" w:themeColor="text1"/>
          <w:highlight w:val="none"/>
          <w:lang w:val="en-US" w:eastAsia="zh-CN"/>
          <w14:textFill>
            <w14:solidFill>
              <w14:schemeClr w14:val="tx1"/>
            </w14:solidFill>
          </w14:textFill>
        </w:rPr>
        <w:t>1.0</w:t>
      </w:r>
      <w:r>
        <w:rPr>
          <w:rFonts w:hint="eastAsia"/>
          <w:color w:val="000000" w:themeColor="text1"/>
          <w:highlight w:val="none"/>
          <w:lang w:eastAsia="zh-CN"/>
          <w14:textFill>
            <w14:solidFill>
              <w14:schemeClr w14:val="tx1"/>
            </w14:solidFill>
          </w14:textFill>
        </w:rPr>
        <w:t>%。按片区分，较场尾片区</w:t>
      </w:r>
      <w:r>
        <w:rPr>
          <w:rFonts w:hint="eastAsia"/>
          <w:color w:val="000000" w:themeColor="text1"/>
          <w:highlight w:val="none"/>
          <w:lang w:val="en-US" w:eastAsia="zh-CN"/>
          <w14:textFill>
            <w14:solidFill>
              <w14:schemeClr w14:val="tx1"/>
            </w14:solidFill>
          </w14:textFill>
        </w:rPr>
        <w:t>220.84</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下降59.5</w:t>
      </w:r>
      <w:r>
        <w:rPr>
          <w:rFonts w:hint="eastAsia"/>
          <w:color w:val="000000" w:themeColor="text1"/>
          <w:highlight w:val="none"/>
          <w:lang w:eastAsia="zh-CN"/>
          <w14:textFill>
            <w14:solidFill>
              <w14:schemeClr w14:val="tx1"/>
            </w14:solidFill>
          </w14:textFill>
        </w:rPr>
        <w:t>%；东西涌片区</w:t>
      </w:r>
      <w:r>
        <w:rPr>
          <w:rFonts w:hint="eastAsia"/>
          <w:color w:val="000000" w:themeColor="text1"/>
          <w:highlight w:val="none"/>
          <w:lang w:val="en-US" w:eastAsia="zh-CN"/>
          <w14:textFill>
            <w14:solidFill>
              <w14:schemeClr w14:val="tx1"/>
            </w14:solidFill>
          </w14:textFill>
        </w:rPr>
        <w:t>125.95</w:t>
      </w:r>
      <w:r>
        <w:rPr>
          <w:rFonts w:hint="eastAsia"/>
          <w:color w:val="000000" w:themeColor="text1"/>
          <w:highlight w:val="none"/>
          <w:lang w:eastAsia="zh-CN"/>
          <w14:textFill>
            <w14:solidFill>
              <w14:schemeClr w14:val="tx1"/>
            </w14:solidFill>
          </w14:textFill>
        </w:rPr>
        <w:t>万人次，下降</w:t>
      </w:r>
      <w:r>
        <w:rPr>
          <w:rFonts w:hint="eastAsia"/>
          <w:color w:val="000000" w:themeColor="text1"/>
          <w:highlight w:val="none"/>
          <w:lang w:val="en-US" w:eastAsia="zh-CN"/>
          <w14:textFill>
            <w14:solidFill>
              <w14:schemeClr w14:val="tx1"/>
            </w14:solidFill>
          </w14:textFill>
        </w:rPr>
        <w:t>8.1</w:t>
      </w:r>
      <w:r>
        <w:rPr>
          <w:rFonts w:hint="eastAsia"/>
          <w:color w:val="000000" w:themeColor="text1"/>
          <w:highlight w:val="none"/>
          <w:lang w:eastAsia="zh-CN"/>
          <w14:textFill>
            <w14:solidFill>
              <w14:schemeClr w14:val="tx1"/>
            </w14:solidFill>
          </w14:textFill>
        </w:rPr>
        <w:t>%；杨梅坑片区</w:t>
      </w:r>
      <w:r>
        <w:rPr>
          <w:rFonts w:hint="eastAsia"/>
          <w:color w:val="000000" w:themeColor="text1"/>
          <w:highlight w:val="none"/>
          <w:lang w:val="en-US" w:eastAsia="zh-CN"/>
          <w14:textFill>
            <w14:solidFill>
              <w14:schemeClr w14:val="tx1"/>
            </w14:solidFill>
          </w14:textFill>
        </w:rPr>
        <w:t>110.27</w:t>
      </w:r>
      <w:r>
        <w:rPr>
          <w:rFonts w:hint="eastAsia"/>
          <w:color w:val="000000" w:themeColor="text1"/>
          <w:highlight w:val="none"/>
          <w:lang w:eastAsia="zh-CN"/>
          <w14:textFill>
            <w14:solidFill>
              <w14:schemeClr w14:val="tx1"/>
            </w14:solidFill>
          </w14:textFill>
        </w:rPr>
        <w:t>万人次，</w:t>
      </w:r>
      <w:r>
        <w:rPr>
          <w:rFonts w:hint="eastAsia"/>
          <w:color w:val="000000" w:themeColor="text1"/>
          <w:highlight w:val="none"/>
          <w:lang w:val="en-US" w:eastAsia="zh-CN"/>
          <w14:textFill>
            <w14:solidFill>
              <w14:schemeClr w14:val="tx1"/>
            </w14:solidFill>
          </w14:textFill>
        </w:rPr>
        <w:t>下降29.1</w:t>
      </w:r>
      <w:r>
        <w:rPr>
          <w:rFonts w:hint="eastAsia"/>
          <w:color w:val="000000" w:themeColor="text1"/>
          <w:highlight w:val="none"/>
          <w:lang w:eastAsia="zh-CN"/>
          <w14:textFill>
            <w14:solidFill>
              <w14:schemeClr w14:val="tx1"/>
            </w14:solidFill>
          </w14:textFill>
        </w:rPr>
        <w:t>%；其他片区</w:t>
      </w:r>
      <w:r>
        <w:rPr>
          <w:rFonts w:hint="eastAsia"/>
          <w:color w:val="000000" w:themeColor="text1"/>
          <w:highlight w:val="none"/>
          <w:lang w:val="en-US" w:eastAsia="zh-CN"/>
          <w14:textFill>
            <w14:solidFill>
              <w14:schemeClr w14:val="tx1"/>
            </w14:solidFill>
          </w14:textFill>
        </w:rPr>
        <w:t>241.32</w:t>
      </w:r>
      <w:r>
        <w:rPr>
          <w:rFonts w:hint="eastAsia"/>
          <w:color w:val="000000" w:themeColor="text1"/>
          <w:highlight w:val="none"/>
          <w:lang w:eastAsia="zh-CN"/>
          <w14:textFill>
            <w14:solidFill>
              <w14:schemeClr w14:val="tx1"/>
            </w14:solidFill>
          </w14:textFill>
        </w:rPr>
        <w:t>万人次，增长</w:t>
      </w:r>
      <w:r>
        <w:rPr>
          <w:rFonts w:hint="eastAsia"/>
          <w:color w:val="000000" w:themeColor="text1"/>
          <w:highlight w:val="none"/>
          <w:lang w:val="en-US" w:eastAsia="zh-CN"/>
          <w14:textFill>
            <w14:solidFill>
              <w14:schemeClr w14:val="tx1"/>
            </w14:solidFill>
          </w14:textFill>
        </w:rPr>
        <w:t>1.15倍</w:t>
      </w:r>
      <w:r>
        <w:rPr>
          <w:rFonts w:hint="eastAsia"/>
          <w:color w:val="000000" w:themeColor="text1"/>
          <w:highlight w:val="none"/>
          <w:lang w:eastAsia="zh-CN"/>
          <w14:textFill>
            <w14:solidFill>
              <w14:schemeClr w14:val="tx1"/>
            </w14:solidFill>
          </w14:textFill>
        </w:rPr>
        <w:t>。</w:t>
      </w:r>
    </w:p>
    <w:p>
      <w:pPr>
        <w:pStyle w:val="5"/>
        <w:spacing w:before="146"/>
        <w:ind w:left="2775"/>
        <w:rPr>
          <w:rFonts w:ascii="黑体" w:hAnsi="黑体" w:eastAsia="黑体" w:cs="黑体"/>
          <w:highlight w:val="none"/>
          <w:lang w:eastAsia="zh-CN"/>
        </w:rPr>
      </w:pPr>
    </w:p>
    <w:p>
      <w:pPr>
        <w:tabs>
          <w:tab w:val="left" w:pos="939"/>
        </w:tabs>
        <w:bidi w:val="0"/>
        <w:jc w:val="center"/>
        <w:rPr>
          <w:lang w:val="en-US" w:eastAsia="zh-CN"/>
        </w:rPr>
      </w:pPr>
      <w:r>
        <w:rPr>
          <w:rFonts w:hint="eastAsia" w:ascii="黑体" w:hAnsi="黑体" w:eastAsia="黑体" w:cs="黑体"/>
          <w:color w:val="000000" w:themeColor="text1"/>
          <w:highlight w:val="none"/>
          <w:lang w:val="en-US" w:eastAsia="zh-CN"/>
          <w14:textFill>
            <w14:solidFill>
              <w14:schemeClr w14:val="tx1"/>
            </w14:solidFill>
          </w14:textFill>
        </w:rPr>
        <w:t>七</w:t>
      </w:r>
      <w:r>
        <w:rPr>
          <w:rFonts w:ascii="黑体" w:hAnsi="黑体" w:eastAsia="黑体" w:cs="黑体"/>
          <w:color w:val="000000" w:themeColor="text1"/>
          <w:highlight w:val="none"/>
          <w:lang w:eastAsia="zh-CN"/>
          <w14:textFill>
            <w14:solidFill>
              <w14:schemeClr w14:val="tx1"/>
            </w14:solidFill>
          </w14:textFill>
        </w:rPr>
        <w:t>、税收、财政和金融</w:t>
      </w:r>
    </w:p>
    <w:p>
      <w:pPr>
        <w:tabs>
          <w:tab w:val="left" w:pos="939"/>
        </w:tabs>
        <w:bidi w:val="0"/>
        <w:jc w:val="left"/>
        <w:rPr>
          <w:lang w:val="en-US" w:eastAsia="zh-CN"/>
        </w:rPr>
      </w:pPr>
    </w:p>
    <w:p>
      <w:pPr>
        <w:tabs>
          <w:tab w:val="left" w:pos="939"/>
        </w:tabs>
        <w:bidi w:val="0"/>
        <w:jc w:val="left"/>
        <w:rPr>
          <w:lang w:val="en-US" w:eastAsia="zh-CN"/>
        </w:rPr>
        <w:sectPr>
          <w:footerReference r:id="rId5" w:type="default"/>
          <w:pgSz w:w="12240" w:h="15840"/>
          <w:pgMar w:top="2098" w:right="1474" w:bottom="1985" w:left="1588" w:header="720" w:footer="720" w:gutter="0"/>
          <w:pgNumType w:fmt="numberInDash"/>
          <w:cols w:space="720" w:num="1"/>
          <w:docGrid w:linePitch="299" w:charSpace="0"/>
        </w:sectPr>
      </w:pPr>
    </w:p>
    <w:p>
      <w:pPr>
        <w:pStyle w:val="5"/>
        <w:spacing w:before="0" w:line="560" w:lineRule="exact"/>
        <w:ind w:left="0" w:leftChars="0" w:firstLine="640" w:firstLineChars="200"/>
        <w:jc w:val="both"/>
        <w:rPr>
          <w:rFonts w:hint="eastAsia"/>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全年税</w:t>
      </w:r>
      <w:r>
        <w:rPr>
          <w:rFonts w:hint="eastAsia"/>
          <w:color w:val="000000" w:themeColor="text1"/>
          <w:highlight w:val="none"/>
          <w:lang w:val="en-US" w:eastAsia="zh-CN"/>
          <w14:textFill>
            <w14:solidFill>
              <w14:schemeClr w14:val="tx1"/>
            </w14:solidFill>
          </w14:textFill>
        </w:rPr>
        <w:t>收</w:t>
      </w:r>
      <w:r>
        <w:rPr>
          <w:color w:val="000000" w:themeColor="text1"/>
          <w:highlight w:val="none"/>
          <w:lang w:eastAsia="zh-CN"/>
          <w14:textFill>
            <w14:solidFill>
              <w14:schemeClr w14:val="tx1"/>
            </w14:solidFill>
          </w14:textFill>
        </w:rPr>
        <w:t>收入</w:t>
      </w:r>
      <w:r>
        <w:rPr>
          <w:rFonts w:hint="eastAsia"/>
          <w:color w:val="000000" w:themeColor="text1"/>
          <w:highlight w:val="none"/>
          <w:lang w:eastAsia="zh-CN"/>
          <w14:textFill>
            <w14:solidFill>
              <w14:schemeClr w14:val="tx1"/>
            </w14:solidFill>
          </w14:textFill>
        </w:rPr>
        <w:t>合计</w:t>
      </w:r>
      <w:r>
        <w:rPr>
          <w:rFonts w:hint="eastAsia"/>
          <w:color w:val="000000" w:themeColor="text1"/>
          <w:highlight w:val="none"/>
          <w:lang w:val="en-US" w:eastAsia="zh-CN"/>
          <w14:textFill>
            <w14:solidFill>
              <w14:schemeClr w14:val="tx1"/>
            </w14:solidFill>
          </w14:textFill>
        </w:rPr>
        <w:t>54.80</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7.0</w:t>
      </w:r>
      <w:r>
        <w:rPr>
          <w:color w:val="000000" w:themeColor="text1"/>
          <w:highlight w:val="none"/>
          <w:lang w:eastAsia="zh-CN"/>
          <w14:textFill>
            <w14:solidFill>
              <w14:schemeClr w14:val="tx1"/>
            </w14:solidFill>
          </w14:textFill>
        </w:rPr>
        <w:t>%。全年一般公共预算收入</w:t>
      </w:r>
      <w:r>
        <w:rPr>
          <w:rFonts w:hint="eastAsia"/>
          <w:color w:val="000000" w:themeColor="text1"/>
          <w:highlight w:val="none"/>
          <w:lang w:val="en-US" w:eastAsia="zh-CN"/>
          <w14:textFill>
            <w14:solidFill>
              <w14:schemeClr w14:val="tx1"/>
            </w14:solidFill>
          </w14:textFill>
        </w:rPr>
        <w:t>20.89</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10.1</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。一般公共预算支出</w:t>
      </w:r>
      <w:r>
        <w:rPr>
          <w:rFonts w:hint="eastAsia"/>
          <w:color w:val="000000" w:themeColor="text1"/>
          <w:highlight w:val="none"/>
          <w:lang w:val="en-US" w:eastAsia="zh-CN"/>
          <w14:textFill>
            <w14:solidFill>
              <w14:schemeClr w14:val="tx1"/>
            </w14:solidFill>
          </w14:textFill>
        </w:rPr>
        <w:t>65.35</w:t>
      </w:r>
      <w:r>
        <w:rPr>
          <w:rFonts w:hint="eastAsia"/>
          <w:color w:val="000000" w:themeColor="text1"/>
          <w:highlight w:val="none"/>
          <w:lang w:eastAsia="zh-CN"/>
          <w14:textFill>
            <w14:solidFill>
              <w14:schemeClr w14:val="tx1"/>
            </w14:solidFill>
          </w14:textFill>
        </w:rPr>
        <w:t>亿</w:t>
      </w:r>
      <w:r>
        <w:rPr>
          <w:color w:val="000000" w:themeColor="text1"/>
          <w:highlight w:val="none"/>
          <w:lang w:eastAsia="zh-CN"/>
          <w14:textFill>
            <w14:solidFill>
              <w14:schemeClr w14:val="tx1"/>
            </w14:solidFill>
          </w14:textFill>
        </w:rPr>
        <w:t>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增长0.7</w:t>
      </w:r>
      <w:r>
        <w:rPr>
          <w:color w:val="000000" w:themeColor="text1"/>
          <w:highlight w:val="none"/>
          <w:lang w:eastAsia="zh-CN"/>
          <w14:textFill>
            <w14:solidFill>
              <w14:schemeClr w14:val="tx1"/>
            </w14:solidFill>
          </w14:textFill>
        </w:rPr>
        <w:t>%。其中，一般公共服务支出</w:t>
      </w:r>
      <w:r>
        <w:rPr>
          <w:rFonts w:hint="eastAsia"/>
          <w:color w:val="000000" w:themeColor="text1"/>
          <w:highlight w:val="none"/>
          <w:lang w:val="en-US" w:eastAsia="zh-CN"/>
          <w14:textFill>
            <w14:solidFill>
              <w14:schemeClr w14:val="tx1"/>
            </w14:solidFill>
          </w14:textFill>
        </w:rPr>
        <w:t>5.85</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13.2</w:t>
      </w:r>
      <w:r>
        <w:rPr>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公共安全支出</w:t>
      </w:r>
      <w:r>
        <w:rPr>
          <w:rFonts w:hint="eastAsia"/>
          <w:color w:val="000000" w:themeColor="text1"/>
          <w:highlight w:val="none"/>
          <w:lang w:val="en-US" w:eastAsia="zh-CN"/>
          <w14:textFill>
            <w14:solidFill>
              <w14:schemeClr w14:val="tx1"/>
            </w14:solidFill>
          </w14:textFill>
        </w:rPr>
        <w:t>3.79</w:t>
      </w:r>
      <w:r>
        <w:rPr>
          <w:color w:val="000000" w:themeColor="text1"/>
          <w:highlight w:val="none"/>
          <w:lang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下降24.6</w:t>
      </w:r>
      <w:r>
        <w:rPr>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教育支出</w:t>
      </w:r>
      <w:r>
        <w:rPr>
          <w:rFonts w:hint="eastAsia"/>
          <w:color w:val="000000" w:themeColor="text1"/>
          <w:highlight w:val="none"/>
          <w:lang w:val="en-US" w:eastAsia="zh-CN"/>
          <w14:textFill>
            <w14:solidFill>
              <w14:schemeClr w14:val="tx1"/>
            </w14:solidFill>
          </w14:textFill>
        </w:rPr>
        <w:t>8.15</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3.2</w:t>
      </w:r>
      <w:r>
        <w:rPr>
          <w:color w:val="000000" w:themeColor="text1"/>
          <w:highlight w:val="none"/>
          <w:lang w:eastAsia="zh-CN"/>
          <w14:textFill>
            <w14:solidFill>
              <w14:schemeClr w14:val="tx1"/>
            </w14:solidFill>
          </w14:textFill>
        </w:rPr>
        <w:t>%；科学技术支出</w:t>
      </w:r>
      <w:r>
        <w:rPr>
          <w:rFonts w:hint="eastAsia"/>
          <w:color w:val="000000" w:themeColor="text1"/>
          <w:highlight w:val="none"/>
          <w:lang w:eastAsia="zh-CN"/>
          <w14:textFill>
            <w14:solidFill>
              <w14:schemeClr w14:val="tx1"/>
            </w14:solidFill>
          </w14:textFill>
        </w:rPr>
        <w:t>0.3</w:t>
      </w:r>
      <w:r>
        <w:rPr>
          <w:rFonts w:hint="eastAsia"/>
          <w:color w:val="000000" w:themeColor="text1"/>
          <w:highlight w:val="none"/>
          <w:lang w:val="en-US" w:eastAsia="zh-CN"/>
          <w14:textFill>
            <w14:solidFill>
              <w14:schemeClr w14:val="tx1"/>
            </w14:solidFill>
          </w14:textFill>
        </w:rPr>
        <w:t>5</w:t>
      </w:r>
      <w:r>
        <w:rPr>
          <w:color w:val="000000" w:themeColor="text1"/>
          <w:highlight w:val="none"/>
          <w:lang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下降10.0</w:t>
      </w:r>
      <w:r>
        <w:rPr>
          <w:color w:val="000000" w:themeColor="text1"/>
          <w:highlight w:val="none"/>
          <w:lang w:eastAsia="zh-CN"/>
          <w14:textFill>
            <w14:solidFill>
              <w14:schemeClr w14:val="tx1"/>
            </w14:solidFill>
          </w14:textFill>
        </w:rPr>
        <w:t>%；文化体育与传媒支出</w:t>
      </w:r>
      <w:r>
        <w:rPr>
          <w:rFonts w:hint="eastAsia"/>
          <w:color w:val="000000" w:themeColor="text1"/>
          <w:highlight w:val="none"/>
          <w:lang w:eastAsia="zh-CN"/>
          <w14:textFill>
            <w14:solidFill>
              <w14:schemeClr w14:val="tx1"/>
            </w14:solidFill>
          </w14:textFill>
        </w:rPr>
        <w:t>0.</w:t>
      </w:r>
      <w:r>
        <w:rPr>
          <w:rFonts w:hint="eastAsia"/>
          <w:color w:val="000000" w:themeColor="text1"/>
          <w:highlight w:val="none"/>
          <w:lang w:val="en-US" w:eastAsia="zh-CN"/>
          <w14:textFill>
            <w14:solidFill>
              <w14:schemeClr w14:val="tx1"/>
            </w14:solidFill>
          </w14:textFill>
        </w:rPr>
        <w:t>85</w:t>
      </w:r>
      <w:r>
        <w:rPr>
          <w:color w:val="000000" w:themeColor="text1"/>
          <w:highlight w:val="none"/>
          <w:lang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增长11.4</w:t>
      </w:r>
      <w:r>
        <w:rPr>
          <w:color w:val="000000" w:themeColor="text1"/>
          <w:highlight w:val="none"/>
          <w:lang w:eastAsia="zh-CN"/>
          <w14:textFill>
            <w14:solidFill>
              <w14:schemeClr w14:val="tx1"/>
            </w14:solidFill>
          </w14:textFill>
        </w:rPr>
        <w:t>%；社会保障和就业支出</w:t>
      </w: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1</w:t>
      </w:r>
      <w:r>
        <w:rPr>
          <w:color w:val="000000" w:themeColor="text1"/>
          <w:highlight w:val="none"/>
          <w:lang w:eastAsia="zh-CN"/>
          <w14:textFill>
            <w14:solidFill>
              <w14:schemeClr w14:val="tx1"/>
            </w14:solidFill>
          </w14:textFill>
        </w:rPr>
        <w:t>亿元，</w:t>
      </w:r>
      <w:r>
        <w:rPr>
          <w:rFonts w:hint="eastAsia"/>
          <w:color w:val="000000" w:themeColor="text1"/>
          <w:highlight w:val="none"/>
          <w:lang w:val="en-US" w:eastAsia="zh-CN"/>
          <w14:textFill>
            <w14:solidFill>
              <w14:schemeClr w14:val="tx1"/>
            </w14:solidFill>
          </w14:textFill>
        </w:rPr>
        <w:t>增长3.3</w:t>
      </w:r>
      <w:r>
        <w:rPr>
          <w:color w:val="000000" w:themeColor="text1"/>
          <w:spacing w:val="-3"/>
          <w:highlight w:val="none"/>
          <w:lang w:eastAsia="zh-CN"/>
          <w14:textFill>
            <w14:solidFill>
              <w14:schemeClr w14:val="tx1"/>
            </w14:solidFill>
          </w14:textFill>
        </w:rPr>
        <w:t>%；卫生</w:t>
      </w:r>
      <w:r>
        <w:rPr>
          <w:rFonts w:hint="eastAsia"/>
          <w:color w:val="000000" w:themeColor="text1"/>
          <w:spacing w:val="-3"/>
          <w:highlight w:val="none"/>
          <w:lang w:val="en-US" w:eastAsia="zh-CN"/>
          <w14:textFill>
            <w14:solidFill>
              <w14:schemeClr w14:val="tx1"/>
            </w14:solidFill>
          </w14:textFill>
        </w:rPr>
        <w:t>健康</w:t>
      </w:r>
      <w:r>
        <w:rPr>
          <w:color w:val="000000" w:themeColor="text1"/>
          <w:spacing w:val="-3"/>
          <w:highlight w:val="none"/>
          <w:lang w:eastAsia="zh-CN"/>
          <w14:textFill>
            <w14:solidFill>
              <w14:schemeClr w14:val="tx1"/>
            </w14:solidFill>
          </w14:textFill>
        </w:rPr>
        <w:t>支出</w:t>
      </w:r>
      <w:r>
        <w:rPr>
          <w:rFonts w:hint="eastAsia"/>
          <w:color w:val="000000" w:themeColor="text1"/>
          <w:spacing w:val="-3"/>
          <w:highlight w:val="none"/>
          <w:lang w:val="en-US" w:eastAsia="zh-CN"/>
          <w14:textFill>
            <w14:solidFill>
              <w14:schemeClr w14:val="tx1"/>
            </w14:solidFill>
          </w14:textFill>
        </w:rPr>
        <w:t>4.2</w:t>
      </w:r>
      <w:r>
        <w:rPr>
          <w:color w:val="000000" w:themeColor="text1"/>
          <w:spacing w:val="-7"/>
          <w:highlight w:val="none"/>
          <w:lang w:eastAsia="zh-CN"/>
          <w14:textFill>
            <w14:solidFill>
              <w14:schemeClr w14:val="tx1"/>
            </w14:solidFill>
          </w14:textFill>
        </w:rPr>
        <w:t>亿元，</w:t>
      </w:r>
      <w:r>
        <w:rPr>
          <w:rFonts w:hint="eastAsia"/>
          <w:color w:val="000000" w:themeColor="text1"/>
          <w:spacing w:val="-7"/>
          <w:highlight w:val="none"/>
          <w:lang w:eastAsia="zh-CN"/>
          <w14:textFill>
            <w14:solidFill>
              <w14:schemeClr w14:val="tx1"/>
            </w14:solidFill>
          </w14:textFill>
        </w:rPr>
        <w:t>增长</w:t>
      </w:r>
      <w:r>
        <w:rPr>
          <w:rFonts w:hint="eastAsia"/>
          <w:color w:val="000000" w:themeColor="text1"/>
          <w:spacing w:val="-7"/>
          <w:highlight w:val="none"/>
          <w:lang w:val="en-US" w:eastAsia="zh-CN"/>
          <w14:textFill>
            <w14:solidFill>
              <w14:schemeClr w14:val="tx1"/>
            </w14:solidFill>
          </w14:textFill>
        </w:rPr>
        <w:t>10.6</w:t>
      </w:r>
      <w:r>
        <w:rPr>
          <w:rFonts w:hint="eastAsia"/>
          <w:color w:val="000000" w:themeColor="text1"/>
          <w:highlight w:val="none"/>
          <w:lang w:eastAsia="zh-CN"/>
          <w14:textFill>
            <w14:solidFill>
              <w14:schemeClr w14:val="tx1"/>
            </w14:solidFill>
          </w14:textFill>
        </w:rPr>
        <w:t>%</w:t>
      </w:r>
      <w:r>
        <w:rPr>
          <w:color w:val="000000" w:themeColor="text1"/>
          <w:spacing w:val="-3"/>
          <w:highlight w:val="none"/>
          <w:lang w:eastAsia="zh-CN"/>
          <w14:textFill>
            <w14:solidFill>
              <w14:schemeClr w14:val="tx1"/>
            </w14:solidFill>
          </w14:textFill>
        </w:rPr>
        <w:t>；节能环保支出</w:t>
      </w:r>
      <w:r>
        <w:rPr>
          <w:rFonts w:hint="eastAsia"/>
          <w:color w:val="000000" w:themeColor="text1"/>
          <w:highlight w:val="none"/>
          <w:lang w:val="en-US" w:eastAsia="zh-CN"/>
          <w14:textFill>
            <w14:solidFill>
              <w14:schemeClr w14:val="tx1"/>
            </w14:solidFill>
          </w14:textFill>
        </w:rPr>
        <w:t>4.56</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下降12.0</w:t>
      </w:r>
      <w:r>
        <w:rPr>
          <w:color w:val="000000" w:themeColor="text1"/>
          <w:highlight w:val="none"/>
          <w:lang w:eastAsia="zh-CN"/>
          <w14:textFill>
            <w14:solidFill>
              <w14:schemeClr w14:val="tx1"/>
            </w14:solidFill>
          </w14:textFill>
        </w:rPr>
        <w:t>%；城乡社区</w:t>
      </w:r>
      <w:r>
        <w:rPr>
          <w:rFonts w:hint="eastAsia"/>
          <w:color w:val="000000" w:themeColor="text1"/>
          <w:highlight w:val="none"/>
          <w:lang w:val="en-US" w:eastAsia="zh-CN"/>
          <w14:textFill>
            <w14:solidFill>
              <w14:schemeClr w14:val="tx1"/>
            </w14:solidFill>
          </w14:textFill>
        </w:rPr>
        <w:t>事务</w:t>
      </w:r>
      <w:r>
        <w:rPr>
          <w:color w:val="000000" w:themeColor="text1"/>
          <w:highlight w:val="none"/>
          <w:lang w:eastAsia="zh-CN"/>
          <w14:textFill>
            <w14:solidFill>
              <w14:schemeClr w14:val="tx1"/>
            </w14:solidFill>
          </w14:textFill>
        </w:rPr>
        <w:t>支出</w:t>
      </w:r>
      <w:r>
        <w:rPr>
          <w:rFonts w:hint="eastAsia"/>
          <w:color w:val="000000" w:themeColor="text1"/>
          <w:highlight w:val="none"/>
          <w:lang w:val="en-US" w:eastAsia="zh-CN"/>
          <w14:textFill>
            <w14:solidFill>
              <w14:schemeClr w14:val="tx1"/>
            </w14:solidFill>
          </w14:textFill>
        </w:rPr>
        <w:t>23.0</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15.2</w:t>
      </w:r>
      <w:r>
        <w:rPr>
          <w:color w:val="000000" w:themeColor="text1"/>
          <w:highlight w:val="none"/>
          <w:lang w:eastAsia="zh-CN"/>
          <w14:textFill>
            <w14:solidFill>
              <w14:schemeClr w14:val="tx1"/>
            </w14:solidFill>
          </w14:textFill>
        </w:rPr>
        <w:t>%；农林水事务支出</w:t>
      </w:r>
      <w:r>
        <w:rPr>
          <w:rFonts w:hint="eastAsia"/>
          <w:color w:val="000000" w:themeColor="text1"/>
          <w:highlight w:val="none"/>
          <w:lang w:val="en-US" w:eastAsia="zh-CN"/>
          <w14:textFill>
            <w14:solidFill>
              <w14:schemeClr w14:val="tx1"/>
            </w14:solidFill>
          </w14:textFill>
        </w:rPr>
        <w:t>4.4</w:t>
      </w:r>
      <w:r>
        <w:rPr>
          <w:color w:val="000000" w:themeColor="text1"/>
          <w:spacing w:val="-18"/>
          <w:highlight w:val="none"/>
          <w:lang w:eastAsia="zh-CN"/>
          <w14:textFill>
            <w14:solidFill>
              <w14:schemeClr w14:val="tx1"/>
            </w14:solidFill>
          </w14:textFill>
        </w:rPr>
        <w:t>亿元，</w:t>
      </w:r>
      <w:r>
        <w:rPr>
          <w:rFonts w:hint="eastAsia"/>
          <w:color w:val="000000" w:themeColor="text1"/>
          <w:spacing w:val="-18"/>
          <w:highlight w:val="none"/>
          <w:lang w:val="en-US" w:eastAsia="zh-CN"/>
          <w14:textFill>
            <w14:solidFill>
              <w14:schemeClr w14:val="tx1"/>
            </w14:solidFill>
          </w14:textFill>
        </w:rPr>
        <w:t>增长1.5倍</w:t>
      </w:r>
      <w:r>
        <w:rPr>
          <w:rFonts w:hint="eastAsia"/>
          <w:color w:val="000000" w:themeColor="text1"/>
          <w:highlight w:val="none"/>
          <w:lang w:eastAsia="zh-CN"/>
          <w14:textFill>
            <w14:solidFill>
              <w14:schemeClr w14:val="tx1"/>
            </w14:solidFill>
          </w14:textFill>
        </w:rPr>
        <w:t>；</w:t>
      </w:r>
      <w:r>
        <w:rPr>
          <w:color w:val="000000" w:themeColor="text1"/>
          <w:spacing w:val="-8"/>
          <w:highlight w:val="none"/>
          <w:lang w:eastAsia="zh-CN"/>
          <w14:textFill>
            <w14:solidFill>
              <w14:schemeClr w14:val="tx1"/>
            </w14:solidFill>
          </w14:textFill>
        </w:rPr>
        <w:t>住房保障支出</w:t>
      </w:r>
      <w:r>
        <w:rPr>
          <w:rFonts w:hint="eastAsia"/>
          <w:color w:val="000000" w:themeColor="text1"/>
          <w:highlight w:val="none"/>
          <w:lang w:val="en-US" w:eastAsia="zh-CN"/>
          <w14:textFill>
            <w14:solidFill>
              <w14:schemeClr w14:val="tx1"/>
            </w14:solidFill>
          </w14:textFill>
        </w:rPr>
        <w:t>3.14</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下降</w:t>
      </w:r>
      <w:r>
        <w:rPr>
          <w:rFonts w:hint="eastAsia"/>
          <w:color w:val="000000" w:themeColor="text1"/>
          <w:highlight w:val="none"/>
          <w:lang w:val="en-US" w:eastAsia="zh-CN"/>
          <w14:textFill>
            <w14:solidFill>
              <w14:schemeClr w14:val="tx1"/>
            </w14:solidFill>
          </w14:textFill>
        </w:rPr>
        <w:t>23.8</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；交通运输支出</w:t>
      </w:r>
      <w:r>
        <w:rPr>
          <w:rFonts w:hint="eastAsia"/>
          <w:color w:val="000000" w:themeColor="text1"/>
          <w:highlight w:val="none"/>
          <w:lang w:val="en-US" w:eastAsia="zh-CN"/>
          <w14:textFill>
            <w14:solidFill>
              <w14:schemeClr w14:val="tx1"/>
            </w14:solidFill>
          </w14:textFill>
        </w:rPr>
        <w:t>2.05</w:t>
      </w:r>
      <w:r>
        <w:rPr>
          <w:color w:val="000000" w:themeColor="text1"/>
          <w:highlight w:val="none"/>
          <w:lang w:eastAsia="zh-CN"/>
          <w14:textFill>
            <w14:solidFill>
              <w14:schemeClr w14:val="tx1"/>
            </w14:solidFill>
          </w14:textFill>
        </w:rPr>
        <w:t>亿元，</w:t>
      </w:r>
      <w:r>
        <w:rPr>
          <w:rFonts w:hint="eastAsia"/>
          <w:color w:val="000000" w:themeColor="text1"/>
          <w:highlight w:val="none"/>
          <w:lang w:eastAsia="zh-CN"/>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686.9</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w:t>
      </w:r>
    </w:p>
    <w:p>
      <w:pPr>
        <w:ind w:left="151" w:right="313" w:firstLine="320" w:firstLineChars="100"/>
        <w:jc w:val="center"/>
      </w:pPr>
      <w:r>
        <w:drawing>
          <wp:inline distT="0" distB="0" distL="114300" distR="114300">
            <wp:extent cx="5001895" cy="2397760"/>
            <wp:effectExtent l="4445" t="4445" r="22860" b="17145"/>
            <wp:docPr id="28" name="图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0" w:name="_GoBack"/>
      <w:bookmarkEnd w:id="0"/>
    </w:p>
    <w:p>
      <w:pPr>
        <w:ind w:right="313" w:firstLine="1400" w:firstLineChars="500"/>
        <w:jc w:val="both"/>
        <w:rPr>
          <w:color w:val="000000" w:themeColor="text1"/>
          <w:highlight w:val="none"/>
          <w:lang w:eastAsia="zh-CN"/>
          <w14:textFill>
            <w14:solidFill>
              <w14:schemeClr w14:val="tx1"/>
            </w14:solidFill>
          </w14:textFill>
        </w:rPr>
      </w:pPr>
      <w:r>
        <w:rPr>
          <w:rFonts w:ascii="仿宋_GB2312" w:hAnsi="仿宋_GB2312" w:eastAsia="仿宋_GB2312" w:cs="仿宋_GB2312"/>
          <w:sz w:val="28"/>
          <w:szCs w:val="28"/>
          <w:lang w:eastAsia="zh-CN"/>
        </w:rPr>
        <w:t>图</w:t>
      </w:r>
      <w:r>
        <w:rPr>
          <w:rFonts w:hint="eastAsia" w:ascii="仿宋_GB2312" w:hAnsi="仿宋_GB2312" w:eastAsia="仿宋_GB2312" w:cs="仿宋_GB2312"/>
          <w:sz w:val="28"/>
          <w:szCs w:val="28"/>
          <w:lang w:val="en-US" w:eastAsia="zh-CN"/>
        </w:rPr>
        <w:t xml:space="preserve">5 </w:t>
      </w:r>
      <w:r>
        <w:rPr>
          <w:rFonts w:hint="eastAsia" w:ascii="仿宋_GB2312" w:hAnsi="仿宋_GB2312" w:eastAsia="仿宋_GB2312" w:cs="仿宋_GB2312"/>
          <w:sz w:val="28"/>
          <w:szCs w:val="28"/>
          <w:lang w:eastAsia="zh-CN"/>
        </w:rPr>
        <w:t>2016-2020</w:t>
      </w:r>
      <w:r>
        <w:rPr>
          <w:rFonts w:ascii="仿宋_GB2312" w:hAnsi="仿宋_GB2312" w:eastAsia="仿宋_GB2312" w:cs="仿宋_GB2312"/>
          <w:sz w:val="28"/>
          <w:szCs w:val="28"/>
          <w:lang w:eastAsia="zh-CN"/>
        </w:rPr>
        <w:t>年大鹏新区一般公共预算收入与增速</w:t>
      </w:r>
    </w:p>
    <w:p>
      <w:pPr>
        <w:pStyle w:val="5"/>
        <w:spacing w:before="0" w:line="560" w:lineRule="exact"/>
        <w:ind w:left="0" w:leftChars="0" w:firstLine="0" w:firstLineChars="0"/>
        <w:jc w:val="both"/>
        <w:rPr>
          <w:color w:val="auto"/>
          <w:highlight w:val="none"/>
          <w:lang w:eastAsia="zh-CN"/>
        </w:rPr>
      </w:pPr>
    </w:p>
    <w:p>
      <w:pPr>
        <w:pStyle w:val="5"/>
        <w:spacing w:before="0" w:line="560" w:lineRule="exact"/>
        <w:ind w:left="0" w:firstLine="640" w:firstLineChars="200"/>
        <w:jc w:val="both"/>
        <w:rPr>
          <w:color w:val="auto"/>
          <w:highlight w:val="none"/>
          <w:lang w:eastAsia="zh-CN"/>
        </w:rPr>
      </w:pPr>
      <w:r>
        <w:rPr>
          <w:color w:val="auto"/>
          <w:highlight w:val="none"/>
          <w:lang w:eastAsia="zh-CN"/>
        </w:rPr>
        <w:t>金融业实现增加值</w:t>
      </w:r>
      <w:r>
        <w:rPr>
          <w:rFonts w:hint="eastAsia"/>
          <w:color w:val="auto"/>
          <w:highlight w:val="none"/>
          <w:lang w:val="en-US" w:eastAsia="zh-CN"/>
        </w:rPr>
        <w:t>10.83</w:t>
      </w:r>
      <w:r>
        <w:rPr>
          <w:color w:val="auto"/>
          <w:highlight w:val="none"/>
          <w:lang w:eastAsia="zh-CN"/>
        </w:rPr>
        <w:t>亿元，增长</w:t>
      </w:r>
      <w:r>
        <w:rPr>
          <w:rFonts w:hint="eastAsia"/>
          <w:color w:val="auto"/>
          <w:highlight w:val="none"/>
          <w:lang w:val="en-US" w:eastAsia="zh-CN"/>
        </w:rPr>
        <w:t>22.3</w:t>
      </w:r>
      <w:r>
        <w:rPr>
          <w:color w:val="auto"/>
          <w:highlight w:val="none"/>
          <w:lang w:eastAsia="zh-CN"/>
        </w:rPr>
        <w:t>%，占地区</w:t>
      </w:r>
      <w:r>
        <w:rPr>
          <w:rFonts w:hint="eastAsia"/>
          <w:color w:val="auto"/>
          <w:highlight w:val="none"/>
          <w:lang w:eastAsia="zh-CN"/>
        </w:rPr>
        <w:t>GDP</w:t>
      </w:r>
      <w:r>
        <w:rPr>
          <w:color w:val="auto"/>
          <w:highlight w:val="none"/>
          <w:lang w:eastAsia="zh-CN"/>
        </w:rPr>
        <w:t>比重为</w:t>
      </w:r>
      <w:r>
        <w:rPr>
          <w:rFonts w:hint="eastAsia"/>
          <w:color w:val="auto"/>
          <w:highlight w:val="none"/>
          <w:lang w:val="en-US" w:eastAsia="zh-CN"/>
        </w:rPr>
        <w:t>3.2</w:t>
      </w:r>
      <w:r>
        <w:rPr>
          <w:color w:val="auto"/>
          <w:highlight w:val="none"/>
          <w:lang w:eastAsia="zh-CN"/>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人民币各项存款期末余额</w:t>
      </w:r>
      <w:r>
        <w:rPr>
          <w:rFonts w:hint="eastAsia"/>
          <w:color w:val="000000" w:themeColor="text1"/>
          <w:highlight w:val="none"/>
          <w:lang w:val="en-US" w:eastAsia="zh-CN"/>
          <w14:textFill>
            <w14:solidFill>
              <w14:schemeClr w14:val="tx1"/>
            </w14:solidFill>
          </w14:textFill>
        </w:rPr>
        <w:t>289.97</w:t>
      </w:r>
      <w:r>
        <w:rPr>
          <w:color w:val="000000" w:themeColor="text1"/>
          <w:highlight w:val="none"/>
          <w:lang w:eastAsia="zh-CN"/>
          <w14:textFill>
            <w14:solidFill>
              <w14:schemeClr w14:val="tx1"/>
            </w14:solidFill>
          </w14:textFill>
        </w:rPr>
        <w:t>亿元，其中储蓄存款期末余额</w:t>
      </w:r>
      <w:r>
        <w:rPr>
          <w:rFonts w:hint="eastAsia"/>
          <w:color w:val="000000" w:themeColor="text1"/>
          <w:highlight w:val="none"/>
          <w:lang w:val="en-US" w:eastAsia="zh-CN"/>
          <w14:textFill>
            <w14:solidFill>
              <w14:schemeClr w14:val="tx1"/>
            </w14:solidFill>
          </w14:textFill>
        </w:rPr>
        <w:t>127.06</w:t>
      </w:r>
      <w:r>
        <w:rPr>
          <w:color w:val="000000" w:themeColor="text1"/>
          <w:highlight w:val="none"/>
          <w:lang w:eastAsia="zh-CN"/>
          <w14:textFill>
            <w14:solidFill>
              <w14:schemeClr w14:val="tx1"/>
            </w14:solidFill>
          </w14:textFill>
        </w:rPr>
        <w:t>亿元。人民币各项贷款金额</w:t>
      </w:r>
      <w:r>
        <w:rPr>
          <w:rFonts w:hint="eastAsia"/>
          <w:color w:val="000000" w:themeColor="text1"/>
          <w:highlight w:val="none"/>
          <w:lang w:val="en-US" w:eastAsia="zh-CN"/>
          <w14:textFill>
            <w14:solidFill>
              <w14:schemeClr w14:val="tx1"/>
            </w14:solidFill>
          </w14:textFill>
        </w:rPr>
        <w:t>241.65</w:t>
      </w:r>
      <w:r>
        <w:rPr>
          <w:color w:val="000000" w:themeColor="text1"/>
          <w:highlight w:val="none"/>
          <w:lang w:eastAsia="zh-CN"/>
          <w14:textFill>
            <w14:solidFill>
              <w14:schemeClr w14:val="tx1"/>
            </w14:solidFill>
          </w14:textFill>
        </w:rPr>
        <w:t>亿元，人民币各项贷款期末余额</w:t>
      </w:r>
      <w:r>
        <w:rPr>
          <w:rFonts w:hint="eastAsia"/>
          <w:color w:val="000000" w:themeColor="text1"/>
          <w:highlight w:val="none"/>
          <w:lang w:val="en-US" w:eastAsia="zh-CN"/>
          <w14:textFill>
            <w14:solidFill>
              <w14:schemeClr w14:val="tx1"/>
            </w14:solidFill>
          </w14:textFill>
        </w:rPr>
        <w:t>223.47</w:t>
      </w:r>
      <w:r>
        <w:rPr>
          <w:color w:val="000000" w:themeColor="text1"/>
          <w:highlight w:val="none"/>
          <w:lang w:eastAsia="zh-CN"/>
          <w14:textFill>
            <w14:solidFill>
              <w14:schemeClr w14:val="tx1"/>
            </w14:solidFill>
          </w14:textFill>
        </w:rPr>
        <w:t>亿元。外汇各项存款期末余额</w:t>
      </w:r>
      <w:r>
        <w:rPr>
          <w:rFonts w:hint="eastAsia"/>
          <w:color w:val="000000" w:themeColor="text1"/>
          <w:highlight w:val="none"/>
          <w:lang w:val="en-US" w:eastAsia="zh-CN"/>
          <w14:textFill>
            <w14:solidFill>
              <w14:schemeClr w14:val="tx1"/>
            </w14:solidFill>
          </w14:textFill>
        </w:rPr>
        <w:t>2.64</w:t>
      </w:r>
      <w:r>
        <w:rPr>
          <w:color w:val="000000" w:themeColor="text1"/>
          <w:highlight w:val="none"/>
          <w:lang w:eastAsia="zh-CN"/>
          <w14:textFill>
            <w14:solidFill>
              <w14:schemeClr w14:val="tx1"/>
            </w14:solidFill>
          </w14:textFill>
        </w:rPr>
        <w:t>亿美元，其中储蓄存款期末余额0.</w:t>
      </w:r>
      <w:r>
        <w:rPr>
          <w:rFonts w:hint="eastAsia"/>
          <w:color w:val="000000" w:themeColor="text1"/>
          <w:highlight w:val="none"/>
          <w:lang w:val="en-US" w:eastAsia="zh-CN"/>
          <w14:textFill>
            <w14:solidFill>
              <w14:schemeClr w14:val="tx1"/>
            </w14:solidFill>
          </w14:textFill>
        </w:rPr>
        <w:t>62</w:t>
      </w:r>
      <w:r>
        <w:rPr>
          <w:color w:val="000000" w:themeColor="text1"/>
          <w:highlight w:val="none"/>
          <w:lang w:eastAsia="zh-CN"/>
          <w14:textFill>
            <w14:solidFill>
              <w14:schemeClr w14:val="tx1"/>
            </w14:solidFill>
          </w14:textFill>
        </w:rPr>
        <w:t>亿美元，外汇各项贷款期末余额</w:t>
      </w:r>
      <w:r>
        <w:rPr>
          <w:rFonts w:hint="eastAsia"/>
          <w:color w:val="000000" w:themeColor="text1"/>
          <w:highlight w:val="none"/>
          <w:lang w:val="en-US" w:eastAsia="zh-CN"/>
          <w14:textFill>
            <w14:solidFill>
              <w14:schemeClr w14:val="tx1"/>
            </w14:solidFill>
          </w14:textFill>
        </w:rPr>
        <w:t>1.51</w:t>
      </w:r>
      <w:r>
        <w:rPr>
          <w:color w:val="000000" w:themeColor="text1"/>
          <w:highlight w:val="none"/>
          <w:lang w:eastAsia="zh-CN"/>
          <w14:textFill>
            <w14:solidFill>
              <w14:schemeClr w14:val="tx1"/>
            </w14:solidFill>
          </w14:textFill>
        </w:rPr>
        <w:t>亿美元。</w:t>
      </w:r>
    </w:p>
    <w:p>
      <w:pPr>
        <w:pStyle w:val="5"/>
        <w:keepNext w:val="0"/>
        <w:keepLines w:val="0"/>
        <w:pageBreakBefore w:val="0"/>
        <w:widowControl w:val="0"/>
        <w:kinsoku/>
        <w:wordWrap/>
        <w:overflowPunct/>
        <w:topLinePunct w:val="0"/>
        <w:autoSpaceDE/>
        <w:autoSpaceDN/>
        <w:bidi w:val="0"/>
        <w:adjustRightInd/>
        <w:snapToGrid/>
        <w:spacing w:before="0" w:line="560" w:lineRule="exact"/>
        <w:ind w:left="148" w:right="313"/>
        <w:jc w:val="center"/>
        <w:textAlignment w:val="auto"/>
        <w:rPr>
          <w:rFonts w:ascii="黑体" w:hAnsi="黑体" w:eastAsia="黑体" w:cs="黑体"/>
          <w:color w:val="000000" w:themeColor="text1"/>
          <w:highlight w:val="none"/>
          <w:lang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left="148" w:right="313"/>
        <w:jc w:val="center"/>
        <w:textAlignment w:val="auto"/>
        <w:rPr>
          <w:rFonts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八</w:t>
      </w:r>
      <w:r>
        <w:rPr>
          <w:rFonts w:ascii="黑体" w:hAnsi="黑体" w:eastAsia="黑体" w:cs="黑体"/>
          <w:color w:val="000000" w:themeColor="text1"/>
          <w:highlight w:val="none"/>
          <w:lang w:eastAsia="zh-CN"/>
          <w14:textFill>
            <w14:solidFill>
              <w14:schemeClr w14:val="tx1"/>
            </w14:solidFill>
          </w14:textFill>
        </w:rPr>
        <w:t>、教育</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年末，</w:t>
      </w:r>
      <w:r>
        <w:rPr>
          <w:color w:val="000000" w:themeColor="text1"/>
          <w:highlight w:val="none"/>
          <w:lang w:eastAsia="zh-CN"/>
          <w14:textFill>
            <w14:solidFill>
              <w14:schemeClr w14:val="tx1"/>
            </w14:solidFill>
          </w14:textFill>
        </w:rPr>
        <w:t>全区拥有各类学校</w:t>
      </w:r>
      <w:r>
        <w:rPr>
          <w:rFonts w:hint="eastAsia"/>
          <w:color w:val="000000" w:themeColor="text1"/>
          <w:highlight w:val="none"/>
          <w:lang w:val="en-US" w:eastAsia="zh-CN"/>
          <w14:textFill>
            <w14:solidFill>
              <w14:schemeClr w14:val="tx1"/>
            </w14:solidFill>
          </w14:textFill>
        </w:rPr>
        <w:t>31</w:t>
      </w:r>
      <w:r>
        <w:rPr>
          <w:color w:val="000000" w:themeColor="text1"/>
          <w:highlight w:val="none"/>
          <w:lang w:eastAsia="zh-CN"/>
          <w14:textFill>
            <w14:solidFill>
              <w14:schemeClr w14:val="tx1"/>
            </w14:solidFill>
          </w14:textFill>
        </w:rPr>
        <w:t>所</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其中，十二年制学校1所，九年制学校3所，初中3所，小学6所，幼儿园18所</w:t>
      </w:r>
      <w:r>
        <w:rPr>
          <w:color w:val="000000" w:themeColor="text1"/>
          <w:highlight w:val="none"/>
          <w:lang w:eastAsia="zh-CN"/>
          <w14:textFill>
            <w14:solidFill>
              <w14:schemeClr w14:val="tx1"/>
            </w14:solidFill>
          </w14:textFill>
        </w:rPr>
        <w:t>。在校学生</w:t>
      </w:r>
      <w:r>
        <w:rPr>
          <w:rFonts w:hint="eastAsia"/>
          <w:color w:val="auto"/>
          <w:highlight w:val="none"/>
          <w:lang w:val="en-US" w:eastAsia="zh-CN"/>
        </w:rPr>
        <w:t>22145</w:t>
      </w:r>
      <w:r>
        <w:rPr>
          <w:color w:val="auto"/>
          <w:highlight w:val="none"/>
          <w:lang w:eastAsia="zh-CN"/>
        </w:rPr>
        <w:t>人</w:t>
      </w:r>
      <w:r>
        <w:rPr>
          <w:rFonts w:hint="eastAsia"/>
          <w:color w:val="auto"/>
          <w:highlight w:val="none"/>
          <w:lang w:eastAsia="zh-CN"/>
        </w:rPr>
        <w:t>，</w:t>
      </w:r>
      <w:r>
        <w:rPr>
          <w:rFonts w:hint="eastAsia"/>
          <w:color w:val="auto"/>
          <w:highlight w:val="none"/>
          <w:lang w:val="en-US" w:eastAsia="zh-CN"/>
        </w:rPr>
        <w:t>其中，高中</w:t>
      </w:r>
      <w:r>
        <w:rPr>
          <w:color w:val="auto"/>
          <w:highlight w:val="none"/>
          <w:lang w:eastAsia="zh-CN"/>
        </w:rPr>
        <w:t>在校学生</w:t>
      </w:r>
      <w:r>
        <w:rPr>
          <w:rFonts w:hint="eastAsia"/>
          <w:color w:val="auto"/>
          <w:highlight w:val="none"/>
          <w:lang w:val="en-US" w:eastAsia="zh-CN"/>
        </w:rPr>
        <w:t>2573人，初中</w:t>
      </w:r>
      <w:r>
        <w:rPr>
          <w:color w:val="auto"/>
          <w:highlight w:val="none"/>
          <w:lang w:eastAsia="zh-CN"/>
        </w:rPr>
        <w:t>在校学生</w:t>
      </w:r>
      <w:r>
        <w:rPr>
          <w:rFonts w:hint="eastAsia"/>
          <w:color w:val="auto"/>
          <w:highlight w:val="none"/>
          <w:lang w:val="en-US" w:eastAsia="zh-CN"/>
        </w:rPr>
        <w:t>4584人</w:t>
      </w:r>
      <w:r>
        <w:rPr>
          <w:rFonts w:hint="eastAsia"/>
          <w:color w:val="auto"/>
          <w:highlight w:val="none"/>
          <w:lang w:eastAsia="zh-CN"/>
        </w:rPr>
        <w:t>，</w:t>
      </w:r>
      <w:r>
        <w:rPr>
          <w:rFonts w:hint="eastAsia"/>
          <w:color w:val="auto"/>
          <w:highlight w:val="none"/>
          <w:lang w:val="en-US" w:eastAsia="zh-CN"/>
        </w:rPr>
        <w:t>小学在校学生9938人，</w:t>
      </w:r>
      <w:r>
        <w:rPr>
          <w:color w:val="auto"/>
          <w:highlight w:val="none"/>
          <w:lang w:eastAsia="zh-CN"/>
        </w:rPr>
        <w:t>幼儿园在园儿童</w:t>
      </w:r>
      <w:r>
        <w:rPr>
          <w:rFonts w:hint="eastAsia"/>
          <w:color w:val="auto"/>
          <w:highlight w:val="none"/>
          <w:lang w:val="en-US" w:eastAsia="zh-CN"/>
        </w:rPr>
        <w:t>5050</w:t>
      </w:r>
      <w:r>
        <w:rPr>
          <w:color w:val="auto"/>
          <w:highlight w:val="none"/>
          <w:lang w:eastAsia="zh-CN"/>
        </w:rPr>
        <w:t>人。</w:t>
      </w:r>
      <w:r>
        <w:rPr>
          <w:rFonts w:hint="eastAsia"/>
          <w:color w:val="auto"/>
          <w:highlight w:val="none"/>
          <w:lang w:eastAsia="zh-CN"/>
        </w:rPr>
        <w:t>年末</w:t>
      </w:r>
      <w:r>
        <w:rPr>
          <w:rFonts w:hint="eastAsia"/>
          <w:color w:val="auto"/>
          <w:highlight w:val="none"/>
          <w:lang w:val="en-US" w:eastAsia="zh-CN"/>
        </w:rPr>
        <w:t>专任教师1617人，较上年增加261人。</w:t>
      </w:r>
      <w:r>
        <w:rPr>
          <w:rFonts w:hint="eastAsia"/>
          <w:color w:val="auto"/>
          <w:highlight w:val="none"/>
          <w:lang w:eastAsia="zh-CN"/>
        </w:rPr>
        <w:t>其中，</w:t>
      </w:r>
      <w:r>
        <w:rPr>
          <w:rFonts w:hint="eastAsia"/>
          <w:color w:val="auto"/>
          <w:highlight w:val="none"/>
          <w:lang w:val="en-US" w:eastAsia="zh-CN"/>
        </w:rPr>
        <w:t>高级职称教师142人，增长111.9%，</w:t>
      </w:r>
      <w:r>
        <w:rPr>
          <w:rFonts w:hint="eastAsia"/>
          <w:color w:val="000000" w:themeColor="text1"/>
          <w:highlight w:val="none"/>
          <w:lang w:val="en-US" w:eastAsia="zh-CN"/>
          <w14:textFill>
            <w14:solidFill>
              <w14:schemeClr w14:val="tx1"/>
            </w14:solidFill>
          </w14:textFill>
        </w:rPr>
        <w:t>中级职称教师452人，增长13%，初级职称教师325人</w:t>
      </w:r>
      <w:r>
        <w:rPr>
          <w:rFonts w:hint="eastAsia"/>
          <w:color w:val="000000" w:themeColor="text1"/>
          <w:highlight w:val="none"/>
          <w:lang w:eastAsia="zh-CN"/>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37.1</w:t>
      </w:r>
      <w:r>
        <w:rPr>
          <w:rFonts w:hint="eastAsia"/>
          <w:color w:val="000000" w:themeColor="text1"/>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150" w:right="313"/>
        <w:jc w:val="center"/>
        <w:textAlignment w:val="auto"/>
        <w:rPr>
          <w:rFonts w:ascii="黑体" w:hAnsi="黑体" w:eastAsia="黑体" w:cs="黑体"/>
          <w:color w:val="000000" w:themeColor="text1"/>
          <w:highlight w:val="none"/>
          <w:lang w:eastAsia="zh-CN"/>
          <w14:textFill>
            <w14:solidFill>
              <w14:schemeClr w14:val="tx1"/>
            </w14:solidFill>
          </w14:textFill>
        </w:rPr>
      </w:pPr>
    </w:p>
    <w:p>
      <w:pPr>
        <w:pStyle w:val="5"/>
        <w:keepNext w:val="0"/>
        <w:keepLines w:val="0"/>
        <w:pageBreakBefore w:val="0"/>
        <w:widowControl w:val="0"/>
        <w:kinsoku/>
        <w:wordWrap/>
        <w:overflowPunct/>
        <w:topLinePunct w:val="0"/>
        <w:autoSpaceDE/>
        <w:autoSpaceDN/>
        <w:bidi w:val="0"/>
        <w:adjustRightInd/>
        <w:snapToGrid/>
        <w:spacing w:before="0" w:line="560" w:lineRule="exact"/>
        <w:ind w:left="150" w:right="313"/>
        <w:jc w:val="center"/>
        <w:textAlignment w:val="auto"/>
        <w:rPr>
          <w:rFonts w:ascii="黑体" w:hAnsi="黑体" w:eastAsia="黑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lang w:eastAsia="zh-CN"/>
          <w14:textFill>
            <w14:solidFill>
              <w14:schemeClr w14:val="tx1"/>
            </w14:solidFill>
          </w14:textFill>
        </w:rPr>
        <w:t>九</w:t>
      </w:r>
      <w:r>
        <w:rPr>
          <w:rFonts w:ascii="黑体" w:hAnsi="黑体" w:eastAsia="黑体" w:cs="黑体"/>
          <w:color w:val="000000" w:themeColor="text1"/>
          <w:highlight w:val="none"/>
          <w:lang w:eastAsia="zh-CN"/>
          <w14:textFill>
            <w14:solidFill>
              <w14:schemeClr w14:val="tx1"/>
            </w14:solidFill>
          </w14:textFill>
        </w:rPr>
        <w:t>、文化、体育和卫生</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20</w:t>
      </w:r>
      <w:r>
        <w:rPr>
          <w:rFonts w:hint="eastAsia"/>
          <w:color w:val="000000" w:themeColor="text1"/>
          <w:highlight w:val="none"/>
          <w:lang w:val="en-US" w:eastAsia="zh-CN"/>
          <w14:textFill>
            <w14:solidFill>
              <w14:schemeClr w14:val="tx1"/>
            </w14:solidFill>
          </w14:textFill>
        </w:rPr>
        <w:t>20</w:t>
      </w:r>
      <w:r>
        <w:rPr>
          <w:color w:val="000000" w:themeColor="text1"/>
          <w:highlight w:val="none"/>
          <w:lang w:eastAsia="zh-CN"/>
          <w14:textFill>
            <w14:solidFill>
              <w14:schemeClr w14:val="tx1"/>
            </w14:solidFill>
          </w14:textFill>
        </w:rPr>
        <w:t>年，全区文化站3个，文化广场</w:t>
      </w:r>
      <w:r>
        <w:rPr>
          <w:rFonts w:hint="eastAsia"/>
          <w:color w:val="000000" w:themeColor="text1"/>
          <w:highlight w:val="none"/>
          <w:lang w:eastAsia="zh-CN"/>
          <w14:textFill>
            <w14:solidFill>
              <w14:schemeClr w14:val="tx1"/>
            </w14:solidFill>
          </w14:textFill>
        </w:rPr>
        <w:t>5</w:t>
      </w:r>
      <w:r>
        <w:rPr>
          <w:color w:val="000000" w:themeColor="text1"/>
          <w:highlight w:val="none"/>
          <w:lang w:eastAsia="zh-CN"/>
          <w14:textFill>
            <w14:solidFill>
              <w14:schemeClr w14:val="tx1"/>
            </w14:solidFill>
          </w14:textFill>
        </w:rPr>
        <w:t>个，公共图书馆（室）</w:t>
      </w:r>
      <w:r>
        <w:rPr>
          <w:rFonts w:hint="eastAsia"/>
          <w:color w:val="000000" w:themeColor="text1"/>
          <w:highlight w:val="none"/>
          <w:lang w:val="en-US" w:eastAsia="zh-CN"/>
          <w14:textFill>
            <w14:solidFill>
              <w14:schemeClr w14:val="tx1"/>
            </w14:solidFill>
          </w14:textFill>
        </w:rPr>
        <w:t>27</w:t>
      </w:r>
      <w:r>
        <w:rPr>
          <w:color w:val="000000" w:themeColor="text1"/>
          <w:highlight w:val="none"/>
          <w:lang w:eastAsia="zh-CN"/>
          <w14:textFill>
            <w14:solidFill>
              <w14:schemeClr w14:val="tx1"/>
            </w14:solidFill>
          </w14:textFill>
        </w:rPr>
        <w:t>家，藏书</w:t>
      </w:r>
      <w:r>
        <w:rPr>
          <w:rFonts w:hint="eastAsia"/>
          <w:color w:val="000000" w:themeColor="text1"/>
          <w:highlight w:val="none"/>
          <w:lang w:val="en-US" w:eastAsia="zh-CN"/>
          <w14:textFill>
            <w14:solidFill>
              <w14:schemeClr w14:val="tx1"/>
            </w14:solidFill>
          </w14:textFill>
        </w:rPr>
        <w:t>39.23</w:t>
      </w:r>
      <w:r>
        <w:rPr>
          <w:color w:val="000000" w:themeColor="text1"/>
          <w:highlight w:val="none"/>
          <w:lang w:eastAsia="zh-CN"/>
          <w14:textFill>
            <w14:solidFill>
              <w14:schemeClr w14:val="tx1"/>
            </w14:solidFill>
          </w14:textFill>
        </w:rPr>
        <w:t>万册，有线广播电视站1座，电影院</w:t>
      </w:r>
      <w:r>
        <w:rPr>
          <w:rFonts w:hint="eastAsia"/>
          <w:color w:val="000000" w:themeColor="text1"/>
          <w:highlight w:val="none"/>
          <w:lang w:eastAsia="zh-CN"/>
          <w14:textFill>
            <w14:solidFill>
              <w14:schemeClr w14:val="tx1"/>
            </w14:solidFill>
          </w14:textFill>
        </w:rPr>
        <w:t>2家</w:t>
      </w:r>
      <w:r>
        <w:rPr>
          <w:color w:val="000000" w:themeColor="text1"/>
          <w:highlight w:val="none"/>
          <w:lang w:eastAsia="zh-CN"/>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both"/>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年末全区共有医疗卫生机构</w:t>
      </w:r>
      <w:r>
        <w:rPr>
          <w:rFonts w:hint="eastAsia"/>
          <w:color w:val="000000" w:themeColor="text1"/>
          <w:highlight w:val="none"/>
          <w:lang w:val="en-US" w:eastAsia="zh-CN"/>
          <w14:textFill>
            <w14:solidFill>
              <w14:schemeClr w14:val="tx1"/>
            </w14:solidFill>
          </w14:textFill>
        </w:rPr>
        <w:t>57</w:t>
      </w:r>
      <w:r>
        <w:rPr>
          <w:rFonts w:hint="eastAsia"/>
          <w:color w:val="000000" w:themeColor="text1"/>
          <w:highlight w:val="none"/>
          <w:lang w:eastAsia="zh-CN"/>
          <w14:textFill>
            <w14:solidFill>
              <w14:schemeClr w14:val="tx1"/>
            </w14:solidFill>
          </w14:textFill>
        </w:rPr>
        <w:t>个</w:t>
      </w:r>
      <w:r>
        <w:rPr>
          <w:color w:val="000000" w:themeColor="text1"/>
          <w:highlight w:val="none"/>
          <w:lang w:eastAsia="zh-CN"/>
          <w14:textFill>
            <w14:solidFill>
              <w14:schemeClr w14:val="tx1"/>
            </w14:solidFill>
          </w14:textFill>
        </w:rPr>
        <w:t>，其中医院3</w:t>
      </w:r>
      <w:r>
        <w:rPr>
          <w:rFonts w:hint="eastAsia"/>
          <w:color w:val="000000" w:themeColor="text1"/>
          <w:highlight w:val="none"/>
          <w:lang w:eastAsia="zh-CN"/>
          <w14:textFill>
            <w14:solidFill>
              <w14:schemeClr w14:val="tx1"/>
            </w14:solidFill>
          </w14:textFill>
        </w:rPr>
        <w:t>家</w:t>
      </w:r>
      <w:r>
        <w:rPr>
          <w:color w:val="000000" w:themeColor="text1"/>
          <w:highlight w:val="none"/>
          <w:lang w:eastAsia="zh-CN"/>
          <w14:textFill>
            <w14:solidFill>
              <w14:schemeClr w14:val="tx1"/>
            </w14:solidFill>
          </w14:textFill>
        </w:rPr>
        <w:t>，门诊部3</w:t>
      </w:r>
      <w:r>
        <w:rPr>
          <w:rFonts w:hint="eastAsia"/>
          <w:color w:val="000000" w:themeColor="text1"/>
          <w:highlight w:val="none"/>
          <w:lang w:eastAsia="zh-CN"/>
          <w14:textFill>
            <w14:solidFill>
              <w14:schemeClr w14:val="tx1"/>
            </w14:solidFill>
          </w14:textFill>
        </w:rPr>
        <w:t>家</w:t>
      </w:r>
      <w:r>
        <w:rPr>
          <w:color w:val="000000" w:themeColor="text1"/>
          <w:highlight w:val="none"/>
          <w:lang w:eastAsia="zh-CN"/>
          <w14:textFill>
            <w14:solidFill>
              <w14:schemeClr w14:val="tx1"/>
            </w14:solidFill>
          </w14:textFill>
        </w:rPr>
        <w:t>，私人诊所</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lang w:eastAsia="zh-CN"/>
          <w14:textFill>
            <w14:solidFill>
              <w14:schemeClr w14:val="tx1"/>
            </w14:solidFill>
          </w14:textFill>
        </w:rPr>
        <w:t>家</w:t>
      </w:r>
      <w:r>
        <w:rPr>
          <w:color w:val="000000" w:themeColor="text1"/>
          <w:highlight w:val="none"/>
          <w:lang w:eastAsia="zh-CN"/>
          <w14:textFill>
            <w14:solidFill>
              <w14:schemeClr w14:val="tx1"/>
            </w14:solidFill>
          </w14:textFill>
        </w:rPr>
        <w:t>，卫生监督所1</w:t>
      </w:r>
      <w:r>
        <w:rPr>
          <w:rFonts w:hint="eastAsia"/>
          <w:color w:val="000000" w:themeColor="text1"/>
          <w:highlight w:val="none"/>
          <w:lang w:eastAsia="zh-CN"/>
          <w14:textFill>
            <w14:solidFill>
              <w14:schemeClr w14:val="tx1"/>
            </w14:solidFill>
          </w14:textFill>
        </w:rPr>
        <w:t>家</w:t>
      </w:r>
      <w:r>
        <w:rPr>
          <w:color w:val="000000" w:themeColor="text1"/>
          <w:highlight w:val="none"/>
          <w:lang w:eastAsia="zh-CN"/>
          <w14:textFill>
            <w14:solidFill>
              <w14:schemeClr w14:val="tx1"/>
            </w14:solidFill>
          </w14:textFill>
        </w:rPr>
        <w:t>，其他卫生事业机构</w:t>
      </w:r>
      <w:r>
        <w:rPr>
          <w:rFonts w:hint="eastAsia"/>
          <w:color w:val="000000" w:themeColor="text1"/>
          <w:highlight w:val="none"/>
          <w:lang w:val="en-US" w:eastAsia="zh-CN"/>
          <w14:textFill>
            <w14:solidFill>
              <w14:schemeClr w14:val="tx1"/>
            </w14:solidFill>
          </w14:textFill>
        </w:rPr>
        <w:t>7</w:t>
      </w:r>
      <w:r>
        <w:rPr>
          <w:color w:val="000000" w:themeColor="text1"/>
          <w:highlight w:val="none"/>
          <w:lang w:eastAsia="zh-CN"/>
          <w14:textFill>
            <w14:solidFill>
              <w14:schemeClr w14:val="tx1"/>
            </w14:solidFill>
          </w14:textFill>
        </w:rPr>
        <w:t>个，社区健康服务中心</w:t>
      </w:r>
      <w:r>
        <w:rPr>
          <w:rFonts w:hint="eastAsia"/>
          <w:color w:val="000000" w:themeColor="text1"/>
          <w:highlight w:val="none"/>
          <w:lang w:val="en-US" w:eastAsia="zh-CN"/>
          <w14:textFill>
            <w14:solidFill>
              <w14:schemeClr w14:val="tx1"/>
            </w14:solidFill>
          </w14:textFill>
        </w:rPr>
        <w:t>23</w:t>
      </w:r>
      <w:r>
        <w:rPr>
          <w:rFonts w:hint="eastAsia"/>
          <w:color w:val="000000" w:themeColor="text1"/>
          <w:highlight w:val="none"/>
          <w:lang w:eastAsia="zh-CN"/>
          <w14:textFill>
            <w14:solidFill>
              <w14:schemeClr w14:val="tx1"/>
            </w14:solidFill>
          </w14:textFill>
        </w:rPr>
        <w:t>间</w:t>
      </w:r>
      <w:r>
        <w:rPr>
          <w:color w:val="000000" w:themeColor="text1"/>
          <w:highlight w:val="none"/>
          <w:lang w:eastAsia="zh-CN"/>
          <w14:textFill>
            <w14:solidFill>
              <w14:schemeClr w14:val="tx1"/>
            </w14:solidFill>
          </w14:textFill>
        </w:rPr>
        <w:t>。年末卫生技术人员</w:t>
      </w:r>
      <w:r>
        <w:rPr>
          <w:rFonts w:hint="eastAsia"/>
          <w:color w:val="000000" w:themeColor="text1"/>
          <w:highlight w:val="none"/>
          <w:lang w:eastAsia="zh-CN"/>
          <w14:textFill>
            <w14:solidFill>
              <w14:schemeClr w14:val="tx1"/>
            </w14:solidFill>
          </w14:textFill>
        </w:rPr>
        <w:t>（包括公卫机构和社会医疗机构）</w:t>
      </w:r>
      <w:r>
        <w:rPr>
          <w:rFonts w:hint="eastAsia"/>
          <w:color w:val="000000" w:themeColor="text1"/>
          <w:highlight w:val="none"/>
          <w:lang w:val="en-US" w:eastAsia="zh-CN"/>
          <w14:textFill>
            <w14:solidFill>
              <w14:schemeClr w14:val="tx1"/>
            </w14:solidFill>
          </w14:textFill>
        </w:rPr>
        <w:t>812</w:t>
      </w:r>
      <w:r>
        <w:rPr>
          <w:color w:val="000000" w:themeColor="text1"/>
          <w:highlight w:val="none"/>
          <w:lang w:eastAsia="zh-CN"/>
          <w14:textFill>
            <w14:solidFill>
              <w14:schemeClr w14:val="tx1"/>
            </w14:solidFill>
          </w14:textFill>
        </w:rPr>
        <w:t>人，其中执业医师和执业助理医师</w:t>
      </w:r>
      <w:r>
        <w:rPr>
          <w:rFonts w:hint="eastAsia"/>
          <w:color w:val="000000" w:themeColor="text1"/>
          <w:highlight w:val="none"/>
          <w:lang w:val="en-US" w:eastAsia="zh-CN"/>
          <w14:textFill>
            <w14:solidFill>
              <w14:schemeClr w14:val="tx1"/>
            </w14:solidFill>
          </w14:textFill>
        </w:rPr>
        <w:t>309</w:t>
      </w:r>
      <w:r>
        <w:rPr>
          <w:color w:val="000000" w:themeColor="text1"/>
          <w:highlight w:val="none"/>
          <w:lang w:eastAsia="zh-CN"/>
          <w14:textFill>
            <w14:solidFill>
              <w14:schemeClr w14:val="tx1"/>
            </w14:solidFill>
          </w14:textFill>
        </w:rPr>
        <w:t>人，注册护士</w:t>
      </w:r>
      <w:r>
        <w:rPr>
          <w:rFonts w:hint="eastAsia"/>
          <w:color w:val="000000" w:themeColor="text1"/>
          <w:highlight w:val="none"/>
          <w:lang w:eastAsia="zh-CN"/>
          <w14:textFill>
            <w14:solidFill>
              <w14:schemeClr w14:val="tx1"/>
            </w14:solidFill>
          </w14:textFill>
        </w:rPr>
        <w:t>（包括公卫机构和社会医疗机构）</w:t>
      </w:r>
      <w:r>
        <w:rPr>
          <w:rFonts w:hint="eastAsia"/>
          <w:color w:val="000000" w:themeColor="text1"/>
          <w:highlight w:val="none"/>
          <w:lang w:val="en-US" w:eastAsia="zh-CN"/>
          <w14:textFill>
            <w14:solidFill>
              <w14:schemeClr w14:val="tx1"/>
            </w14:solidFill>
          </w14:textFill>
        </w:rPr>
        <w:t>330</w:t>
      </w:r>
      <w:r>
        <w:rPr>
          <w:color w:val="000000" w:themeColor="text1"/>
          <w:highlight w:val="none"/>
          <w:lang w:eastAsia="zh-CN"/>
          <w14:textFill>
            <w14:solidFill>
              <w14:schemeClr w14:val="tx1"/>
            </w14:solidFill>
          </w14:textFill>
        </w:rPr>
        <w:t>人。医疗卫生机构床位</w:t>
      </w:r>
      <w:r>
        <w:rPr>
          <w:rFonts w:hint="eastAsia"/>
          <w:color w:val="000000" w:themeColor="text1"/>
          <w:highlight w:val="none"/>
          <w:lang w:val="en-US" w:eastAsia="zh-CN"/>
          <w14:textFill>
            <w14:solidFill>
              <w14:schemeClr w14:val="tx1"/>
            </w14:solidFill>
          </w14:textFill>
        </w:rPr>
        <w:t>526</w:t>
      </w:r>
      <w:r>
        <w:rPr>
          <w:color w:val="000000" w:themeColor="text1"/>
          <w:highlight w:val="none"/>
          <w:lang w:eastAsia="zh-CN"/>
          <w14:textFill>
            <w14:solidFill>
              <w14:schemeClr w14:val="tx1"/>
            </w14:solidFill>
          </w14:textFill>
        </w:rPr>
        <w:t>张。全年总诊疗人次</w:t>
      </w:r>
      <w:r>
        <w:rPr>
          <w:rFonts w:hint="eastAsia"/>
          <w:color w:val="000000" w:themeColor="text1"/>
          <w:highlight w:val="none"/>
          <w:lang w:eastAsia="zh-CN"/>
          <w14:textFill>
            <w14:solidFill>
              <w14:schemeClr w14:val="tx1"/>
            </w14:solidFill>
          </w14:textFill>
        </w:rPr>
        <w:t>（医院和社康）</w:t>
      </w:r>
      <w:r>
        <w:rPr>
          <w:rFonts w:hint="eastAsia"/>
          <w:color w:val="000000" w:themeColor="text1"/>
          <w:highlight w:val="none"/>
          <w:lang w:val="en-US" w:eastAsia="zh-CN"/>
          <w14:textFill>
            <w14:solidFill>
              <w14:schemeClr w14:val="tx1"/>
            </w14:solidFill>
          </w14:textFill>
        </w:rPr>
        <w:t>43.45</w:t>
      </w:r>
      <w:r>
        <w:rPr>
          <w:color w:val="000000" w:themeColor="text1"/>
          <w:highlight w:val="none"/>
          <w:lang w:eastAsia="zh-CN"/>
          <w14:textFill>
            <w14:solidFill>
              <w14:schemeClr w14:val="tx1"/>
            </w14:solidFill>
          </w14:textFill>
        </w:rPr>
        <w:t>万人次。</w:t>
      </w:r>
    </w:p>
    <w:p>
      <w:pPr>
        <w:pStyle w:val="5"/>
        <w:keepNext w:val="0"/>
        <w:keepLines w:val="0"/>
        <w:pageBreakBefore w:val="0"/>
        <w:widowControl w:val="0"/>
        <w:kinsoku/>
        <w:wordWrap/>
        <w:overflowPunct/>
        <w:topLinePunct w:val="0"/>
        <w:autoSpaceDE/>
        <w:autoSpaceDN/>
        <w:bidi w:val="0"/>
        <w:adjustRightInd/>
        <w:snapToGrid/>
        <w:spacing w:before="0" w:line="560" w:lineRule="exact"/>
        <w:ind w:left="108" w:firstLine="640" w:firstLineChars="200"/>
        <w:jc w:val="both"/>
        <w:textAlignment w:val="auto"/>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全区举办单项比赛次数</w:t>
      </w:r>
      <w:r>
        <w:rPr>
          <w:rFonts w:hint="eastAsia"/>
          <w:color w:val="000000" w:themeColor="text1"/>
          <w:highlight w:val="none"/>
          <w:lang w:val="en-US" w:eastAsia="zh-CN"/>
          <w14:textFill>
            <w14:solidFill>
              <w14:schemeClr w14:val="tx1"/>
            </w14:solidFill>
          </w14:textFill>
        </w:rPr>
        <w:t>3</w:t>
      </w:r>
      <w:r>
        <w:rPr>
          <w:color w:val="000000" w:themeColor="text1"/>
          <w:highlight w:val="none"/>
          <w:lang w:eastAsia="zh-CN"/>
          <w14:textFill>
            <w14:solidFill>
              <w14:schemeClr w14:val="tx1"/>
            </w14:solidFill>
          </w14:textFill>
        </w:rPr>
        <w:t>次，参加活动人数</w:t>
      </w:r>
      <w:r>
        <w:rPr>
          <w:rFonts w:hint="eastAsia"/>
          <w:color w:val="000000" w:themeColor="text1"/>
          <w:highlight w:val="none"/>
          <w:lang w:val="en-US" w:eastAsia="zh-CN"/>
          <w14:textFill>
            <w14:solidFill>
              <w14:schemeClr w14:val="tx1"/>
            </w14:solidFill>
          </w14:textFill>
        </w:rPr>
        <w:t>5750</w:t>
      </w:r>
      <w:r>
        <w:rPr>
          <w:color w:val="000000" w:themeColor="text1"/>
          <w:highlight w:val="none"/>
          <w:lang w:eastAsia="zh-CN"/>
          <w14:textFill>
            <w14:solidFill>
              <w14:schemeClr w14:val="tx1"/>
            </w14:solidFill>
          </w14:textFill>
        </w:rPr>
        <w:t>人，市民体质合格率为</w:t>
      </w:r>
      <w:r>
        <w:rPr>
          <w:rFonts w:hint="eastAsia"/>
          <w:color w:val="000000" w:themeColor="text1"/>
          <w:highlight w:val="none"/>
          <w:lang w:val="en-US" w:eastAsia="zh-CN"/>
          <w14:textFill>
            <w14:solidFill>
              <w14:schemeClr w14:val="tx1"/>
            </w14:solidFill>
          </w14:textFill>
        </w:rPr>
        <w:t>85.5</w:t>
      </w:r>
      <w:r>
        <w:rPr>
          <w:color w:val="000000" w:themeColor="text1"/>
          <w:highlight w:val="none"/>
          <w:lang w:eastAsia="zh-CN"/>
          <w14:textFill>
            <w14:solidFill>
              <w14:schemeClr w14:val="tx1"/>
            </w14:solidFill>
          </w14:textFill>
        </w:rPr>
        <w:t>%。</w:t>
      </w:r>
    </w:p>
    <w:p>
      <w:pPr>
        <w:pStyle w:val="5"/>
        <w:spacing w:before="0" w:line="560" w:lineRule="exact"/>
        <w:ind w:left="108" w:firstLine="640" w:firstLineChars="200"/>
        <w:jc w:val="both"/>
        <w:rPr>
          <w:color w:val="000000" w:themeColor="text1"/>
          <w:highlight w:val="none"/>
          <w:lang w:eastAsia="zh-CN"/>
          <w14:textFill>
            <w14:solidFill>
              <w14:schemeClr w14:val="tx1"/>
            </w14:solidFill>
          </w14:textFill>
        </w:rPr>
      </w:pPr>
      <w:r>
        <w:drawing>
          <wp:anchor distT="0" distB="0" distL="114300" distR="114300" simplePos="0" relativeHeight="251665408" behindDoc="0" locked="0" layoutInCell="1" allowOverlap="1">
            <wp:simplePos x="0" y="0"/>
            <wp:positionH relativeFrom="column">
              <wp:posOffset>396875</wp:posOffset>
            </wp:positionH>
            <wp:positionV relativeFrom="paragraph">
              <wp:posOffset>80010</wp:posOffset>
            </wp:positionV>
            <wp:extent cx="4737100" cy="2322830"/>
            <wp:effectExtent l="4445" t="4445" r="20955" b="15875"/>
            <wp:wrapSquare wrapText="bothSides"/>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5"/>
        <w:spacing w:before="0" w:line="560" w:lineRule="exact"/>
        <w:ind w:left="108" w:firstLine="640" w:firstLineChars="200"/>
        <w:jc w:val="both"/>
        <w:rPr>
          <w:color w:val="000000" w:themeColor="text1"/>
          <w:highlight w:val="none"/>
          <w:lang w:eastAsia="zh-CN"/>
          <w14:textFill>
            <w14:solidFill>
              <w14:schemeClr w14:val="tx1"/>
            </w14:solidFill>
          </w14:textFill>
        </w:rPr>
      </w:pPr>
    </w:p>
    <w:p>
      <w:pPr>
        <w:pStyle w:val="5"/>
        <w:spacing w:before="0" w:line="560" w:lineRule="exact"/>
        <w:ind w:left="108" w:firstLine="640" w:firstLineChars="200"/>
        <w:jc w:val="both"/>
        <w:rPr>
          <w:color w:val="000000" w:themeColor="text1"/>
          <w:highlight w:val="none"/>
          <w:lang w:eastAsia="zh-CN"/>
          <w14:textFill>
            <w14:solidFill>
              <w14:schemeClr w14:val="tx1"/>
            </w14:solidFill>
          </w14:textFill>
        </w:rPr>
      </w:pPr>
    </w:p>
    <w:p>
      <w:pPr>
        <w:pStyle w:val="5"/>
        <w:spacing w:before="0" w:line="560" w:lineRule="exact"/>
        <w:ind w:left="108" w:firstLine="640" w:firstLineChars="200"/>
        <w:jc w:val="both"/>
        <w:rPr>
          <w:rFonts w:hint="eastAsia"/>
          <w:color w:val="000000" w:themeColor="text1"/>
          <w:highlight w:val="none"/>
          <w:lang w:eastAsia="zh-CN"/>
          <w14:textFill>
            <w14:solidFill>
              <w14:schemeClr w14:val="tx1"/>
            </w14:solidFill>
          </w14:textFill>
        </w:rPr>
      </w:pPr>
    </w:p>
    <w:p>
      <w:pPr>
        <w:pStyle w:val="5"/>
        <w:spacing w:before="0" w:line="560" w:lineRule="exact"/>
        <w:ind w:left="0" w:leftChars="0" w:firstLine="0" w:firstLineChars="0"/>
        <w:jc w:val="center"/>
        <w:rPr>
          <w:rFonts w:ascii="仿宋_GB2312" w:hAnsi="仿宋_GB2312" w:eastAsia="仿宋_GB2312" w:cs="仿宋_GB2312"/>
          <w:color w:val="000000" w:themeColor="text1"/>
          <w:sz w:val="28"/>
          <w:szCs w:val="28"/>
          <w:highlight w:val="none"/>
          <w:lang w:eastAsia="zh-CN"/>
          <w14:textFill>
            <w14:solidFill>
              <w14:schemeClr w14:val="tx1"/>
            </w14:solidFill>
          </w14:textFill>
        </w:rPr>
      </w:pPr>
    </w:p>
    <w:p>
      <w:pPr>
        <w:pStyle w:val="5"/>
        <w:spacing w:before="0" w:line="560" w:lineRule="exact"/>
        <w:ind w:left="0" w:leftChars="0" w:firstLine="0" w:firstLineChars="0"/>
        <w:jc w:val="center"/>
        <w:rPr>
          <w:rFonts w:ascii="仿宋_GB2312" w:hAnsi="仿宋_GB2312" w:eastAsia="仿宋_GB2312" w:cs="仿宋_GB2312"/>
          <w:color w:val="000000" w:themeColor="text1"/>
          <w:sz w:val="28"/>
          <w:szCs w:val="28"/>
          <w:highlight w:val="none"/>
          <w:lang w:eastAsia="zh-CN"/>
          <w14:textFill>
            <w14:solidFill>
              <w14:schemeClr w14:val="tx1"/>
            </w14:solidFill>
          </w14:textFill>
        </w:rPr>
      </w:pPr>
    </w:p>
    <w:p>
      <w:pPr>
        <w:pStyle w:val="5"/>
        <w:spacing w:before="0" w:line="560" w:lineRule="exact"/>
        <w:ind w:left="0" w:leftChars="0" w:firstLine="0" w:firstLineChars="0"/>
        <w:jc w:val="both"/>
        <w:rPr>
          <w:rFonts w:ascii="仿宋_GB2312" w:hAnsi="仿宋_GB2312" w:eastAsia="仿宋_GB2312" w:cs="仿宋_GB2312"/>
          <w:color w:val="000000" w:themeColor="text1"/>
          <w:sz w:val="28"/>
          <w:szCs w:val="28"/>
          <w:highlight w:val="none"/>
          <w:lang w:eastAsia="zh-CN"/>
          <w14:textFill>
            <w14:solidFill>
              <w14:schemeClr w14:val="tx1"/>
            </w14:solidFill>
          </w14:textFill>
        </w:rPr>
      </w:pPr>
    </w:p>
    <w:p>
      <w:pPr>
        <w:pStyle w:val="5"/>
        <w:spacing w:before="0" w:line="560" w:lineRule="exact"/>
        <w:ind w:left="0" w:leftChars="0" w:firstLine="0" w:firstLineChars="0"/>
        <w:jc w:val="cente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ascii="仿宋_GB2312" w:hAnsi="仿宋_GB2312" w:eastAsia="仿宋_GB2312" w:cs="仿宋_GB2312"/>
          <w:color w:val="000000" w:themeColor="text1"/>
          <w:sz w:val="28"/>
          <w:szCs w:val="28"/>
          <w:highlight w:val="none"/>
          <w:lang w:eastAsia="zh-CN"/>
          <w14:textFill>
            <w14:solidFill>
              <w14:schemeClr w14:val="tx1"/>
            </w14:solidFill>
          </w14:textFill>
        </w:rPr>
        <w:t>图</w:t>
      </w:r>
      <w:r>
        <w:rPr>
          <w:rFonts w:hint="eastAsia"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2016-2020</w:t>
      </w:r>
      <w:r>
        <w:rPr>
          <w:rFonts w:ascii="仿宋_GB2312" w:hAnsi="仿宋_GB2312" w:eastAsia="仿宋_GB2312" w:cs="仿宋_GB2312"/>
          <w:color w:val="000000" w:themeColor="text1"/>
          <w:sz w:val="28"/>
          <w:szCs w:val="28"/>
          <w:highlight w:val="none"/>
          <w:lang w:eastAsia="zh-CN"/>
          <w14:textFill>
            <w14:solidFill>
              <w14:schemeClr w14:val="tx1"/>
            </w14:solidFill>
          </w14:textFill>
        </w:rPr>
        <w:t>年年末卫生技术人员人数</w:t>
      </w:r>
    </w:p>
    <w:p>
      <w:pPr>
        <w:spacing w:before="14"/>
        <w:ind w:firstLine="2520" w:firstLineChars="900"/>
        <w:rPr>
          <w:rFonts w:ascii="仿宋_GB2312" w:hAnsi="仿宋_GB2312" w:eastAsia="仿宋_GB2312" w:cs="仿宋_GB2312"/>
          <w:color w:val="000000" w:themeColor="text1"/>
          <w:sz w:val="28"/>
          <w:szCs w:val="28"/>
          <w:highlight w:val="none"/>
          <w:lang w:eastAsia="zh-CN"/>
          <w14:textFill>
            <w14:solidFill>
              <w14:schemeClr w14:val="tx1"/>
            </w14:solidFill>
          </w14:textFill>
        </w:rPr>
      </w:pPr>
    </w:p>
    <w:p>
      <w:pPr>
        <w:pStyle w:val="5"/>
        <w:spacing w:before="31"/>
        <w:ind w:left="2303" w:right="1690"/>
        <w:jc w:val="center"/>
        <w:rPr>
          <w:rFonts w:ascii="黑体" w:hAnsi="黑体" w:eastAsia="黑体" w:cs="黑体"/>
          <w:color w:val="000000" w:themeColor="text1"/>
          <w:highlight w:val="none"/>
          <w:lang w:eastAsia="zh-CN"/>
          <w14:textFill>
            <w14:solidFill>
              <w14:schemeClr w14:val="tx1"/>
            </w14:solidFill>
          </w14:textFill>
        </w:rPr>
      </w:pPr>
      <w:r>
        <w:rPr>
          <w:rFonts w:ascii="黑体" w:hAnsi="黑体" w:eastAsia="黑体" w:cs="黑体"/>
          <w:color w:val="000000" w:themeColor="text1"/>
          <w:highlight w:val="none"/>
          <w:lang w:eastAsia="zh-CN"/>
          <w14:textFill>
            <w14:solidFill>
              <w14:schemeClr w14:val="tx1"/>
            </w14:solidFill>
          </w14:textFill>
        </w:rPr>
        <w:t>十、城市建设和环境保护</w:t>
      </w:r>
    </w:p>
    <w:p>
      <w:pPr>
        <w:pStyle w:val="5"/>
        <w:spacing w:before="0" w:line="560" w:lineRule="exact"/>
        <w:ind w:firstLine="640" w:firstLineChars="200"/>
        <w:jc w:val="both"/>
        <w:rPr>
          <w:rFonts w:cs="仿宋_GB2312"/>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截至20</w:t>
      </w:r>
      <w:r>
        <w:rPr>
          <w:rFonts w:hint="eastAsia"/>
          <w:color w:val="000000" w:themeColor="text1"/>
          <w:highlight w:val="none"/>
          <w:lang w:val="en-US" w:eastAsia="zh-CN"/>
          <w14:textFill>
            <w14:solidFill>
              <w14:schemeClr w14:val="tx1"/>
            </w14:solidFill>
          </w14:textFill>
        </w:rPr>
        <w:t>20</w:t>
      </w:r>
      <w:r>
        <w:rPr>
          <w:color w:val="000000" w:themeColor="text1"/>
          <w:highlight w:val="none"/>
          <w:lang w:eastAsia="zh-CN"/>
          <w14:textFill>
            <w14:solidFill>
              <w14:schemeClr w14:val="tx1"/>
            </w14:solidFill>
          </w14:textFill>
        </w:rPr>
        <w:t>年末，全区公路总长度</w:t>
      </w:r>
      <w:r>
        <w:rPr>
          <w:rFonts w:hint="eastAsia"/>
          <w:color w:val="000000" w:themeColor="text1"/>
          <w:highlight w:val="none"/>
          <w:lang w:val="en-US" w:eastAsia="zh-CN"/>
          <w14:textFill>
            <w14:solidFill>
              <w14:schemeClr w14:val="tx1"/>
            </w14:solidFill>
          </w14:textFill>
        </w:rPr>
        <w:t>206.56</w:t>
      </w:r>
      <w:r>
        <w:rPr>
          <w:color w:val="000000" w:themeColor="text1"/>
          <w:highlight w:val="none"/>
          <w:lang w:eastAsia="zh-CN"/>
          <w14:textFill>
            <w14:solidFill>
              <w14:schemeClr w14:val="tx1"/>
            </w14:solidFill>
          </w14:textFill>
        </w:rPr>
        <w:t>公里</w:t>
      </w:r>
      <w:r>
        <w:rPr>
          <w:rFonts w:cs="仿宋_GB2312"/>
          <w:color w:val="000000" w:themeColor="text1"/>
          <w:highlight w:val="none"/>
          <w:lang w:eastAsia="zh-CN"/>
          <w14:textFill>
            <w14:solidFill>
              <w14:schemeClr w14:val="tx1"/>
            </w14:solidFill>
          </w14:textFill>
        </w:rPr>
        <w:t>。</w:t>
      </w:r>
      <w:r>
        <w:rPr>
          <w:rFonts w:hint="eastAsia" w:cs="仿宋_GB2312"/>
          <w:color w:val="000000" w:themeColor="text1"/>
          <w:highlight w:val="none"/>
          <w:lang w:eastAsia="zh-CN"/>
          <w14:textFill>
            <w14:solidFill>
              <w14:schemeClr w14:val="tx1"/>
            </w14:solidFill>
          </w14:textFill>
        </w:rPr>
        <w:t>其中，省养公路55.57公里，</w:t>
      </w:r>
      <w:r>
        <w:rPr>
          <w:rFonts w:hint="eastAsia" w:cs="仿宋_GB2312"/>
          <w:color w:val="000000" w:themeColor="text1"/>
          <w:highlight w:val="none"/>
          <w:lang w:val="en-US" w:eastAsia="zh-CN"/>
          <w14:textFill>
            <w14:solidFill>
              <w14:schemeClr w14:val="tx1"/>
            </w14:solidFill>
          </w14:textFill>
        </w:rPr>
        <w:t>市政道路150.99</w:t>
      </w:r>
      <w:r>
        <w:rPr>
          <w:rFonts w:hint="eastAsia" w:cs="仿宋_GB2312"/>
          <w:color w:val="000000" w:themeColor="text1"/>
          <w:highlight w:val="none"/>
          <w:lang w:eastAsia="zh-CN"/>
          <w14:textFill>
            <w14:solidFill>
              <w14:schemeClr w14:val="tx1"/>
            </w14:solidFill>
          </w14:textFill>
        </w:rPr>
        <w:t>公里。</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全区人均公园绿地面积为</w:t>
      </w:r>
      <w:r>
        <w:rPr>
          <w:rFonts w:hint="eastAsia"/>
          <w:color w:val="000000" w:themeColor="text1"/>
          <w:highlight w:val="none"/>
          <w:lang w:val="en-US" w:eastAsia="zh-CN"/>
          <w14:textFill>
            <w14:solidFill>
              <w14:schemeClr w14:val="tx1"/>
            </w14:solidFill>
          </w14:textFill>
        </w:rPr>
        <w:t>29.27</w:t>
      </w:r>
      <w:r>
        <w:rPr>
          <w:color w:val="000000" w:themeColor="text1"/>
          <w:highlight w:val="none"/>
          <w:lang w:eastAsia="zh-CN"/>
          <w14:textFill>
            <w14:solidFill>
              <w14:schemeClr w14:val="tx1"/>
            </w14:solidFill>
          </w14:textFill>
        </w:rPr>
        <w:t>平方米，公园</w:t>
      </w:r>
      <w:r>
        <w:rPr>
          <w:rFonts w:hint="eastAsia"/>
          <w:color w:val="000000" w:themeColor="text1"/>
          <w:highlight w:val="none"/>
          <w:lang w:val="en-US" w:eastAsia="zh-CN"/>
          <w14:textFill>
            <w14:solidFill>
              <w14:schemeClr w14:val="tx1"/>
            </w14:solidFill>
          </w14:textFill>
        </w:rPr>
        <w:t>49</w:t>
      </w:r>
      <w:r>
        <w:rPr>
          <w:color w:val="000000" w:themeColor="text1"/>
          <w:highlight w:val="none"/>
          <w:lang w:eastAsia="zh-CN"/>
          <w14:textFill>
            <w14:solidFill>
              <w14:schemeClr w14:val="tx1"/>
            </w14:solidFill>
          </w14:textFill>
        </w:rPr>
        <w:t>个，路灯</w:t>
      </w:r>
      <w:r>
        <w:rPr>
          <w:rFonts w:hint="eastAsia"/>
          <w:color w:val="000000" w:themeColor="text1"/>
          <w:highlight w:val="none"/>
          <w:lang w:val="en-US" w:eastAsia="zh-CN"/>
          <w14:textFill>
            <w14:solidFill>
              <w14:schemeClr w14:val="tx1"/>
            </w14:solidFill>
          </w14:textFill>
        </w:rPr>
        <w:t>9022杆</w:t>
      </w:r>
      <w:r>
        <w:rPr>
          <w:color w:val="000000" w:themeColor="text1"/>
          <w:highlight w:val="none"/>
          <w:lang w:eastAsia="zh-CN"/>
          <w14:textFill>
            <w14:solidFill>
              <w14:schemeClr w14:val="tx1"/>
            </w14:solidFill>
          </w14:textFill>
        </w:rPr>
        <w:t>。</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全年空气质量达到一级和二级的天数为</w:t>
      </w:r>
      <w:r>
        <w:rPr>
          <w:rFonts w:hint="eastAsia"/>
          <w:color w:val="000000" w:themeColor="text1"/>
          <w:highlight w:val="none"/>
          <w:lang w:val="en-US" w:eastAsia="zh-CN"/>
          <w14:textFill>
            <w14:solidFill>
              <w14:schemeClr w14:val="tx1"/>
            </w14:solidFill>
          </w14:textFill>
        </w:rPr>
        <w:t>357</w:t>
      </w:r>
      <w:r>
        <w:rPr>
          <w:color w:val="000000" w:themeColor="text1"/>
          <w:highlight w:val="none"/>
          <w:lang w:eastAsia="zh-CN"/>
          <w14:textFill>
            <w14:solidFill>
              <w14:schemeClr w14:val="tx1"/>
            </w14:solidFill>
          </w14:textFill>
        </w:rPr>
        <w:t>天，PM2.5日平均浓度达到</w:t>
      </w:r>
      <w:r>
        <w:rPr>
          <w:rFonts w:hint="eastAsia"/>
          <w:color w:val="000000" w:themeColor="text1"/>
          <w:highlight w:val="none"/>
          <w:lang w:val="en-US" w:eastAsia="zh-CN"/>
          <w14:textFill>
            <w14:solidFill>
              <w14:schemeClr w14:val="tx1"/>
            </w14:solidFill>
          </w14:textFill>
        </w:rPr>
        <w:t>17</w:t>
      </w:r>
      <w:r>
        <w:rPr>
          <w:color w:val="000000" w:themeColor="text1"/>
          <w:highlight w:val="none"/>
          <w:lang w:eastAsia="zh-CN"/>
          <w14:textFill>
            <w14:solidFill>
              <w14:schemeClr w14:val="tx1"/>
            </w14:solidFill>
          </w14:textFill>
        </w:rPr>
        <w:t>微克/立方米，PM10日平均浓度</w:t>
      </w:r>
      <w:r>
        <w:rPr>
          <w:rFonts w:hint="eastAsia"/>
          <w:color w:val="000000" w:themeColor="text1"/>
          <w:highlight w:val="none"/>
          <w:lang w:val="en-US" w:eastAsia="zh-CN"/>
          <w14:textFill>
            <w14:solidFill>
              <w14:schemeClr w14:val="tx1"/>
            </w14:solidFill>
          </w14:textFill>
        </w:rPr>
        <w:t>29</w:t>
      </w:r>
      <w:r>
        <w:rPr>
          <w:color w:val="000000" w:themeColor="text1"/>
          <w:highlight w:val="none"/>
          <w:lang w:eastAsia="zh-CN"/>
          <w14:textFill>
            <w14:solidFill>
              <w14:schemeClr w14:val="tx1"/>
            </w14:solidFill>
          </w14:textFill>
        </w:rPr>
        <w:t>微克/立方米。</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全年集中式饮用水源水质达标率100%。城市生活污水收集率9</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5</w:t>
      </w:r>
      <w:r>
        <w:rPr>
          <w:color w:val="000000" w:themeColor="text1"/>
          <w:highlight w:val="none"/>
          <w:lang w:eastAsia="zh-CN"/>
          <w14:textFill>
            <w14:solidFill>
              <w14:schemeClr w14:val="tx1"/>
            </w14:solidFill>
          </w14:textFill>
        </w:rPr>
        <w:t>%。</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全年供电量</w:t>
      </w:r>
      <w:r>
        <w:rPr>
          <w:rFonts w:hint="eastAsia"/>
          <w:color w:val="000000" w:themeColor="text1"/>
          <w:highlight w:val="none"/>
          <w:lang w:val="en-US" w:eastAsia="zh-CN"/>
          <w14:textFill>
            <w14:solidFill>
              <w14:schemeClr w14:val="tx1"/>
            </w14:solidFill>
          </w14:textFill>
        </w:rPr>
        <w:t>11.97</w:t>
      </w:r>
      <w:r>
        <w:rPr>
          <w:color w:val="000000" w:themeColor="text1"/>
          <w:highlight w:val="none"/>
          <w:lang w:eastAsia="zh-CN"/>
          <w14:textFill>
            <w14:solidFill>
              <w14:schemeClr w14:val="tx1"/>
            </w14:solidFill>
          </w14:textFill>
        </w:rPr>
        <w:t>亿千瓦时，</w:t>
      </w:r>
      <w:r>
        <w:rPr>
          <w:rFonts w:hint="eastAsia"/>
          <w:color w:val="000000" w:themeColor="text1"/>
          <w:highlight w:val="none"/>
          <w:lang w:eastAsia="zh-CN"/>
          <w14:textFill>
            <w14:solidFill>
              <w14:schemeClr w14:val="tx1"/>
            </w14:solidFill>
          </w14:textFill>
        </w:rPr>
        <w:t>增长</w:t>
      </w:r>
      <w:r>
        <w:rPr>
          <w:rFonts w:hint="eastAsia"/>
          <w:color w:val="000000" w:themeColor="text1"/>
          <w:highlight w:val="none"/>
          <w:lang w:val="en-US" w:eastAsia="zh-CN"/>
          <w14:textFill>
            <w14:solidFill>
              <w14:schemeClr w14:val="tx1"/>
            </w14:solidFill>
          </w14:textFill>
        </w:rPr>
        <w:t>22.4</w:t>
      </w:r>
      <w:r>
        <w:rPr>
          <w:color w:val="000000" w:themeColor="text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。其中，城乡居民生活用电</w:t>
      </w:r>
      <w:r>
        <w:rPr>
          <w:rFonts w:hint="eastAsia"/>
          <w:color w:val="000000" w:themeColor="text1"/>
          <w:highlight w:val="none"/>
          <w:lang w:val="en-US" w:eastAsia="zh-CN"/>
          <w14:textFill>
            <w14:solidFill>
              <w14:schemeClr w14:val="tx1"/>
            </w14:solidFill>
          </w14:textFill>
        </w:rPr>
        <w:t>1.81</w:t>
      </w:r>
      <w:r>
        <w:rPr>
          <w:color w:val="000000" w:themeColor="text1"/>
          <w:highlight w:val="none"/>
          <w:lang w:eastAsia="zh-CN"/>
          <w14:textFill>
            <w14:solidFill>
              <w14:schemeClr w14:val="tx1"/>
            </w14:solidFill>
          </w14:textFill>
        </w:rPr>
        <w:t>亿千瓦时</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自来水供应量</w:t>
      </w:r>
      <w:r>
        <w:rPr>
          <w:rFonts w:hint="eastAsia"/>
          <w:color w:val="000000" w:themeColor="text1"/>
          <w:highlight w:val="none"/>
          <w:lang w:val="en-US" w:eastAsia="zh-CN"/>
          <w14:textFill>
            <w14:solidFill>
              <w14:schemeClr w14:val="tx1"/>
            </w14:solidFill>
          </w14:textFill>
        </w:rPr>
        <w:t>1872</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吨，增长</w:t>
      </w:r>
      <w:r>
        <w:rPr>
          <w:rFonts w:hint="eastAsia"/>
          <w:color w:val="000000" w:themeColor="text1"/>
          <w:highlight w:val="none"/>
          <w:lang w:val="en-US" w:eastAsia="zh-CN"/>
          <w14:textFill>
            <w14:solidFill>
              <w14:schemeClr w14:val="tx1"/>
            </w14:solidFill>
          </w14:textFill>
        </w:rPr>
        <w:t>20.6</w:t>
      </w:r>
      <w:r>
        <w:rPr>
          <w:rFonts w:hint="eastAsia"/>
          <w:color w:val="000000" w:themeColor="text1"/>
          <w:highlight w:val="none"/>
          <w:lang w:eastAsia="zh-CN"/>
          <w14:textFill>
            <w14:solidFill>
              <w14:schemeClr w14:val="tx1"/>
            </w14:solidFill>
          </w14:textFill>
        </w:rPr>
        <w:t>%。其中，城乡居民生活用水</w:t>
      </w:r>
      <w:r>
        <w:rPr>
          <w:rFonts w:hint="eastAsia"/>
          <w:color w:val="000000" w:themeColor="text1"/>
          <w:highlight w:val="none"/>
          <w:lang w:val="en-US" w:eastAsia="zh-CN"/>
          <w14:textFill>
            <w14:solidFill>
              <w14:schemeClr w14:val="tx1"/>
            </w14:solidFill>
          </w14:textFill>
        </w:rPr>
        <w:t>699</w:t>
      </w:r>
      <w:r>
        <w:rPr>
          <w:rFonts w:hint="eastAsia"/>
          <w:color w:val="000000" w:themeColor="text1"/>
          <w:highlight w:val="none"/>
          <w:lang w:eastAsia="zh-CN"/>
          <w14:textFill>
            <w14:solidFill>
              <w14:schemeClr w14:val="tx1"/>
            </w14:solidFill>
          </w14:textFill>
        </w:rPr>
        <w:t>万吨</w:t>
      </w:r>
      <w:r>
        <w:rPr>
          <w:color w:val="000000" w:themeColor="text1"/>
          <w:highlight w:val="none"/>
          <w:lang w:eastAsia="zh-CN"/>
          <w14:textFill>
            <w14:solidFill>
              <w14:schemeClr w14:val="tx1"/>
            </w14:solidFill>
          </w14:textFill>
        </w:rPr>
        <w:t>。</w:t>
      </w:r>
    </w:p>
    <w:p>
      <w:pPr>
        <w:pStyle w:val="5"/>
        <w:spacing w:before="0" w:line="560" w:lineRule="exact"/>
        <w:ind w:left="0"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全区垃圾转</w:t>
      </w:r>
      <w:r>
        <w:rPr>
          <w:rFonts w:hint="eastAsia"/>
          <w:color w:val="000000" w:themeColor="text1"/>
          <w:highlight w:val="none"/>
          <w:lang w:eastAsia="zh-CN"/>
          <w14:textFill>
            <w14:solidFill>
              <w14:schemeClr w14:val="tx1"/>
            </w14:solidFill>
          </w14:textFill>
        </w:rPr>
        <w:t>运</w:t>
      </w:r>
      <w:r>
        <w:rPr>
          <w:color w:val="000000" w:themeColor="text1"/>
          <w:highlight w:val="none"/>
          <w:lang w:eastAsia="zh-CN"/>
          <w14:textFill>
            <w14:solidFill>
              <w14:schemeClr w14:val="tx1"/>
            </w14:solidFill>
          </w14:textFill>
        </w:rPr>
        <w:t>站1</w:t>
      </w:r>
      <w:r>
        <w:rPr>
          <w:rFonts w:hint="eastAsia"/>
          <w:color w:val="000000" w:themeColor="text1"/>
          <w:highlight w:val="none"/>
          <w:lang w:val="en-US" w:eastAsia="zh-CN"/>
          <w14:textFill>
            <w14:solidFill>
              <w14:schemeClr w14:val="tx1"/>
            </w14:solidFill>
          </w14:textFill>
        </w:rPr>
        <w:t>7</w:t>
      </w:r>
      <w:r>
        <w:rPr>
          <w:color w:val="000000" w:themeColor="text1"/>
          <w:highlight w:val="none"/>
          <w:lang w:eastAsia="zh-CN"/>
          <w14:textFill>
            <w14:solidFill>
              <w14:schemeClr w14:val="tx1"/>
            </w14:solidFill>
          </w14:textFill>
        </w:rPr>
        <w:t>个，公共厕所</w:t>
      </w:r>
      <w:r>
        <w:rPr>
          <w:rFonts w:hint="eastAsia"/>
          <w:color w:val="000000" w:themeColor="text1"/>
          <w:highlight w:val="none"/>
          <w:lang w:val="en-US" w:eastAsia="zh-CN"/>
          <w14:textFill>
            <w14:solidFill>
              <w14:schemeClr w14:val="tx1"/>
            </w14:solidFill>
          </w14:textFill>
        </w:rPr>
        <w:t>74</w:t>
      </w:r>
      <w:r>
        <w:rPr>
          <w:color w:val="000000" w:themeColor="text1"/>
          <w:highlight w:val="none"/>
          <w:lang w:eastAsia="zh-CN"/>
          <w14:textFill>
            <w14:solidFill>
              <w14:schemeClr w14:val="tx1"/>
            </w14:solidFill>
          </w14:textFill>
        </w:rPr>
        <w:t>座，全年生活垃圾清运量</w:t>
      </w:r>
      <w:r>
        <w:rPr>
          <w:rFonts w:hint="eastAsia"/>
          <w:color w:val="000000" w:themeColor="text1"/>
          <w:highlight w:val="none"/>
          <w:lang w:val="en-US" w:eastAsia="zh-CN"/>
          <w14:textFill>
            <w14:solidFill>
              <w14:schemeClr w14:val="tx1"/>
            </w14:solidFill>
          </w14:textFill>
        </w:rPr>
        <w:t>6.89</w:t>
      </w:r>
      <w:r>
        <w:rPr>
          <w:color w:val="000000" w:themeColor="text1"/>
          <w:highlight w:val="none"/>
          <w:lang w:eastAsia="zh-CN"/>
          <w14:textFill>
            <w14:solidFill>
              <w14:schemeClr w14:val="tx1"/>
            </w14:solidFill>
          </w14:textFill>
        </w:rPr>
        <w:t>万吨，城市生活垃圾无害化处理率100%，市容环卫专用车辆</w:t>
      </w:r>
      <w:r>
        <w:rPr>
          <w:rFonts w:hint="eastAsia"/>
          <w:color w:val="000000" w:themeColor="text1"/>
          <w:highlight w:val="none"/>
          <w:lang w:val="en-US" w:eastAsia="zh-CN"/>
          <w14:textFill>
            <w14:solidFill>
              <w14:schemeClr w14:val="tx1"/>
            </w14:solidFill>
          </w14:textFill>
        </w:rPr>
        <w:t>164</w:t>
      </w:r>
      <w:r>
        <w:rPr>
          <w:color w:val="000000" w:themeColor="text1"/>
          <w:highlight w:val="none"/>
          <w:lang w:eastAsia="zh-CN"/>
          <w14:textFill>
            <w14:solidFill>
              <w14:schemeClr w14:val="tx1"/>
            </w14:solidFill>
          </w14:textFill>
        </w:rPr>
        <w:t>辆，全年清扫面积</w:t>
      </w:r>
      <w:r>
        <w:rPr>
          <w:rFonts w:hint="eastAsia"/>
          <w:color w:val="000000" w:themeColor="text1"/>
          <w:highlight w:val="none"/>
          <w:lang w:val="en-US" w:eastAsia="zh-CN"/>
          <w14:textFill>
            <w14:solidFill>
              <w14:schemeClr w14:val="tx1"/>
            </w14:solidFill>
          </w14:textFill>
        </w:rPr>
        <w:t>618.75</w:t>
      </w:r>
      <w:r>
        <w:rPr>
          <w:color w:val="000000" w:themeColor="text1"/>
          <w:highlight w:val="none"/>
          <w:lang w:eastAsia="zh-CN"/>
          <w14:textFill>
            <w14:solidFill>
              <w14:schemeClr w14:val="tx1"/>
            </w14:solidFill>
          </w14:textFill>
        </w:rPr>
        <w:t>万平方米，机扫率100%。</w:t>
      </w:r>
    </w:p>
    <w:p>
      <w:pPr>
        <w:pStyle w:val="5"/>
        <w:spacing w:before="0" w:afterLines="50" w:line="560" w:lineRule="exact"/>
        <w:ind w:left="108" w:firstLine="640" w:firstLineChars="200"/>
        <w:jc w:val="both"/>
        <w:rPr>
          <w:color w:val="000000" w:themeColor="text1"/>
          <w:highlight w:val="none"/>
          <w:lang w:eastAsia="zh-CN"/>
          <w14:textFill>
            <w14:solidFill>
              <w14:schemeClr w14:val="tx1"/>
            </w14:solidFill>
          </w14:textFill>
        </w:rPr>
      </w:pPr>
      <w:r>
        <w:rPr>
          <w:color w:val="000000" w:themeColor="text1"/>
          <w:highlight w:val="none"/>
          <w:lang w:eastAsia="zh-CN"/>
          <w14:textFill>
            <w14:solidFill>
              <w14:schemeClr w14:val="tx1"/>
            </w14:solidFill>
          </w14:textFill>
        </w:rPr>
        <w:t>全年受理治安案件</w:t>
      </w:r>
      <w:r>
        <w:rPr>
          <w:rFonts w:hint="eastAsia"/>
          <w:color w:val="000000" w:themeColor="text1"/>
          <w:highlight w:val="none"/>
          <w:lang w:val="en-US" w:eastAsia="zh-CN"/>
          <w14:textFill>
            <w14:solidFill>
              <w14:schemeClr w14:val="tx1"/>
            </w14:solidFill>
          </w14:textFill>
        </w:rPr>
        <w:t>849</w:t>
      </w:r>
      <w:r>
        <w:rPr>
          <w:color w:val="000000" w:themeColor="text1"/>
          <w:highlight w:val="none"/>
          <w:lang w:eastAsia="zh-CN"/>
          <w14:textFill>
            <w14:solidFill>
              <w14:schemeClr w14:val="tx1"/>
            </w14:solidFill>
          </w14:textFill>
        </w:rPr>
        <w:t>宗，</w:t>
      </w:r>
      <w:r>
        <w:rPr>
          <w:rFonts w:hint="eastAsia"/>
          <w:color w:val="000000" w:themeColor="text1"/>
          <w:highlight w:val="none"/>
          <w:lang w:val="en-US" w:eastAsia="zh-CN"/>
          <w14:textFill>
            <w14:solidFill>
              <w14:schemeClr w14:val="tx1"/>
            </w14:solidFill>
          </w14:textFill>
        </w:rPr>
        <w:t>下降16.2</w:t>
      </w:r>
      <w:r>
        <w:rPr>
          <w:color w:val="000000" w:themeColor="text1"/>
          <w:highlight w:val="none"/>
          <w:lang w:eastAsia="zh-CN"/>
          <w14:textFill>
            <w14:solidFill>
              <w14:schemeClr w14:val="tx1"/>
            </w14:solidFill>
          </w14:textFill>
        </w:rPr>
        <w:t>%；查处</w:t>
      </w:r>
      <w:r>
        <w:rPr>
          <w:rFonts w:hint="eastAsia"/>
          <w:color w:val="000000" w:themeColor="text1"/>
          <w:highlight w:val="none"/>
          <w:lang w:val="en-US" w:eastAsia="zh-CN"/>
          <w14:textFill>
            <w14:solidFill>
              <w14:schemeClr w14:val="tx1"/>
            </w14:solidFill>
          </w14:textFill>
        </w:rPr>
        <w:t>306</w:t>
      </w:r>
      <w:r>
        <w:rPr>
          <w:color w:val="000000" w:themeColor="text1"/>
          <w:highlight w:val="none"/>
          <w:lang w:eastAsia="zh-CN"/>
          <w14:textFill>
            <w14:solidFill>
              <w14:schemeClr w14:val="tx1"/>
            </w14:solidFill>
          </w14:textFill>
        </w:rPr>
        <w:t>宗，</w:t>
      </w:r>
      <w:r>
        <w:rPr>
          <w:rFonts w:hint="eastAsia"/>
          <w:color w:val="000000" w:themeColor="text1"/>
          <w:highlight w:val="none"/>
          <w:lang w:val="en-US" w:eastAsia="zh-CN"/>
          <w14:textFill>
            <w14:solidFill>
              <w14:schemeClr w14:val="tx1"/>
            </w14:solidFill>
          </w14:textFill>
        </w:rPr>
        <w:t>下降33.2</w:t>
      </w:r>
      <w:r>
        <w:rPr>
          <w:color w:val="000000" w:themeColor="text1"/>
          <w:highlight w:val="none"/>
          <w:lang w:eastAsia="zh-CN"/>
          <w14:textFill>
            <w14:solidFill>
              <w14:schemeClr w14:val="tx1"/>
            </w14:solidFill>
          </w14:textFill>
        </w:rPr>
        <w:t>%；查处人数</w:t>
      </w:r>
      <w:r>
        <w:rPr>
          <w:rFonts w:hint="eastAsia"/>
          <w:color w:val="000000" w:themeColor="text1"/>
          <w:highlight w:val="none"/>
          <w:lang w:val="en-US" w:eastAsia="zh-CN"/>
          <w14:textFill>
            <w14:solidFill>
              <w14:schemeClr w14:val="tx1"/>
            </w14:solidFill>
          </w14:textFill>
        </w:rPr>
        <w:t>305</w:t>
      </w:r>
      <w:r>
        <w:rPr>
          <w:color w:val="000000" w:themeColor="text1"/>
          <w:highlight w:val="none"/>
          <w:lang w:eastAsia="zh-CN"/>
          <w14:textFill>
            <w14:solidFill>
              <w14:schemeClr w14:val="tx1"/>
            </w14:solidFill>
          </w14:textFill>
        </w:rPr>
        <w:t>人，</w:t>
      </w:r>
      <w:r>
        <w:rPr>
          <w:rFonts w:hint="eastAsia"/>
          <w:color w:val="000000" w:themeColor="text1"/>
          <w:highlight w:val="none"/>
          <w:lang w:val="en-US" w:eastAsia="zh-CN"/>
          <w14:textFill>
            <w14:solidFill>
              <w14:schemeClr w14:val="tx1"/>
            </w14:solidFill>
          </w14:textFill>
        </w:rPr>
        <w:t>增长15.7</w:t>
      </w:r>
      <w:r>
        <w:rPr>
          <w:color w:val="000000" w:themeColor="text1"/>
          <w:highlight w:val="none"/>
          <w:lang w:eastAsia="zh-CN"/>
          <w14:textFill>
            <w14:solidFill>
              <w14:schemeClr w14:val="tx1"/>
            </w14:solidFill>
          </w14:textFill>
        </w:rPr>
        <w:t>%；破获刑事案件</w:t>
      </w:r>
      <w:r>
        <w:rPr>
          <w:rFonts w:hint="eastAsia"/>
          <w:color w:val="000000" w:themeColor="text1"/>
          <w:highlight w:val="none"/>
          <w:lang w:val="en-US" w:eastAsia="zh-CN"/>
          <w14:textFill>
            <w14:solidFill>
              <w14:schemeClr w14:val="tx1"/>
            </w14:solidFill>
          </w14:textFill>
        </w:rPr>
        <w:t>245</w:t>
      </w:r>
      <w:r>
        <w:rPr>
          <w:color w:val="000000" w:themeColor="text1"/>
          <w:highlight w:val="none"/>
          <w:lang w:eastAsia="zh-CN"/>
          <w14:textFill>
            <w14:solidFill>
              <w14:schemeClr w14:val="tx1"/>
            </w14:solidFill>
          </w14:textFill>
        </w:rPr>
        <w:t>宗。</w:t>
      </w:r>
    </w:p>
    <w:p>
      <w:pPr>
        <w:pStyle w:val="5"/>
        <w:spacing w:before="149"/>
        <w:ind w:left="0"/>
        <w:jc w:val="center"/>
        <w:rPr>
          <w:rFonts w:ascii="黑体" w:hAnsi="黑体" w:eastAsia="黑体" w:cs="黑体"/>
          <w:color w:val="000000" w:themeColor="text1"/>
          <w:highlight w:val="none"/>
          <w:lang w:eastAsia="zh-CN"/>
          <w14:textFill>
            <w14:solidFill>
              <w14:schemeClr w14:val="tx1"/>
            </w14:solidFill>
          </w14:textFill>
        </w:rPr>
      </w:pPr>
    </w:p>
    <w:p>
      <w:pPr>
        <w:pStyle w:val="5"/>
        <w:spacing w:before="149"/>
        <w:ind w:left="0"/>
        <w:jc w:val="center"/>
        <w:rPr>
          <w:rFonts w:ascii="黑体" w:hAnsi="黑体" w:eastAsia="黑体" w:cs="黑体"/>
          <w:color w:val="000000" w:themeColor="text1"/>
          <w:highlight w:val="none"/>
          <w:lang w:eastAsia="zh-CN"/>
          <w14:textFill>
            <w14:solidFill>
              <w14:schemeClr w14:val="tx1"/>
            </w14:solidFill>
          </w14:textFill>
        </w:rPr>
      </w:pPr>
      <w:r>
        <w:rPr>
          <w:rFonts w:ascii="黑体" w:hAnsi="黑体" w:eastAsia="黑体" w:cs="黑体"/>
          <w:color w:val="000000" w:themeColor="text1"/>
          <w:highlight w:val="none"/>
          <w:lang w:eastAsia="zh-CN"/>
          <w14:textFill>
            <w14:solidFill>
              <w14:schemeClr w14:val="tx1"/>
            </w14:solidFill>
          </w14:textFill>
        </w:rPr>
        <w:t>十</w:t>
      </w:r>
      <w:r>
        <w:rPr>
          <w:rFonts w:hint="eastAsia" w:ascii="黑体" w:hAnsi="黑体" w:eastAsia="黑体" w:cs="黑体"/>
          <w:color w:val="000000" w:themeColor="text1"/>
          <w:highlight w:val="none"/>
          <w:lang w:eastAsia="zh-CN"/>
          <w14:textFill>
            <w14:solidFill>
              <w14:schemeClr w14:val="tx1"/>
            </w14:solidFill>
          </w14:textFill>
        </w:rPr>
        <w:t>一</w:t>
      </w:r>
      <w:r>
        <w:rPr>
          <w:rFonts w:ascii="黑体" w:hAnsi="黑体" w:eastAsia="黑体" w:cs="黑体"/>
          <w:color w:val="000000" w:themeColor="text1"/>
          <w:highlight w:val="none"/>
          <w:lang w:eastAsia="zh-CN"/>
          <w14:textFill>
            <w14:solidFill>
              <w14:schemeClr w14:val="tx1"/>
            </w14:solidFill>
          </w14:textFill>
        </w:rPr>
        <w:t>、人民生活和社会保障</w:t>
      </w:r>
    </w:p>
    <w:p>
      <w:pPr>
        <w:pStyle w:val="5"/>
        <w:spacing w:before="0" w:line="560" w:lineRule="exact"/>
        <w:ind w:firstLine="640" w:firstLineChars="200"/>
        <w:jc w:val="both"/>
        <w:rPr>
          <w:color w:val="000000" w:themeColor="text1"/>
          <w:spacing w:val="-4"/>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全年全区居民人均可支配收入44032元，增长4.2%，扣除价格指数实际增长1.9%；全区居民人均消费支出26575元，下降2.2%，扣除价格指数实际下降4.4%。恩格尔系数为37.0%。</w:t>
      </w: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p>
    <w:p>
      <w:pPr>
        <w:pStyle w:val="5"/>
        <w:spacing w:before="31" w:line="560" w:lineRule="exact"/>
        <w:ind w:left="0" w:leftChars="0" w:right="265" w:firstLine="0" w:firstLineChars="0"/>
        <w:jc w:val="center"/>
        <w:rPr>
          <w:rFonts w:hint="eastAsia"/>
          <w:color w:val="000000" w:themeColor="text1"/>
          <w:sz w:val="28"/>
          <w:szCs w:val="28"/>
          <w:highlight w:val="none"/>
          <w:lang w:val="en-US" w:eastAsia="zh-CN"/>
          <w14:textFill>
            <w14:solidFill>
              <w14:schemeClr w14:val="tx1"/>
            </w14:solidFill>
          </w14:textFill>
        </w:rPr>
      </w:pPr>
      <w:r>
        <w:drawing>
          <wp:anchor distT="0" distB="0" distL="114300" distR="114300" simplePos="0" relativeHeight="251666432" behindDoc="0" locked="0" layoutInCell="1" allowOverlap="1">
            <wp:simplePos x="0" y="0"/>
            <wp:positionH relativeFrom="column">
              <wp:posOffset>500380</wp:posOffset>
            </wp:positionH>
            <wp:positionV relativeFrom="paragraph">
              <wp:posOffset>-2053590</wp:posOffset>
            </wp:positionV>
            <wp:extent cx="4439920" cy="2350135"/>
            <wp:effectExtent l="5080" t="4445" r="12700" b="7620"/>
            <wp:wrapSquare wrapText="bothSides"/>
            <wp:docPr id="15"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5"/>
        <w:spacing w:before="31" w:line="560" w:lineRule="exact"/>
        <w:ind w:left="0" w:leftChars="0" w:right="265" w:firstLine="0" w:firstLineChars="0"/>
        <w:jc w:val="center"/>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图7 2016-2020年居民人均可支配收入（万元）</w:t>
      </w:r>
    </w:p>
    <w:p>
      <w:pPr>
        <w:pStyle w:val="5"/>
        <w:spacing w:before="0" w:line="560" w:lineRule="exact"/>
        <w:ind w:left="0" w:leftChars="0" w:firstLine="624" w:firstLineChars="200"/>
        <w:jc w:val="both"/>
        <w:rPr>
          <w:rFonts w:cs="仿宋_GB2312"/>
          <w:color w:val="000000" w:themeColor="text1"/>
          <w:highlight w:val="none"/>
          <w:lang w:eastAsia="zh-CN"/>
          <w14:textFill>
            <w14:solidFill>
              <w14:schemeClr w14:val="tx1"/>
            </w14:solidFill>
          </w14:textFill>
        </w:rPr>
      </w:pPr>
      <w:r>
        <w:rPr>
          <w:color w:val="000000" w:themeColor="text1"/>
          <w:spacing w:val="-4"/>
          <w:highlight w:val="none"/>
          <w:lang w:eastAsia="zh-CN"/>
          <w14:textFill>
            <w14:solidFill>
              <w14:schemeClr w14:val="tx1"/>
            </w14:solidFill>
          </w14:textFill>
        </w:rPr>
        <w:t>全区居民登记失业人数为</w:t>
      </w:r>
      <w:r>
        <w:rPr>
          <w:rFonts w:hint="eastAsia"/>
          <w:color w:val="000000" w:themeColor="text1"/>
          <w:spacing w:val="-4"/>
          <w:highlight w:val="none"/>
          <w:lang w:val="en-US" w:eastAsia="zh-CN"/>
          <w14:textFill>
            <w14:solidFill>
              <w14:schemeClr w14:val="tx1"/>
            </w14:solidFill>
          </w14:textFill>
        </w:rPr>
        <w:t>107</w:t>
      </w:r>
      <w:r>
        <w:rPr>
          <w:color w:val="000000" w:themeColor="text1"/>
          <w:spacing w:val="-4"/>
          <w:highlight w:val="none"/>
          <w:lang w:eastAsia="zh-CN"/>
          <w14:textFill>
            <w14:solidFill>
              <w14:schemeClr w14:val="tx1"/>
            </w14:solidFill>
          </w14:textFill>
        </w:rPr>
        <w:t>人</w:t>
      </w:r>
      <w:r>
        <w:rPr>
          <w:rFonts w:hint="eastAsia"/>
          <w:color w:val="000000" w:themeColor="text1"/>
          <w:spacing w:val="-4"/>
          <w:highlight w:val="none"/>
          <w:lang w:eastAsia="zh-CN"/>
          <w14:textFill>
            <w14:solidFill>
              <w14:schemeClr w14:val="tx1"/>
            </w14:solidFill>
          </w14:textFill>
        </w:rPr>
        <w:t>，</w:t>
      </w:r>
      <w:r>
        <w:rPr>
          <w:color w:val="000000" w:themeColor="text1"/>
          <w:spacing w:val="-4"/>
          <w:highlight w:val="none"/>
          <w:lang w:eastAsia="zh-CN"/>
          <w14:textFill>
            <w14:solidFill>
              <w14:schemeClr w14:val="tx1"/>
            </w14:solidFill>
          </w14:textFill>
        </w:rPr>
        <w:t>期末登记失业率</w:t>
      </w:r>
      <w:r>
        <w:rPr>
          <w:rFonts w:hint="eastAsia"/>
          <w:color w:val="000000" w:themeColor="text1"/>
          <w:spacing w:val="-4"/>
          <w:highlight w:val="none"/>
          <w:lang w:val="en-US" w:eastAsia="zh-CN"/>
          <w14:textFill>
            <w14:solidFill>
              <w14:schemeClr w14:val="tx1"/>
            </w14:solidFill>
          </w14:textFill>
        </w:rPr>
        <w:t>为0.68%</w:t>
      </w:r>
      <w:r>
        <w:rPr>
          <w:rFonts w:hint="eastAsia"/>
          <w:color w:val="000000" w:themeColor="text1"/>
          <w:spacing w:val="-4"/>
          <w:highlight w:val="none"/>
          <w:lang w:eastAsia="zh-CN"/>
          <w14:textFill>
            <w14:solidFill>
              <w14:schemeClr w14:val="tx1"/>
            </w14:solidFill>
          </w14:textFill>
        </w:rPr>
        <w:t>。</w:t>
      </w:r>
    </w:p>
    <w:p>
      <w:pPr>
        <w:pStyle w:val="5"/>
        <w:spacing w:before="31" w:line="560" w:lineRule="exact"/>
        <w:ind w:left="109" w:right="265" w:firstLine="624" w:firstLineChars="200"/>
        <w:jc w:val="both"/>
        <w:rPr>
          <w:color w:val="000000" w:themeColor="text1"/>
          <w:highlight w:val="none"/>
          <w:lang w:eastAsia="zh-CN"/>
          <w14:textFill>
            <w14:solidFill>
              <w14:schemeClr w14:val="tx1"/>
            </w14:solidFill>
          </w14:textFill>
        </w:rPr>
      </w:pPr>
      <w:r>
        <w:rPr>
          <w:rFonts w:hint="eastAsia"/>
          <w:color w:val="000000" w:themeColor="text1"/>
          <w:spacing w:val="-4"/>
          <w:highlight w:val="none"/>
          <w:lang w:eastAsia="zh-CN"/>
          <w14:textFill>
            <w14:solidFill>
              <w14:schemeClr w14:val="tx1"/>
            </w14:solidFill>
          </w14:textFill>
        </w:rPr>
        <w:t>20</w:t>
      </w:r>
      <w:r>
        <w:rPr>
          <w:rFonts w:hint="eastAsia"/>
          <w:color w:val="000000" w:themeColor="text1"/>
          <w:spacing w:val="-4"/>
          <w:highlight w:val="none"/>
          <w:lang w:val="en-US" w:eastAsia="zh-CN"/>
          <w14:textFill>
            <w14:solidFill>
              <w14:schemeClr w14:val="tx1"/>
            </w14:solidFill>
          </w14:textFill>
        </w:rPr>
        <w:t>20</w:t>
      </w:r>
      <w:r>
        <w:rPr>
          <w:rFonts w:hint="eastAsia"/>
          <w:color w:val="000000" w:themeColor="text1"/>
          <w:spacing w:val="-4"/>
          <w:highlight w:val="none"/>
          <w:lang w:eastAsia="zh-CN"/>
          <w14:textFill>
            <w14:solidFill>
              <w14:schemeClr w14:val="tx1"/>
            </w14:solidFill>
          </w14:textFill>
        </w:rPr>
        <w:t>年</w:t>
      </w:r>
      <w:r>
        <w:rPr>
          <w:color w:val="000000" w:themeColor="text1"/>
          <w:highlight w:val="none"/>
          <w:lang w:eastAsia="zh-CN"/>
          <w14:textFill>
            <w14:solidFill>
              <w14:schemeClr w14:val="tx1"/>
            </w14:solidFill>
          </w14:textFill>
        </w:rPr>
        <w:t>参加城乡居民基本养老保险人数</w:t>
      </w:r>
      <w:r>
        <w:rPr>
          <w:rFonts w:hint="eastAsia"/>
          <w:color w:val="000000" w:themeColor="text1"/>
          <w:highlight w:val="none"/>
          <w:lang w:val="en-US" w:eastAsia="zh-CN"/>
          <w14:textFill>
            <w14:solidFill>
              <w14:schemeClr w14:val="tx1"/>
            </w14:solidFill>
          </w14:textFill>
        </w:rPr>
        <w:t>14.69</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人</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基本医疗保险人数</w:t>
      </w:r>
      <w:r>
        <w:rPr>
          <w:rFonts w:hint="eastAsia"/>
          <w:color w:val="000000" w:themeColor="text1"/>
          <w:highlight w:val="none"/>
          <w:lang w:val="en-US" w:eastAsia="zh-CN"/>
          <w14:textFill>
            <w14:solidFill>
              <w14:schemeClr w14:val="tx1"/>
            </w14:solidFill>
          </w14:textFill>
        </w:rPr>
        <w:t>16.36</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人，失业保险人数</w:t>
      </w:r>
      <w:r>
        <w:rPr>
          <w:rFonts w:hint="eastAsia"/>
          <w:color w:val="000000" w:themeColor="text1"/>
          <w:highlight w:val="none"/>
          <w:lang w:val="en-US" w:eastAsia="zh-CN"/>
          <w14:textFill>
            <w14:solidFill>
              <w14:schemeClr w14:val="tx1"/>
            </w14:solidFill>
          </w14:textFill>
        </w:rPr>
        <w:t>12.57</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人</w:t>
      </w:r>
      <w:r>
        <w:rPr>
          <w:rFonts w:hint="eastAsia"/>
          <w:color w:val="000000" w:themeColor="text1"/>
          <w:highlight w:val="none"/>
          <w:lang w:eastAsia="zh-CN"/>
          <w14:textFill>
            <w14:solidFill>
              <w14:schemeClr w14:val="tx1"/>
            </w14:solidFill>
          </w14:textFill>
        </w:rPr>
        <w:t>，</w:t>
      </w:r>
      <w:r>
        <w:rPr>
          <w:color w:val="000000" w:themeColor="text1"/>
          <w:highlight w:val="none"/>
          <w:lang w:eastAsia="zh-CN"/>
          <w14:textFill>
            <w14:solidFill>
              <w14:schemeClr w14:val="tx1"/>
            </w14:solidFill>
          </w14:textFill>
        </w:rPr>
        <w:t>工伤保险人数</w:t>
      </w:r>
      <w:r>
        <w:rPr>
          <w:rFonts w:hint="eastAsia"/>
          <w:color w:val="000000" w:themeColor="text1"/>
          <w:highlight w:val="none"/>
          <w:lang w:val="en-US" w:eastAsia="zh-CN"/>
          <w14:textFill>
            <w14:solidFill>
              <w14:schemeClr w14:val="tx1"/>
            </w14:solidFill>
          </w14:textFill>
        </w:rPr>
        <w:t>12.86</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人，生育保险人数</w:t>
      </w:r>
      <w:r>
        <w:rPr>
          <w:rFonts w:hint="eastAsia"/>
          <w:color w:val="000000" w:themeColor="text1"/>
          <w:highlight w:val="none"/>
          <w:lang w:val="en-US" w:eastAsia="zh-CN"/>
          <w14:textFill>
            <w14:solidFill>
              <w14:schemeClr w14:val="tx1"/>
            </w14:solidFill>
          </w14:textFill>
        </w:rPr>
        <w:t>13.68</w:t>
      </w:r>
      <w:r>
        <w:rPr>
          <w:rFonts w:hint="eastAsia"/>
          <w:color w:val="000000" w:themeColor="text1"/>
          <w:highlight w:val="none"/>
          <w:lang w:eastAsia="zh-CN"/>
          <w14:textFill>
            <w14:solidFill>
              <w14:schemeClr w14:val="tx1"/>
            </w14:solidFill>
          </w14:textFill>
        </w:rPr>
        <w:t>万</w:t>
      </w:r>
      <w:r>
        <w:rPr>
          <w:color w:val="000000" w:themeColor="text1"/>
          <w:highlight w:val="none"/>
          <w:lang w:eastAsia="zh-CN"/>
          <w14:textFill>
            <w14:solidFill>
              <w14:schemeClr w14:val="tx1"/>
            </w14:solidFill>
          </w14:textFill>
        </w:rPr>
        <w:t>人。</w:t>
      </w:r>
    </w:p>
    <w:p>
      <w:pPr>
        <w:pStyle w:val="5"/>
        <w:spacing w:before="31" w:line="560" w:lineRule="exact"/>
        <w:ind w:left="0" w:leftChars="0" w:right="265" w:firstLine="0" w:firstLineChars="0"/>
        <w:jc w:val="both"/>
        <w:rPr>
          <w:rFonts w:hint="eastAsia"/>
          <w:color w:val="000000" w:themeColor="text1"/>
          <w:highlight w:val="yellow"/>
          <w:lang w:val="en-US" w:eastAsia="zh-CN"/>
          <w14:textFill>
            <w14:solidFill>
              <w14:schemeClr w14:val="tx1"/>
            </w14:solidFill>
          </w14:textFill>
        </w:rPr>
      </w:pPr>
    </w:p>
    <w:p>
      <w:pPr>
        <w:spacing w:line="420" w:lineRule="exact"/>
        <w:ind w:left="586" w:firstLine="480" w:firstLineChars="200"/>
        <w:jc w:val="both"/>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ascii="仿宋_GB2312" w:hAnsi="仿宋_GB2312" w:eastAsia="仿宋_GB2312" w:cs="仿宋_GB2312"/>
          <w:color w:val="000000" w:themeColor="text1"/>
          <w:sz w:val="24"/>
          <w:szCs w:val="24"/>
          <w:highlight w:val="none"/>
          <w:lang w:eastAsia="zh-CN"/>
          <w14:textFill>
            <w14:solidFill>
              <w14:schemeClr w14:val="tx1"/>
            </w14:solidFill>
          </w14:textFill>
        </w:rPr>
        <w:t>注：1.本公报部分数据为初步统计数，正式统计数据以《深圳市大鹏新区统计年鉴（20</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20</w:t>
      </w:r>
      <w:r>
        <w:rPr>
          <w:rFonts w:ascii="仿宋_GB2312" w:hAnsi="仿宋_GB2312" w:eastAsia="仿宋_GB2312" w:cs="仿宋_GB2312"/>
          <w:color w:val="000000" w:themeColor="text1"/>
          <w:sz w:val="24"/>
          <w:szCs w:val="24"/>
          <w:highlight w:val="none"/>
          <w:lang w:eastAsia="zh-CN"/>
          <w14:textFill>
            <w14:solidFill>
              <w14:schemeClr w14:val="tx1"/>
            </w14:solidFill>
          </w14:textFill>
        </w:rPr>
        <w:t>）》为准。</w:t>
      </w:r>
    </w:p>
    <w:p>
      <w:pPr>
        <w:numPr>
          <w:ilvl w:val="0"/>
          <w:numId w:val="0"/>
        </w:numPr>
        <w:spacing w:line="420" w:lineRule="exact"/>
        <w:ind w:leftChars="200" w:right="0" w:rightChars="0" w:firstLine="480" w:firstLineChars="200"/>
        <w:jc w:val="both"/>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2.</w:t>
      </w:r>
      <w:r>
        <w:rPr>
          <w:rFonts w:ascii="仿宋_GB2312" w:hAnsi="仿宋_GB2312" w:eastAsia="仿宋_GB2312" w:cs="仿宋_GB2312"/>
          <w:color w:val="000000" w:themeColor="text1"/>
          <w:sz w:val="24"/>
          <w:szCs w:val="24"/>
          <w:highlight w:val="none"/>
          <w:lang w:eastAsia="zh-CN"/>
          <w14:textFill>
            <w14:solidFill>
              <w14:schemeClr w14:val="tx1"/>
            </w14:solidFill>
          </w14:textFill>
        </w:rPr>
        <w:t>本公报中生产总值、人均生产总值、各产业增加值、增加值及相关数据绝对数按现价计算，增长速度按可比价计算。</w:t>
      </w:r>
    </w:p>
    <w:p>
      <w:pPr>
        <w:numPr>
          <w:ilvl w:val="0"/>
          <w:numId w:val="0"/>
        </w:numPr>
        <w:spacing w:line="420" w:lineRule="exact"/>
        <w:ind w:leftChars="200" w:right="0" w:rightChars="0" w:firstLine="480" w:firstLineChars="200"/>
        <w:jc w:val="both"/>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3.</w:t>
      </w:r>
      <w:r>
        <w:rPr>
          <w:rFonts w:ascii="仿宋_GB2312" w:hAnsi="仿宋_GB2312" w:eastAsia="仿宋_GB2312" w:cs="仿宋_GB2312"/>
          <w:color w:val="000000" w:themeColor="text1"/>
          <w:sz w:val="24"/>
          <w:szCs w:val="24"/>
          <w:highlight w:val="none"/>
          <w:lang w:eastAsia="zh-CN"/>
          <w14:textFill>
            <w14:solidFill>
              <w14:schemeClr w14:val="tx1"/>
            </w14:solidFill>
          </w14:textFill>
        </w:rPr>
        <w:t>本公报综合部分中的生产总值及其分项数据为核算口径数据，其他专业部分数据为该专业口径数据。</w:t>
      </w:r>
    </w:p>
    <w:p>
      <w:pPr>
        <w:numPr>
          <w:ilvl w:val="0"/>
          <w:numId w:val="0"/>
        </w:numPr>
        <w:spacing w:line="420" w:lineRule="exact"/>
        <w:ind w:leftChars="200" w:right="0" w:rightChars="0" w:firstLine="480" w:firstLineChars="200"/>
        <w:jc w:val="both"/>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4.</w:t>
      </w:r>
      <w:r>
        <w:rPr>
          <w:rFonts w:ascii="仿宋_GB2312" w:hAnsi="仿宋_GB2312" w:eastAsia="仿宋_GB2312" w:cs="仿宋_GB2312"/>
          <w:color w:val="000000" w:themeColor="text1"/>
          <w:sz w:val="24"/>
          <w:szCs w:val="24"/>
          <w:highlight w:val="none"/>
          <w:lang w:eastAsia="zh-CN"/>
          <w14:textFill>
            <w14:solidFill>
              <w14:schemeClr w14:val="tx1"/>
            </w14:solidFill>
          </w14:textFill>
        </w:rPr>
        <w:t>本公报对部分数据由于计量单位取舍不同或四舍五入而产生的差数均未作机械调整。</w:t>
      </w:r>
    </w:p>
    <w:p>
      <w:pPr>
        <w:numPr>
          <w:ilvl w:val="0"/>
          <w:numId w:val="0"/>
        </w:numPr>
        <w:spacing w:line="420" w:lineRule="exact"/>
        <w:ind w:leftChars="200" w:right="0" w:rightChars="0" w:firstLine="480" w:firstLineChars="200"/>
        <w:jc w:val="both"/>
        <w:rPr>
          <w:rFonts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5.行业统计标准：</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辖区内年营业收入2000万元及以上的交通运输、仓储和邮政业，信息传输、软件和信息技术服务业，水利、环境和公共设施管理业，卫生行业;辖区内年营业收入1000万元以上的租赁和商务服务业，科学研究和技术服务业，教育，以及物业管理、房地产中介服务、房地产租赁经营和其他房地产业;辖区内年营业收入500万元及以上的居民服务、修理和其他服务业，文化、体育和娱乐业，社会工作行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pacing w:val="0"/>
          <w:w w:val="100"/>
          <w:kern w:val="2"/>
          <w:position w:val="0"/>
          <w:sz w:val="32"/>
          <w:szCs w:val="32"/>
          <w:shd w:val="clear" w:color="auto" w:fill="auto"/>
          <w:lang w:val="en-US" w:eastAsia="zh-CN" w:bidi="en-US"/>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z w:val="32"/>
          <w:szCs w:val="32"/>
          <w:lang w:val="en-US" w:eastAsia="zh-CN"/>
        </w:rPr>
      </w:pPr>
    </w:p>
    <w:sectPr>
      <w:footerReference r:id="rId6"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eastAsia="方正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- 9 -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56F00"/>
    <w:rsid w:val="02407206"/>
    <w:rsid w:val="02692B43"/>
    <w:rsid w:val="029075D6"/>
    <w:rsid w:val="02DA6B01"/>
    <w:rsid w:val="03D80C07"/>
    <w:rsid w:val="040927D1"/>
    <w:rsid w:val="04F2770E"/>
    <w:rsid w:val="06F0606E"/>
    <w:rsid w:val="0721748A"/>
    <w:rsid w:val="075905E0"/>
    <w:rsid w:val="0792265B"/>
    <w:rsid w:val="086B7746"/>
    <w:rsid w:val="0A763511"/>
    <w:rsid w:val="0AAD2954"/>
    <w:rsid w:val="0B272FF2"/>
    <w:rsid w:val="0B6E5AD6"/>
    <w:rsid w:val="0C877939"/>
    <w:rsid w:val="0CF873C0"/>
    <w:rsid w:val="0DBE63E7"/>
    <w:rsid w:val="0E46143B"/>
    <w:rsid w:val="0E4824BB"/>
    <w:rsid w:val="0E9D6E65"/>
    <w:rsid w:val="0F834825"/>
    <w:rsid w:val="0FF77CB6"/>
    <w:rsid w:val="105F72F6"/>
    <w:rsid w:val="10FA1F6E"/>
    <w:rsid w:val="11931725"/>
    <w:rsid w:val="13107EE8"/>
    <w:rsid w:val="1625470E"/>
    <w:rsid w:val="16456956"/>
    <w:rsid w:val="16831CBC"/>
    <w:rsid w:val="175A0DB5"/>
    <w:rsid w:val="18732BA2"/>
    <w:rsid w:val="18D31D96"/>
    <w:rsid w:val="1AE846E9"/>
    <w:rsid w:val="1AEF0F01"/>
    <w:rsid w:val="1B3C31B5"/>
    <w:rsid w:val="1CEC1BEB"/>
    <w:rsid w:val="1E125A74"/>
    <w:rsid w:val="1E4350E7"/>
    <w:rsid w:val="1F1072E2"/>
    <w:rsid w:val="1FF66C26"/>
    <w:rsid w:val="215149B3"/>
    <w:rsid w:val="21686B6D"/>
    <w:rsid w:val="21977173"/>
    <w:rsid w:val="21ED221D"/>
    <w:rsid w:val="21F51660"/>
    <w:rsid w:val="23996F25"/>
    <w:rsid w:val="24B759AC"/>
    <w:rsid w:val="24CB160C"/>
    <w:rsid w:val="24E60B35"/>
    <w:rsid w:val="24E82CB9"/>
    <w:rsid w:val="257F0DDF"/>
    <w:rsid w:val="27485400"/>
    <w:rsid w:val="28402D6B"/>
    <w:rsid w:val="28836107"/>
    <w:rsid w:val="28FB4EAA"/>
    <w:rsid w:val="291841DD"/>
    <w:rsid w:val="2A1C4675"/>
    <w:rsid w:val="2D711DD6"/>
    <w:rsid w:val="2EB22F00"/>
    <w:rsid w:val="2FB9050B"/>
    <w:rsid w:val="302D7FF8"/>
    <w:rsid w:val="305507DF"/>
    <w:rsid w:val="32DC0EF8"/>
    <w:rsid w:val="3398656E"/>
    <w:rsid w:val="33ED64F7"/>
    <w:rsid w:val="343E7B72"/>
    <w:rsid w:val="35B03096"/>
    <w:rsid w:val="386507EE"/>
    <w:rsid w:val="3A7C39B0"/>
    <w:rsid w:val="3B7276AD"/>
    <w:rsid w:val="3C23649A"/>
    <w:rsid w:val="3C3551B6"/>
    <w:rsid w:val="3D48478B"/>
    <w:rsid w:val="3EAE0CE1"/>
    <w:rsid w:val="3FBD2389"/>
    <w:rsid w:val="3FEC2C2A"/>
    <w:rsid w:val="3FF84A2C"/>
    <w:rsid w:val="41BC3752"/>
    <w:rsid w:val="41F17871"/>
    <w:rsid w:val="42405504"/>
    <w:rsid w:val="434D42D8"/>
    <w:rsid w:val="44E60664"/>
    <w:rsid w:val="462B383E"/>
    <w:rsid w:val="486B1159"/>
    <w:rsid w:val="48780056"/>
    <w:rsid w:val="48DB5F60"/>
    <w:rsid w:val="4B603F6D"/>
    <w:rsid w:val="4BA61A46"/>
    <w:rsid w:val="4C965EC5"/>
    <w:rsid w:val="4CED5DA3"/>
    <w:rsid w:val="4E573798"/>
    <w:rsid w:val="4EAB3DDC"/>
    <w:rsid w:val="4F0A03D3"/>
    <w:rsid w:val="4F8028DE"/>
    <w:rsid w:val="4FC250D1"/>
    <w:rsid w:val="504037DD"/>
    <w:rsid w:val="507C15AC"/>
    <w:rsid w:val="522A6D09"/>
    <w:rsid w:val="52E23E58"/>
    <w:rsid w:val="55D71D02"/>
    <w:rsid w:val="56683318"/>
    <w:rsid w:val="57001A14"/>
    <w:rsid w:val="571C351E"/>
    <w:rsid w:val="59165ADF"/>
    <w:rsid w:val="597264D0"/>
    <w:rsid w:val="59D97F11"/>
    <w:rsid w:val="5BEF111A"/>
    <w:rsid w:val="5EA76359"/>
    <w:rsid w:val="613C2171"/>
    <w:rsid w:val="61BF3F3D"/>
    <w:rsid w:val="61F133AC"/>
    <w:rsid w:val="62BC7916"/>
    <w:rsid w:val="65026441"/>
    <w:rsid w:val="669F3893"/>
    <w:rsid w:val="673F5399"/>
    <w:rsid w:val="675A32CD"/>
    <w:rsid w:val="67F32B67"/>
    <w:rsid w:val="68DA7BF7"/>
    <w:rsid w:val="6A4405F3"/>
    <w:rsid w:val="6B2C4A89"/>
    <w:rsid w:val="6BCA0D25"/>
    <w:rsid w:val="6BFB2F9C"/>
    <w:rsid w:val="6D10015F"/>
    <w:rsid w:val="6D661BE0"/>
    <w:rsid w:val="6DEC42AE"/>
    <w:rsid w:val="6E38529D"/>
    <w:rsid w:val="6F035BF0"/>
    <w:rsid w:val="704142DA"/>
    <w:rsid w:val="70956F00"/>
    <w:rsid w:val="721E12D8"/>
    <w:rsid w:val="75465C7C"/>
    <w:rsid w:val="755A4376"/>
    <w:rsid w:val="76084D1E"/>
    <w:rsid w:val="76596462"/>
    <w:rsid w:val="77E5353C"/>
    <w:rsid w:val="796D2034"/>
    <w:rsid w:val="79DE0AA5"/>
    <w:rsid w:val="7B7913DA"/>
    <w:rsid w:val="7DE7621F"/>
    <w:rsid w:val="7E46179B"/>
    <w:rsid w:val="7E5009DB"/>
    <w:rsid w:val="7ED518F3"/>
    <w:rsid w:val="7F0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方正仿宋_GB2312" w:cs="Times New Roman"/>
      <w:color w:val="000000"/>
      <w:spacing w:val="0"/>
      <w:w w:val="100"/>
      <w:position w:val="0"/>
      <w:sz w:val="32"/>
      <w:szCs w:val="24"/>
      <w:shd w:val="clear" w:color="auto" w:fill="auto"/>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1"/>
    <w:pPr>
      <w:spacing w:before="140"/>
      <w:ind w:left="106"/>
    </w:pPr>
    <w:rPr>
      <w:rFonts w:ascii="仿宋_GB2312" w:hAnsi="仿宋_GB2312"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yperlink"/>
    <w:basedOn w:val="11"/>
    <w:qFormat/>
    <w:uiPriority w:val="0"/>
    <w:rPr>
      <w:color w:val="333333"/>
      <w:u w:val="none"/>
    </w:rPr>
  </w:style>
  <w:style w:type="paragraph" w:styleId="15">
    <w:name w:val="List Paragraph"/>
    <w:basedOn w:val="1"/>
    <w:qFormat/>
    <w:uiPriority w:val="34"/>
    <w:pPr>
      <w:adjustRightInd/>
      <w:spacing w:line="240" w:lineRule="auto"/>
      <w:ind w:firstLine="420" w:firstLineChars="200"/>
      <w:jc w:val="both"/>
    </w:pPr>
    <w:rPr>
      <w:kern w:val="2"/>
      <w:sz w:val="21"/>
      <w:szCs w:val="22"/>
    </w:rPr>
  </w:style>
  <w:style w:type="character" w:customStyle="1" w:styleId="16">
    <w:name w:val="last-child"/>
    <w:basedOn w:val="11"/>
    <w:qFormat/>
    <w:uiPriority w:val="0"/>
  </w:style>
  <w:style w:type="character" w:customStyle="1" w:styleId="17">
    <w:name w:val="first-child"/>
    <w:basedOn w:val="11"/>
    <w:qFormat/>
    <w:uiPriority w:val="0"/>
  </w:style>
  <w:style w:type="character" w:customStyle="1" w:styleId="18">
    <w:name w:val="nth-child(2)"/>
    <w:basedOn w:val="11"/>
    <w:qFormat/>
    <w:uiPriority w:val="0"/>
  </w:style>
  <w:style w:type="character" w:customStyle="1" w:styleId="19">
    <w:name w:val="swiper-pagination-bullet-active"/>
    <w:basedOn w:val="11"/>
    <w:qFormat/>
    <w:uiPriority w:val="0"/>
  </w:style>
  <w:style w:type="character" w:customStyle="1" w:styleId="20">
    <w:name w:val="swiper-pagination-bullet-active1"/>
    <w:basedOn w:val="11"/>
    <w:qFormat/>
    <w:uiPriority w:val="0"/>
    <w:rPr>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4635;&#32467;&#12289;&#20844;&#25253;&#12289;&#24180;&#37492;\&#20844;&#25253;\2019&#24180;&#20844;&#25253;&#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E:\&#24635;&#32467;&#12289;&#20844;&#25253;&#12289;&#24180;&#37492;\&#20844;&#25253;\2019&#24180;&#20844;&#25253;&#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8472;&#32494;&#38639;\oa\&#21457;&#25991;\2020&#24180;&#20844;&#25253;&#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8472;&#32494;&#38639;\oa\&#21457;&#25991;\2020&#24180;&#20844;&#25253;&#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4635;&#32467;&#12289;&#20844;&#25253;&#12289;&#24180;&#37492;\&#20844;&#25253;\2019&#24180;&#20844;&#25253;&#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8472;&#32494;&#38639;\oa\&#21457;&#25991;\2020&#24180;&#20844;&#25253;&#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8472;&#32494;&#38639;\oa\&#21457;&#25991;\2020&#24180;&#20844;&#25253;&#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40060984463482"/>
          <c:y val="0.0884476534296029"/>
          <c:w val="0.793582111224045"/>
          <c:h val="0.697172081829122"/>
        </c:manualLayout>
      </c:layout>
      <c:barChart>
        <c:barDir val="col"/>
        <c:grouping val="stacked"/>
        <c:varyColors val="0"/>
        <c:ser>
          <c:idx val="0"/>
          <c:order val="0"/>
          <c:tx>
            <c:strRef>
              <c:f>[2019年公报图表..xlsx]Sheet1!$B$14</c:f>
              <c:strCache>
                <c:ptCount val="1"/>
                <c:pt idx="0">
                  <c:v>一产</c:v>
                </c:pt>
              </c:strCache>
            </c:strRef>
          </c:tx>
          <c:spPr>
            <a:gradFill rotWithShape="1">
              <a:gsLst>
                <a:gs pos="0">
                  <a:schemeClr val="accent1">
                    <a:shade val="65000"/>
                    <a:tint val="50000"/>
                    <a:satMod val="300000"/>
                  </a:schemeClr>
                </a:gs>
                <a:gs pos="35000">
                  <a:schemeClr val="accent1">
                    <a:shade val="65000"/>
                    <a:tint val="37000"/>
                    <a:satMod val="300000"/>
                  </a:schemeClr>
                </a:gs>
                <a:gs pos="100000">
                  <a:schemeClr val="accent1">
                    <a:shade val="65000"/>
                    <a:tint val="15000"/>
                    <a:satMod val="350000"/>
                  </a:schemeClr>
                </a:gs>
              </a:gsLst>
              <a:lin ang="16200000" scaled="1"/>
            </a:gradFill>
            <a:ln w="9525" cap="flat" cmpd="sng" algn="ctr">
              <a:solidFill>
                <a:schemeClr val="accent1">
                  <a:shade val="65000"/>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[2019年公报图表..xlsx]Sheet1!$A$15:$A$19</c:f>
              <c:strCache>
                <c:ptCount val="5"/>
                <c:pt idx="0">
                  <c:v>2016年</c:v>
                </c:pt>
                <c:pt idx="1">
                  <c:v>2017年</c:v>
                </c:pt>
                <c:pt idx="2">
                  <c:v>2018年</c:v>
                </c:pt>
                <c:pt idx="3">
                  <c:v>2019年</c:v>
                </c:pt>
                <c:pt idx="4">
                  <c:v>2020年</c:v>
                </c:pt>
              </c:strCache>
            </c:strRef>
          </c:cat>
          <c:val>
            <c:numRef>
              <c:f>[2019年公报图表..xlsx]Sheet1!$B$15:$B$19</c:f>
              <c:numCache>
                <c:formatCode>0.00%</c:formatCode>
                <c:ptCount val="5"/>
                <c:pt idx="0">
                  <c:v>0.0025</c:v>
                </c:pt>
                <c:pt idx="1">
                  <c:v>0.0027</c:v>
                </c:pt>
                <c:pt idx="2">
                  <c:v>0.0028</c:v>
                </c:pt>
                <c:pt idx="3">
                  <c:v>0.0027</c:v>
                </c:pt>
                <c:pt idx="4">
                  <c:v>0.0035</c:v>
                </c:pt>
              </c:numCache>
            </c:numRef>
          </c:val>
        </c:ser>
        <c:ser>
          <c:idx val="1"/>
          <c:order val="1"/>
          <c:tx>
            <c:strRef>
              <c:f>[2019年公报图表..xlsx]Sheet1!$C$14</c:f>
              <c:strCache>
                <c:ptCount val="1"/>
                <c:pt idx="0">
                  <c:v>二产</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[2019年公报图表..xlsx]Sheet1!$A$15:$A$19</c:f>
              <c:strCache>
                <c:ptCount val="5"/>
                <c:pt idx="0">
                  <c:v>2016年</c:v>
                </c:pt>
                <c:pt idx="1">
                  <c:v>2017年</c:v>
                </c:pt>
                <c:pt idx="2">
                  <c:v>2018年</c:v>
                </c:pt>
                <c:pt idx="3">
                  <c:v>2019年</c:v>
                </c:pt>
                <c:pt idx="4">
                  <c:v>2020年</c:v>
                </c:pt>
              </c:strCache>
            </c:strRef>
          </c:cat>
          <c:val>
            <c:numRef>
              <c:f>[2019年公报图表..xlsx]Sheet1!$C$15:$C$19</c:f>
              <c:numCache>
                <c:formatCode>0.00%</c:formatCode>
                <c:ptCount val="5"/>
                <c:pt idx="0">
                  <c:v>0.6345</c:v>
                </c:pt>
                <c:pt idx="1">
                  <c:v>0.6153</c:v>
                </c:pt>
                <c:pt idx="2">
                  <c:v>0.5834</c:v>
                </c:pt>
                <c:pt idx="3">
                  <c:v>0.6226</c:v>
                </c:pt>
                <c:pt idx="4">
                  <c:v>0.5891</c:v>
                </c:pt>
              </c:numCache>
            </c:numRef>
          </c:val>
        </c:ser>
        <c:ser>
          <c:idx val="2"/>
          <c:order val="2"/>
          <c:tx>
            <c:strRef>
              <c:f>[2019年公报图表..xlsx]Sheet1!$D$14</c:f>
              <c:strCache>
                <c:ptCount val="1"/>
                <c:pt idx="0">
                  <c:v>三产</c:v>
                </c:pt>
              </c:strCache>
            </c:strRef>
          </c:tx>
          <c:spPr>
            <a:gradFill rotWithShape="1">
              <a:gsLst>
                <a:gs pos="0">
                  <a:schemeClr val="accent1">
                    <a:tint val="65000"/>
                    <a:tint val="50000"/>
                    <a:satMod val="300000"/>
                  </a:schemeClr>
                </a:gs>
                <a:gs pos="35000">
                  <a:schemeClr val="accent1">
                    <a:tint val="65000"/>
                    <a:tint val="37000"/>
                    <a:satMod val="300000"/>
                  </a:schemeClr>
                </a:gs>
                <a:gs pos="100000">
                  <a:schemeClr val="accent1">
                    <a:tint val="65000"/>
                    <a:tint val="15000"/>
                    <a:satMod val="350000"/>
                  </a:schemeClr>
                </a:gs>
              </a:gsLst>
              <a:lin ang="16200000" scaled="1"/>
            </a:gradFill>
            <a:ln w="9525" cap="flat" cmpd="sng" algn="ctr">
              <a:solidFill>
                <a:schemeClr val="accent1">
                  <a:tint val="65000"/>
                  <a:shade val="95000"/>
                </a:schemeClr>
              </a:solidFill>
              <a:round/>
            </a:ln>
            <a:effectLst>
              <a:outerShdw blurRad="40000" dist="20000" dir="5400000" rotWithShape="0">
                <a:srgbClr val="000000">
                  <a:alpha val="38000"/>
                </a:srgbClr>
              </a:outerShdw>
            </a:effectLst>
          </c:spPr>
          <c:invertIfNegative val="1"/>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[2019年公报图表..xlsx]Sheet1!$A$15:$A$19</c:f>
              <c:strCache>
                <c:ptCount val="5"/>
                <c:pt idx="0">
                  <c:v>2016年</c:v>
                </c:pt>
                <c:pt idx="1">
                  <c:v>2017年</c:v>
                </c:pt>
                <c:pt idx="2">
                  <c:v>2018年</c:v>
                </c:pt>
                <c:pt idx="3">
                  <c:v>2019年</c:v>
                </c:pt>
                <c:pt idx="4">
                  <c:v>2020年</c:v>
                </c:pt>
              </c:strCache>
            </c:strRef>
          </c:cat>
          <c:val>
            <c:numRef>
              <c:f>[2019年公报图表..xlsx]Sheet1!$D$15:$D$19</c:f>
              <c:numCache>
                <c:formatCode>0.00%</c:formatCode>
                <c:ptCount val="5"/>
                <c:pt idx="0">
                  <c:v>0.363</c:v>
                </c:pt>
                <c:pt idx="1">
                  <c:v>0.382</c:v>
                </c:pt>
                <c:pt idx="2">
                  <c:v>0.4137</c:v>
                </c:pt>
                <c:pt idx="3">
                  <c:v>0.3747</c:v>
                </c:pt>
                <c:pt idx="4">
                  <c:v>0.4073</c:v>
                </c:pt>
              </c:numCache>
            </c:numRef>
          </c:val>
        </c:ser>
        <c:dLbls>
          <c:showLegendKey val="0"/>
          <c:showVal val="1"/>
          <c:showCatName val="0"/>
          <c:showSerName val="0"/>
          <c:showPercent val="0"/>
          <c:showBubbleSize val="0"/>
        </c:dLbls>
        <c:gapWidth val="150"/>
        <c:overlap val="100"/>
        <c:axId val="88882176"/>
        <c:axId val="88888064"/>
      </c:barChart>
      <c:catAx>
        <c:axId val="888821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88888064"/>
        <c:crosses val="autoZero"/>
        <c:auto val="1"/>
        <c:lblAlgn val="ctr"/>
        <c:lblOffset val="100"/>
        <c:noMultiLvlLbl val="0"/>
      </c:catAx>
      <c:valAx>
        <c:axId val="88888064"/>
        <c:scaling>
          <c:orientation val="minMax"/>
          <c:max val="1"/>
          <c:min val="0"/>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88882176"/>
        <c:crosses val="autoZero"/>
        <c:crossBetween val="between"/>
      </c:valAx>
      <c:spPr>
        <a:noFill/>
        <a:ln>
          <a:noFill/>
        </a:ln>
        <a:effectLst/>
      </c:spPr>
    </c:plotArea>
    <c:legend>
      <c:legendPos val="b"/>
      <c:layout>
        <c:manualLayout>
          <c:xMode val="edge"/>
          <c:yMode val="edge"/>
          <c:x val="0.276399307559146"/>
          <c:y val="0.864614465032875"/>
          <c:w val="0.48730525100981"/>
          <c:h val="0.099521817095038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[2019年公报图表..xlsx]Sheet1!$A$39</c:f>
              <c:strCache>
                <c:ptCount val="1"/>
                <c:pt idx="0">
                  <c:v>工业增加值（亿元）</c:v>
                </c:pt>
              </c:strCache>
            </c:strRef>
          </c:tx>
          <c:spPr>
            <a:gradFill rotWithShape="1">
              <a:gsLst>
                <a:gs pos="0">
                  <a:schemeClr val="accent1">
                    <a:shade val="76667"/>
                    <a:tint val="50000"/>
                    <a:satMod val="300000"/>
                  </a:schemeClr>
                </a:gs>
                <a:gs pos="35000">
                  <a:schemeClr val="accent1">
                    <a:shade val="76667"/>
                    <a:tint val="37000"/>
                    <a:satMod val="300000"/>
                  </a:schemeClr>
                </a:gs>
                <a:gs pos="100000">
                  <a:schemeClr val="accent1">
                    <a:shade val="76667"/>
                    <a:tint val="15000"/>
                    <a:satMod val="350000"/>
                  </a:schemeClr>
                </a:gs>
              </a:gsLst>
              <a:lin ang="16200000" scaled="1"/>
            </a:gradFill>
            <a:ln w="9525" cap="flat" cmpd="sng" algn="ctr">
              <a:solidFill>
                <a:schemeClr val="accent1">
                  <a:shade val="76667"/>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[2019年公报图表..xlsx]Sheet1!$B$38:$F$38</c:f>
              <c:strCache>
                <c:ptCount val="5"/>
                <c:pt idx="0">
                  <c:v>2016年</c:v>
                </c:pt>
                <c:pt idx="1">
                  <c:v>2017年</c:v>
                </c:pt>
                <c:pt idx="2">
                  <c:v>2018年</c:v>
                </c:pt>
                <c:pt idx="3">
                  <c:v>2019年</c:v>
                </c:pt>
                <c:pt idx="4">
                  <c:v>2020年</c:v>
                </c:pt>
              </c:strCache>
            </c:strRef>
          </c:cat>
          <c:val>
            <c:numRef>
              <c:f>[2019年公报图表..xlsx]Sheet1!$B$39:$F$39</c:f>
              <c:numCache>
                <c:formatCode>General</c:formatCode>
                <c:ptCount val="5"/>
                <c:pt idx="0">
                  <c:v>176.54</c:v>
                </c:pt>
                <c:pt idx="1">
                  <c:v>208.49</c:v>
                </c:pt>
                <c:pt idx="2">
                  <c:v>187.62</c:v>
                </c:pt>
                <c:pt idx="3" c:formatCode="0.00_ ">
                  <c:v>189.9</c:v>
                </c:pt>
                <c:pt idx="4">
                  <c:v>183.72</c:v>
                </c:pt>
              </c:numCache>
            </c:numRef>
          </c:val>
        </c:ser>
        <c:dLbls>
          <c:showLegendKey val="0"/>
          <c:showVal val="1"/>
          <c:showCatName val="0"/>
          <c:showSerName val="0"/>
          <c:showPercent val="0"/>
          <c:showBubbleSize val="0"/>
        </c:dLbls>
        <c:gapWidth val="219"/>
        <c:overlap val="-27"/>
        <c:axId val="57051991"/>
        <c:axId val="912084542"/>
      </c:barChart>
      <c:lineChart>
        <c:grouping val="standard"/>
        <c:varyColors val="0"/>
        <c:ser>
          <c:idx val="1"/>
          <c:order val="1"/>
          <c:tx>
            <c:strRef>
              <c:f>[2019年公报图表..xlsx]Sheet1!$A$40</c:f>
              <c:strCache>
                <c:ptCount val="1"/>
                <c:pt idx="0">
                  <c:v>增速（%）</c:v>
                </c:pt>
              </c:strCache>
            </c:strRef>
          </c:tx>
          <c:spPr>
            <a:ln w="15875" cap="rnd">
              <a:solidFill>
                <a:schemeClr val="accent1">
                  <a:tint val="76667"/>
                </a:schemeClr>
              </a:solidFill>
              <a:round/>
            </a:ln>
            <a:effectLst>
              <a:outerShdw blurRad="40000" dist="20000" dir="5400000" rotWithShape="0">
                <a:srgbClr val="000000">
                  <a:alpha val="38000"/>
                </a:srgbClr>
              </a:outerShdw>
            </a:effectLst>
          </c:spPr>
          <c:marker>
            <c:symbol val="none"/>
          </c:marker>
          <c:dLbls>
            <c:dLbl>
              <c:idx val="3"/>
              <c:layout>
                <c:manualLayout>
                  <c:x val="-0.0400213447171825"/>
                  <c:y val="-0.023453608247422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[2019年公报图表..xlsx]Sheet1!$B$38:$F$38</c:f>
              <c:strCache>
                <c:ptCount val="5"/>
                <c:pt idx="0">
                  <c:v>2016年</c:v>
                </c:pt>
                <c:pt idx="1">
                  <c:v>2017年</c:v>
                </c:pt>
                <c:pt idx="2">
                  <c:v>2018年</c:v>
                </c:pt>
                <c:pt idx="3">
                  <c:v>2019年</c:v>
                </c:pt>
                <c:pt idx="4">
                  <c:v>2020年</c:v>
                </c:pt>
              </c:strCache>
            </c:strRef>
          </c:cat>
          <c:val>
            <c:numRef>
              <c:f>[2019年公报图表..xlsx]Sheet1!$B$40:$F$40</c:f>
              <c:numCache>
                <c:formatCode>General</c:formatCode>
                <c:ptCount val="5"/>
                <c:pt idx="0">
                  <c:v>5.5</c:v>
                </c:pt>
                <c:pt idx="1">
                  <c:v>4.5</c:v>
                </c:pt>
                <c:pt idx="2">
                  <c:v>-2.5</c:v>
                </c:pt>
                <c:pt idx="3" c:formatCode="0.0_ ">
                  <c:v>5</c:v>
                </c:pt>
                <c:pt idx="4">
                  <c:v>-4.9</c:v>
                </c:pt>
              </c:numCache>
            </c:numRef>
          </c:val>
          <c:smooth val="1"/>
        </c:ser>
        <c:dLbls>
          <c:showLegendKey val="0"/>
          <c:showVal val="1"/>
          <c:showCatName val="0"/>
          <c:showSerName val="0"/>
          <c:showPercent val="0"/>
          <c:showBubbleSize val="0"/>
        </c:dLbls>
        <c:marker val="0"/>
        <c:smooth val="1"/>
        <c:axId val="730276214"/>
        <c:axId val="704978086"/>
      </c:lineChart>
      <c:catAx>
        <c:axId val="570519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912084542"/>
        <c:crosses val="autoZero"/>
        <c:auto val="1"/>
        <c:lblAlgn val="ctr"/>
        <c:lblOffset val="100"/>
        <c:noMultiLvlLbl val="0"/>
      </c:catAx>
      <c:valAx>
        <c:axId val="912084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57051991"/>
        <c:crosses val="autoZero"/>
        <c:crossBetween val="between"/>
      </c:valAx>
      <c:catAx>
        <c:axId val="730276214"/>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04978086"/>
        <c:crosses val="autoZero"/>
        <c:auto val="1"/>
        <c:lblAlgn val="ctr"/>
        <c:lblOffset val="100"/>
        <c:noMultiLvlLbl val="0"/>
      </c:catAx>
      <c:valAx>
        <c:axId val="704978086"/>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30276214"/>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spPr>
            <a:ln w="25400" cap="flat" cmpd="sng" algn="ctr">
              <a:solidFill>
                <a:schemeClr val="accent1">
                  <a:shade val="50000"/>
                </a:schemeClr>
              </a:solidFill>
              <a:prstDash val="solid"/>
              <a:round/>
            </a:ln>
            <a:effectLst/>
            <a:sp3d>
              <a:extrusionClr>
                <a:srgbClr val="FFFFFF"/>
              </a:extrusionClr>
              <a:contourClr>
                <a:srgbClr val="FFFFFF"/>
              </a:contourClr>
            </a:sp3d>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[2020年公报图表..xlsx]Sheet1!$A$72:$B$77</c:f>
              <c:multiLvlStrCache>
                <c:ptCount val="6"/>
                <c:lvl>
                  <c:pt idx="1">
                    <c:v>2016年</c:v>
                  </c:pt>
                  <c:pt idx="2">
                    <c:v>2017年</c:v>
                  </c:pt>
                  <c:pt idx="3">
                    <c:v>2018年</c:v>
                  </c:pt>
                  <c:pt idx="4">
                    <c:v>2019年</c:v>
                  </c:pt>
                  <c:pt idx="5">
                    <c:v>2020年</c:v>
                  </c:pt>
                </c:lvl>
                <c:lvl>
                  <c:pt idx="0">
                    <c:v>固定资产投资增速（%）</c:v>
                  </c:pt>
                </c:lvl>
              </c:multiLvlStrCache>
            </c:multiLvlStrRef>
          </c:cat>
          <c:val>
            <c:numRef>
              <c:f>[2020年公报图表..xlsx]Sheet1!$D$72:$D$77</c:f>
              <c:numCache>
                <c:formatCode>General</c:formatCode>
                <c:ptCount val="6"/>
                <c:pt idx="0">
                  <c:v>0</c:v>
                </c:pt>
                <c:pt idx="1">
                  <c:v>2.3</c:v>
                </c:pt>
                <c:pt idx="2">
                  <c:v>5.2</c:v>
                </c:pt>
                <c:pt idx="3">
                  <c:v>11.8</c:v>
                </c:pt>
                <c:pt idx="4">
                  <c:v>20</c:v>
                </c:pt>
                <c:pt idx="5">
                  <c:v>14.8</c:v>
                </c:pt>
              </c:numCache>
            </c:numRef>
          </c:val>
          <c:smooth val="0"/>
        </c:ser>
        <c:ser>
          <c:idx val="2"/>
          <c:order val="1"/>
          <c:spPr>
            <a:ln w="28575" cap="rnd">
              <a:solidFill>
                <a:schemeClr val="accent3"/>
              </a:solidFill>
              <a:round/>
            </a:ln>
            <a:effectLst/>
          </c:spPr>
          <c:marker>
            <c:symbol val="none"/>
          </c:marker>
          <c:dLbls>
            <c:delete val="1"/>
          </c:dLbls>
          <c:cat>
            <c:multiLvlStrRef>
              <c:f>[2020年公报图表..xlsx]Sheet1!$A$72:$B$77</c:f>
              <c:multiLvlStrCache>
                <c:ptCount val="6"/>
                <c:lvl>
                  <c:pt idx="1">
                    <c:v>2016年</c:v>
                  </c:pt>
                  <c:pt idx="2">
                    <c:v>2017年</c:v>
                  </c:pt>
                  <c:pt idx="3">
                    <c:v>2018年</c:v>
                  </c:pt>
                  <c:pt idx="4">
                    <c:v>2019年</c:v>
                  </c:pt>
                  <c:pt idx="5">
                    <c:v>2020年</c:v>
                  </c:pt>
                </c:lvl>
                <c:lvl>
                  <c:pt idx="0">
                    <c:v>固定资产投资增速（%）</c:v>
                  </c:pt>
                </c:lvl>
              </c:multiLvlStrCache>
            </c:multiLvlStrRef>
          </c:cat>
          <c:val>
            <c:numRef>
              <c:f>[2020年公报图表..xlsx]Sheet1!$E$72:$E$77</c:f>
              <c:numCache>
                <c:formatCode>General</c:formatCode>
                <c:ptCount val="6"/>
              </c:numCache>
            </c:numRef>
          </c:val>
          <c:smooth val="0"/>
        </c:ser>
        <c:dLbls>
          <c:showLegendKey val="0"/>
          <c:showVal val="0"/>
          <c:showCatName val="0"/>
          <c:showSerName val="0"/>
          <c:showPercent val="0"/>
          <c:showBubbleSize val="0"/>
        </c:dLbls>
        <c:marker val="0"/>
        <c:smooth val="0"/>
        <c:axId val="781638882"/>
        <c:axId val="762502968"/>
      </c:lineChart>
      <c:catAx>
        <c:axId val="78163888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2502968"/>
        <c:crosses val="autoZero"/>
        <c:auto val="1"/>
        <c:lblAlgn val="ctr"/>
        <c:lblOffset val="100"/>
        <c:noMultiLvlLbl val="0"/>
      </c:catAx>
      <c:valAx>
        <c:axId val="762502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63888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[2020年公报图表..xlsx]Sheet1!$B$272</c:f>
              <c:strCache>
                <c:ptCount val="1"/>
                <c:pt idx="0">
                  <c:v>增速（%）</c:v>
                </c:pt>
              </c:strCache>
            </c:strRef>
          </c:tx>
          <c:spPr>
            <a:ln w="28575" cap="rnd">
              <a:solidFill>
                <a:schemeClr val="accent1"/>
              </a:solidFill>
              <a:round/>
            </a:ln>
            <a:effectLst/>
          </c:spPr>
          <c:marker>
            <c:symbol val="none"/>
          </c:marker>
          <c:dLbls>
            <c:dLbl>
              <c:idx val="0"/>
              <c:layout>
                <c:manualLayout>
                  <c:x val="-0.0270720533111204"/>
                  <c:y val="0.077361935189411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36012772455921"/>
                  <c:y val="0.089228662711090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41441066222407"/>
                  <c:y val="-0.05362848014605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45772594752187"/>
                  <c:y val="-0.014833409402099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[2020年公报图表..xlsx]Sheet1!$C$271:$G$271</c:f>
              <c:strCache>
                <c:ptCount val="5"/>
                <c:pt idx="0">
                  <c:v>2016年</c:v>
                </c:pt>
                <c:pt idx="1">
                  <c:v>2017年</c:v>
                </c:pt>
                <c:pt idx="2">
                  <c:v>2018年</c:v>
                </c:pt>
                <c:pt idx="3">
                  <c:v>2019年</c:v>
                </c:pt>
                <c:pt idx="4">
                  <c:v>2020年</c:v>
                </c:pt>
              </c:strCache>
            </c:strRef>
          </c:cat>
          <c:val>
            <c:numRef>
              <c:f>[2020年公报图表..xlsx]Sheet1!$C$272:$G$272</c:f>
              <c:numCache>
                <c:formatCode>General</c:formatCode>
                <c:ptCount val="5"/>
                <c:pt idx="0">
                  <c:v>7.7</c:v>
                </c:pt>
                <c:pt idx="1">
                  <c:v>8.7</c:v>
                </c:pt>
                <c:pt idx="2">
                  <c:v>7.8</c:v>
                </c:pt>
                <c:pt idx="3" c:formatCode="0.0_ ">
                  <c:v>7</c:v>
                </c:pt>
                <c:pt idx="4">
                  <c:v>-6.9</c:v>
                </c:pt>
              </c:numCache>
            </c:numRef>
          </c:val>
          <c:smooth val="0"/>
        </c:ser>
        <c:dLbls>
          <c:showLegendKey val="0"/>
          <c:showVal val="1"/>
          <c:showCatName val="0"/>
          <c:showSerName val="0"/>
          <c:showPercent val="0"/>
          <c:showBubbleSize val="0"/>
        </c:dLbls>
        <c:marker val="0"/>
        <c:smooth val="0"/>
        <c:axId val="653626095"/>
        <c:axId val="328648645"/>
      </c:lineChart>
      <c:catAx>
        <c:axId val="6536260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648645"/>
        <c:crosses val="autoZero"/>
        <c:auto val="1"/>
        <c:lblAlgn val="ctr"/>
        <c:lblOffset val="100"/>
        <c:noMultiLvlLbl val="0"/>
      </c:catAx>
      <c:valAx>
        <c:axId val="32864864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36260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109774236387782"/>
          <c:y val="0.0509259259259259"/>
          <c:w val="0.814714475431607"/>
          <c:h val="0.731805555555556"/>
        </c:manualLayout>
      </c:layout>
      <c:barChart>
        <c:barDir val="col"/>
        <c:grouping val="clustered"/>
        <c:varyColors val="0"/>
        <c:ser>
          <c:idx val="0"/>
          <c:order val="0"/>
          <c:tx>
            <c:strRef>
              <c:f>[2019年公报图表..xlsx]Sheet1!$A$159</c:f>
              <c:strCache>
                <c:ptCount val="1"/>
                <c:pt idx="0">
                  <c:v>一般公共预算收入（万元）</c:v>
                </c:pt>
              </c:strCache>
            </c:strRef>
          </c:tx>
          <c:spPr>
            <a:gradFill rotWithShape="1">
              <a:gsLst>
                <a:gs pos="0">
                  <a:schemeClr val="accent1">
                    <a:shade val="76667"/>
                    <a:tint val="50000"/>
                    <a:satMod val="300000"/>
                  </a:schemeClr>
                </a:gs>
                <a:gs pos="35000">
                  <a:schemeClr val="accent1">
                    <a:shade val="76667"/>
                    <a:tint val="37000"/>
                    <a:satMod val="300000"/>
                  </a:schemeClr>
                </a:gs>
                <a:gs pos="100000">
                  <a:schemeClr val="accent1">
                    <a:shade val="76667"/>
                    <a:tint val="15000"/>
                    <a:satMod val="350000"/>
                  </a:schemeClr>
                </a:gs>
              </a:gsLst>
              <a:lin ang="16200000" scaled="1"/>
            </a:gradFill>
            <a:ln w="9525" cap="flat" cmpd="sng" algn="ctr">
              <a:solidFill>
                <a:schemeClr val="accent1">
                  <a:shade val="76667"/>
                  <a:shade val="95000"/>
                </a:schemeClr>
              </a:solidFill>
              <a:round/>
            </a:ln>
            <a:effectLst>
              <a:outerShdw blurRad="40000" dist="20000" dir="5400000" rotWithShape="0">
                <a:srgbClr val="000000">
                  <a:alpha val="38000"/>
                </a:srgbClr>
              </a:outerShdw>
            </a:effectLst>
          </c:spPr>
          <c:invertIfNegative val="0"/>
          <c:dLbls>
            <c:dLbl>
              <c:idx val="1"/>
              <c:layout>
                <c:manualLayout>
                  <c:x val="-0.00131419328750505"/>
                  <c:y val="0.032838648563309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3725923586990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919935301253538"/>
                  <c:y val="0.016419324281654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31419328750505"/>
                  <c:y val="0.024628986422481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[2019年公报图表..xlsx]Sheet1!$B$158:$F$158</c:f>
              <c:strCache>
                <c:ptCount val="5"/>
                <c:pt idx="0">
                  <c:v>2016年</c:v>
                </c:pt>
                <c:pt idx="1">
                  <c:v>2017年</c:v>
                </c:pt>
                <c:pt idx="2">
                  <c:v>2018年</c:v>
                </c:pt>
                <c:pt idx="3">
                  <c:v>2019年</c:v>
                </c:pt>
                <c:pt idx="4">
                  <c:v>2020年</c:v>
                </c:pt>
              </c:strCache>
            </c:strRef>
          </c:cat>
          <c:val>
            <c:numRef>
              <c:f>[2019年公报图表..xlsx]Sheet1!$B$159:$F$159</c:f>
              <c:numCache>
                <c:formatCode>General</c:formatCode>
                <c:ptCount val="5"/>
                <c:pt idx="0">
                  <c:v>229519</c:v>
                </c:pt>
                <c:pt idx="1">
                  <c:v>241202</c:v>
                </c:pt>
                <c:pt idx="2">
                  <c:v>252645</c:v>
                </c:pt>
                <c:pt idx="3">
                  <c:v>232521</c:v>
                </c:pt>
                <c:pt idx="4">
                  <c:v>208936</c:v>
                </c:pt>
              </c:numCache>
            </c:numRef>
          </c:val>
        </c:ser>
        <c:dLbls>
          <c:showLegendKey val="0"/>
          <c:showVal val="1"/>
          <c:showCatName val="0"/>
          <c:showSerName val="0"/>
          <c:showPercent val="0"/>
          <c:showBubbleSize val="0"/>
        </c:dLbls>
        <c:gapWidth val="219"/>
        <c:overlap val="-27"/>
        <c:axId val="78640020"/>
        <c:axId val="58688987"/>
      </c:barChart>
      <c:lineChart>
        <c:grouping val="standard"/>
        <c:varyColors val="0"/>
        <c:ser>
          <c:idx val="1"/>
          <c:order val="1"/>
          <c:tx>
            <c:strRef>
              <c:f>[2019年公报图表..xlsx]Sheet1!$A$160</c:f>
              <c:strCache>
                <c:ptCount val="1"/>
                <c:pt idx="0">
                  <c:v>增速</c:v>
                </c:pt>
              </c:strCache>
            </c:strRef>
          </c:tx>
          <c:spPr>
            <a:ln w="15875" cap="rnd">
              <a:solidFill>
                <a:schemeClr val="accent1">
                  <a:tint val="76667"/>
                </a:schemeClr>
              </a:solidFill>
              <a:round/>
            </a:ln>
            <a:effectLst>
              <a:outerShdw blurRad="40000" dist="20000" dir="5400000" rotWithShape="0">
                <a:srgbClr val="000000">
                  <a:alpha val="38000"/>
                </a:srgbClr>
              </a:outerShdw>
            </a:effectLst>
          </c:spPr>
          <c:marker>
            <c:symbol val="none"/>
          </c:marker>
          <c:dLbls>
            <c:dLbl>
              <c:idx val="0"/>
              <c:layout>
                <c:manualLayout>
                  <c:x val="9.19999136088599e-5"/>
                  <c:y val="0.094527923438872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2342262282595"/>
                  <c:y val="-0.035752118644067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761711311412974"/>
                  <c:y val="-0.011917372881355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50132796394792"/>
                  <c:y val="-0.01112313222158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798625151637687"/>
                  <c:y val="-0.024944742658667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tx1">
                          <a:lumMod val="35000"/>
                          <a:lumOff val="65000"/>
                        </a:schemeClr>
                      </a:solidFill>
                    </a:ln>
                    <a:effectLst/>
                  </c:spPr>
                </c15:leaderLines>
              </c:ext>
            </c:extLst>
          </c:dLbls>
          <c:cat>
            <c:strRef>
              <c:f>[2019年公报图表..xlsx]Sheet1!$B$158:$F$158</c:f>
              <c:strCache>
                <c:ptCount val="5"/>
                <c:pt idx="0">
                  <c:v>2016年</c:v>
                </c:pt>
                <c:pt idx="1">
                  <c:v>2017年</c:v>
                </c:pt>
                <c:pt idx="2">
                  <c:v>2018年</c:v>
                </c:pt>
                <c:pt idx="3">
                  <c:v>2019年</c:v>
                </c:pt>
                <c:pt idx="4">
                  <c:v>2020年</c:v>
                </c:pt>
              </c:strCache>
            </c:strRef>
          </c:cat>
          <c:val>
            <c:numRef>
              <c:f>[2019年公报图表..xlsx]Sheet1!$B$160:$F$160</c:f>
              <c:numCache>
                <c:formatCode>General</c:formatCode>
                <c:ptCount val="5"/>
                <c:pt idx="0">
                  <c:v>30.4</c:v>
                </c:pt>
                <c:pt idx="1">
                  <c:v>5.1</c:v>
                </c:pt>
                <c:pt idx="2">
                  <c:v>4.7</c:v>
                </c:pt>
                <c:pt idx="3" c:formatCode="0.0_ ">
                  <c:v>-7.97</c:v>
                </c:pt>
                <c:pt idx="4" c:formatCode="0.0_ ">
                  <c:v>-10.1</c:v>
                </c:pt>
              </c:numCache>
            </c:numRef>
          </c:val>
          <c:smooth val="1"/>
        </c:ser>
        <c:dLbls>
          <c:showLegendKey val="0"/>
          <c:showVal val="1"/>
          <c:showCatName val="0"/>
          <c:showSerName val="0"/>
          <c:showPercent val="0"/>
          <c:showBubbleSize val="0"/>
        </c:dLbls>
        <c:marker val="0"/>
        <c:smooth val="1"/>
        <c:axId val="941684175"/>
        <c:axId val="903728190"/>
      </c:lineChart>
      <c:catAx>
        <c:axId val="786400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58688987"/>
        <c:crosses val="autoZero"/>
        <c:auto val="1"/>
        <c:lblAlgn val="ctr"/>
        <c:lblOffset val="100"/>
        <c:noMultiLvlLbl val="0"/>
      </c:catAx>
      <c:valAx>
        <c:axId val="586889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78640020"/>
        <c:crosses val="autoZero"/>
        <c:crossBetween val="between"/>
      </c:valAx>
      <c:catAx>
        <c:axId val="941684175"/>
        <c:scaling>
          <c:orientation val="minMax"/>
        </c:scaling>
        <c:delete val="1"/>
        <c:axPos val="b"/>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903728190"/>
        <c:crosses val="autoZero"/>
        <c:auto val="1"/>
        <c:lblAlgn val="ctr"/>
        <c:lblOffset val="100"/>
        <c:noMultiLvlLbl val="0"/>
      </c:catAx>
      <c:valAx>
        <c:axId val="903728190"/>
        <c:scaling>
          <c:orientation val="minMax"/>
        </c:scaling>
        <c:delete val="0"/>
        <c:axPos val="r"/>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941684175"/>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[2020年公报图表..xlsx]Sheet1!$I$201</c:f>
              <c:strCache>
                <c:ptCount val="1"/>
                <c:pt idx="0">
                  <c:v>2016-2020年年末卫生技术人员人数(人）</c:v>
                </c:pt>
              </c:strCache>
            </c:strRef>
          </c:tx>
          <c:spPr>
            <a:solidFill>
              <a:schemeClr val="tx2">
                <a:lumMod val="40000"/>
                <a:lumOff val="60000"/>
              </a:schemeClr>
            </a:solidFill>
            <a:ln w="9525" cap="flat" cmpd="sng" algn="ctr">
              <a:gradFill>
                <a:gsLst>
                  <a:gs pos="0">
                    <a:schemeClr val="accent1">
                      <a:lumMod val="5000"/>
                      <a:lumOff val="95000"/>
                    </a:schemeClr>
                  </a:gs>
                  <a:gs pos="74000">
                    <a:schemeClr val="accent1">
                      <a:lumMod val="45000"/>
                      <a:lumOff val="55000"/>
                    </a:schemeClr>
                  </a:gs>
                  <a:gs pos="89000">
                    <a:schemeClr val="accent1">
                      <a:lumMod val="45000"/>
                      <a:lumOff val="55000"/>
                    </a:schemeClr>
                  </a:gs>
                  <a:gs pos="100000">
                    <a:schemeClr val="accent1">
                      <a:lumMod val="30000"/>
                      <a:lumOff val="70000"/>
                    </a:schemeClr>
                  </a:gs>
                </a:gsLst>
                <a:lin ang="5400000" scaled="1"/>
              </a:gra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[2020年公报图表..xlsx]Sheet1!$H$202:$H$206</c:f>
              <c:strCache>
                <c:ptCount val="5"/>
                <c:pt idx="0">
                  <c:v>2016年</c:v>
                </c:pt>
                <c:pt idx="1">
                  <c:v>2017年</c:v>
                </c:pt>
                <c:pt idx="2">
                  <c:v>2018年</c:v>
                </c:pt>
                <c:pt idx="3">
                  <c:v>2019年</c:v>
                </c:pt>
                <c:pt idx="4">
                  <c:v>2020年</c:v>
                </c:pt>
              </c:strCache>
            </c:strRef>
          </c:cat>
          <c:val>
            <c:numRef>
              <c:f>[2020年公报图表..xlsx]Sheet1!$I$202:$I$206</c:f>
              <c:numCache>
                <c:formatCode>General</c:formatCode>
                <c:ptCount val="5"/>
                <c:pt idx="0">
                  <c:v>644</c:v>
                </c:pt>
                <c:pt idx="1">
                  <c:v>655</c:v>
                </c:pt>
                <c:pt idx="2">
                  <c:v>754</c:v>
                </c:pt>
                <c:pt idx="3">
                  <c:v>768</c:v>
                </c:pt>
                <c:pt idx="4">
                  <c:v>812</c:v>
                </c:pt>
              </c:numCache>
            </c:numRef>
          </c:val>
        </c:ser>
        <c:dLbls>
          <c:showLegendKey val="0"/>
          <c:showVal val="1"/>
          <c:showCatName val="0"/>
          <c:showSerName val="0"/>
          <c:showPercent val="0"/>
          <c:showBubbleSize val="0"/>
        </c:dLbls>
        <c:gapWidth val="180"/>
        <c:overlap val="-24"/>
        <c:axId val="119242355"/>
        <c:axId val="637577842"/>
      </c:barChart>
      <c:catAx>
        <c:axId val="1192423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637577842"/>
        <c:crosses val="autoZero"/>
        <c:auto val="1"/>
        <c:lblAlgn val="ctr"/>
        <c:lblOffset val="100"/>
        <c:noMultiLvlLbl val="0"/>
      </c:catAx>
      <c:valAx>
        <c:axId val="6375778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1192423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[2020年公报图表..xlsx]Sheet1!$S$172</c:f>
              <c:strCache>
                <c:ptCount val="1"/>
                <c:pt idx="0">
                  <c:v>人均可支配收入</c:v>
                </c:pt>
              </c:strCache>
            </c:strRef>
          </c:tx>
          <c:spPr>
            <a:solidFill>
              <a:schemeClr val="tx2">
                <a:lumMod val="40000"/>
                <a:lumOff val="60000"/>
              </a:schemeClr>
            </a:solidFill>
            <a:ln w="9525" cap="flat" cmpd="sng" algn="ctr">
              <a:gradFill>
                <a:gsLst>
                  <a:gs pos="0">
                    <a:schemeClr val="accent1">
                      <a:lumMod val="5000"/>
                      <a:lumOff val="95000"/>
                    </a:schemeClr>
                  </a:gs>
                  <a:gs pos="17000">
                    <a:schemeClr val="accent1">
                      <a:lumMod val="45000"/>
                      <a:lumOff val="55000"/>
                    </a:schemeClr>
                  </a:gs>
                  <a:gs pos="46000">
                    <a:srgbClr val="D3E0EF"/>
                  </a:gs>
                  <a:gs pos="66000">
                    <a:schemeClr val="accent1">
                      <a:lumMod val="45000"/>
                      <a:lumOff val="55000"/>
                    </a:schemeClr>
                  </a:gs>
                  <a:gs pos="98000">
                    <a:schemeClr val="accent1">
                      <a:lumMod val="30000"/>
                      <a:lumOff val="70000"/>
                    </a:schemeClr>
                  </a:gs>
                </a:gsLst>
                <a:lin ang="5400000" scaled="1"/>
              </a:gradFill>
              <a:round/>
            </a:ln>
            <a:effectLst>
              <a:outerShdw blurRad="40000" dist="20000" dir="5400000" rotWithShape="0">
                <a:srgbClr val="000000">
                  <a:alpha val="38000"/>
                </a:srgb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[2020年公报图表..xlsx]Sheet1!$R$173:$R$177</c:f>
              <c:strCache>
                <c:ptCount val="5"/>
                <c:pt idx="0">
                  <c:v>2016年</c:v>
                </c:pt>
                <c:pt idx="1">
                  <c:v>2017年</c:v>
                </c:pt>
                <c:pt idx="2">
                  <c:v>2018年</c:v>
                </c:pt>
                <c:pt idx="3">
                  <c:v>2019年</c:v>
                </c:pt>
                <c:pt idx="4">
                  <c:v>2020年</c:v>
                </c:pt>
              </c:strCache>
            </c:strRef>
          </c:cat>
          <c:val>
            <c:numRef>
              <c:f>[2020年公报图表..xlsx]Sheet1!$S$173:$S$177</c:f>
              <c:numCache>
                <c:formatCode>General</c:formatCode>
                <c:ptCount val="5"/>
                <c:pt idx="0">
                  <c:v>32825</c:v>
                </c:pt>
                <c:pt idx="1">
                  <c:v>35799</c:v>
                </c:pt>
                <c:pt idx="2">
                  <c:v>38978</c:v>
                </c:pt>
                <c:pt idx="3">
                  <c:v>42245</c:v>
                </c:pt>
                <c:pt idx="4">
                  <c:v>44032</c:v>
                </c:pt>
              </c:numCache>
            </c:numRef>
          </c:val>
        </c:ser>
        <c:dLbls>
          <c:showLegendKey val="0"/>
          <c:showVal val="1"/>
          <c:showCatName val="0"/>
          <c:showSerName val="0"/>
          <c:showPercent val="0"/>
          <c:showBubbleSize val="0"/>
        </c:dLbls>
        <c:gapWidth val="180"/>
        <c:overlap val="-24"/>
        <c:axId val="453394780"/>
        <c:axId val="923011998"/>
      </c:barChart>
      <c:catAx>
        <c:axId val="45339478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923011998"/>
        <c:crosses val="autoZero"/>
        <c:auto val="1"/>
        <c:lblAlgn val="ctr"/>
        <c:lblOffset val="100"/>
        <c:noMultiLvlLbl val="0"/>
      </c:catAx>
      <c:valAx>
        <c:axId val="92301199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crossAx val="453394780"/>
        <c:crosses val="autoZero"/>
        <c:crossBetween val="between"/>
      </c:valAx>
      <c:spPr>
        <a:noFill/>
        <a:ln>
          <a:noFill/>
        </a:ln>
        <a:effectLst/>
      </c:spPr>
    </c:plotArea>
    <c:plotVisOnly val="1"/>
    <c:dispBlanksAs val="gap"/>
    <c:showDLblsOverMax val="0"/>
  </c:chart>
  <c:spPr>
    <a:solidFill>
      <a:schemeClr val="bg1"/>
    </a:solidFill>
    <a:ln w="9525" cap="flat" cmpd="sng" algn="ctr">
      <a:gradFill>
        <a:gsLst>
          <a:gs pos="0">
            <a:schemeClr val="accent1">
              <a:lumMod val="5000"/>
              <a:lumOff val="95000"/>
            </a:schemeClr>
          </a:gs>
          <a:gs pos="22000">
            <a:schemeClr val="accent1">
              <a:lumMod val="45000"/>
              <a:lumOff val="55000"/>
            </a:schemeClr>
          </a:gs>
          <a:gs pos="46000">
            <a:srgbClr val="D3E0EF">
              <a:alpha val="100000"/>
            </a:srgbClr>
          </a:gs>
          <a:gs pos="66000">
            <a:schemeClr val="accent1">
              <a:lumMod val="45000"/>
              <a:lumOff val="55000"/>
            </a:schemeClr>
          </a:gs>
          <a:gs pos="98000">
            <a:schemeClr val="accent1">
              <a:lumMod val="30000"/>
              <a:lumOff val="70000"/>
            </a:schemeClr>
          </a:gs>
        </a:gsLst>
        <a:lin ang="5400000" scaled="1"/>
      </a:gra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2021-01-22T08:36:00Z</dcterms:created>
  <dc:creator>哆啦再也没有时光机</dc:creator>
  <cp:lastModifiedBy>陈绮雯</cp:lastModifiedBy>
  <cp:lastPrinted>2021-05-18T00:55:00Z</cp:lastPrinted>
  <dcterms:modified xsi:type="dcterms:W3CDTF">2021-05-19T04:06:39Z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SaveFontToCloudKey">
    <vt:lpwstr>298247698_cloud</vt:lpwstr>
  </property>
  <property fmtid="{D5CDD505-2E9C-101B-9397-08002B2CF9AE}" pid="4" name="ICV">
    <vt:lpwstr>0A3E3111CA904B979D5DEC52A5274758</vt:lpwstr>
  </property>
</Properties>
</file>