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-210" w:rightChars="-1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spacing w:line="560" w:lineRule="exact"/>
        <w:ind w:right="-210" w:rightChars="-1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《大鹏新区应急工程管理办法》起草说明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为规范大鹏新区应急工程认定、发包、建设、监督和管理工作，根据《深圳市人民政府关于印发深圳市特殊工程认定和发包办法的通知》（深府〔2012〕46号）及相关法律、法规、规章和上位规范性文件，结合新区实际，我局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重新起草</w:t>
      </w:r>
      <w:r>
        <w:rPr>
          <w:rFonts w:hint="eastAsia" w:ascii="仿宋_GB2312" w:eastAsia="仿宋_GB2312"/>
          <w:color w:val="auto"/>
          <w:sz w:val="32"/>
          <w:szCs w:val="32"/>
        </w:rPr>
        <w:t>了《大鹏新区应急工程管理办法》（以下简称《管理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color w:val="auto"/>
          <w:sz w:val="32"/>
          <w:szCs w:val="32"/>
        </w:rPr>
        <w:t>》）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现将有关情况说明如下：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一、起草背景和政策依据</w:t>
      </w:r>
    </w:p>
    <w:p>
      <w:p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（一）文件起草背景。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新区于201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日印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发《大鹏新区应急工程管理办法》</w:t>
      </w:r>
      <w:r>
        <w:rPr>
          <w:rFonts w:hint="eastAsia" w:ascii="仿宋_GB2312" w:eastAsia="仿宋_GB2312"/>
          <w:color w:val="auto"/>
          <w:sz w:val="32"/>
          <w:szCs w:val="32"/>
        </w:rPr>
        <w:t>（深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鹏办规</w:t>
      </w:r>
      <w:r>
        <w:rPr>
          <w:rFonts w:hint="eastAsia" w:ascii="仿宋_GB2312" w:eastAsia="仿宋_GB2312"/>
          <w:color w:val="auto"/>
          <w:sz w:val="32"/>
          <w:szCs w:val="32"/>
        </w:rPr>
        <w:t>〔201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以下简称“原管理办法”</w:t>
      </w:r>
      <w:r>
        <w:rPr>
          <w:rFonts w:hint="eastAsia" w:ascii="仿宋_GB2312" w:eastAsia="仿宋_GB2312"/>
          <w:color w:val="auto"/>
          <w:sz w:val="32"/>
          <w:szCs w:val="32"/>
        </w:rPr>
        <w:t>）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已于2020年6月8日过期失效。同时，原管理办法</w:t>
      </w:r>
      <w:r>
        <w:rPr>
          <w:rFonts w:hint="eastAsia" w:ascii="仿宋_GB2312" w:eastAsia="仿宋_GB2312"/>
          <w:color w:val="auto"/>
          <w:sz w:val="32"/>
          <w:szCs w:val="32"/>
        </w:rPr>
        <w:t>中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应急工程发包方式</w:t>
      </w:r>
      <w:r>
        <w:rPr>
          <w:rFonts w:hint="eastAsia" w:ascii="仿宋_GB2312" w:eastAsia="仿宋_GB2312"/>
          <w:color w:val="auto"/>
          <w:sz w:val="32"/>
          <w:szCs w:val="32"/>
        </w:rPr>
        <w:t>与现行规章制度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要求不符。为进一步规范大鹏新区应急工程认定、发包、建设、监督和管理工作，我局重新起草了</w:t>
      </w:r>
      <w:r>
        <w:rPr>
          <w:rFonts w:hint="eastAsia" w:ascii="仿宋_GB2312" w:eastAsia="仿宋_GB2312"/>
          <w:color w:val="auto"/>
          <w:sz w:val="32"/>
          <w:szCs w:val="32"/>
        </w:rPr>
        <w:t>《管理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办法</w:t>
      </w:r>
      <w:r>
        <w:rPr>
          <w:rFonts w:hint="eastAsia" w:ascii="仿宋_GB2312" w:eastAsia="仿宋_GB2312"/>
          <w:color w:val="auto"/>
          <w:sz w:val="32"/>
          <w:szCs w:val="32"/>
        </w:rPr>
        <w:t>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_GB2312" w:hAnsi="楷体_GB2312" w:eastAsia="楷体_GB2312" w:cs="楷体_GB2312"/>
          <w:bCs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起草政策依据。</w:t>
      </w:r>
    </w:p>
    <w:p>
      <w:pPr>
        <w:spacing w:line="560" w:lineRule="exact"/>
        <w:ind w:firstLine="640" w:firstLineChars="200"/>
        <w:rPr>
          <w:rFonts w:hint="eastAsia" w:ascii="仿宋_GB2312" w:hAnsi="黑体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我局结合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必须招标的工程项目规定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》（中华人民共和国国家发展和改革委员会令第16号）、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《深圳市特殊工程认定和发包办法》（深府〔2012〕46号）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大鹏新区政府投资工程管理办法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》（深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鹏办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规〔201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〕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号）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、《深圳市大鹏新区小型建设工程资金管理暂行办法》（深鹏发财规〔2018〕4号）、《大鹏新区小型建设工程发包管理办法》（深鹏住建规〔2020〕1号）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等有关规定，重新起草了《</w:t>
      </w:r>
      <w:r>
        <w:rPr>
          <w:rFonts w:hint="eastAsia" w:ascii="仿宋_GB2312" w:eastAsia="仿宋_GB2312"/>
          <w:color w:val="auto"/>
          <w:sz w:val="32"/>
          <w:szCs w:val="32"/>
        </w:rPr>
        <w:t>管理办法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二、起草过程</w:t>
      </w:r>
    </w:p>
    <w:p>
      <w:pPr>
        <w:spacing w:line="56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2020年伊始，我局就着手重新起草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2020年5月25日，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我局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形成了征求意见稿，并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向新区政法办公室、发展和财政局、教育和卫生健康局、科技创新和经济服务局、水务局、文化广电旅游体育局、应急管理局、城市管理和综合执法局、政务服务数据管理局、城市更新和土地整备局、规划土地监察局、机关事务管理中心、建筑工务署、坝光开发署、各办事处、市生态环境局大鹏管理局、市规划和自然资源局大鹏管理局、市交通运输局大鹏管理局、市公安局大鹏分局、新区医疗健康集团、投资控股有限公司、大鹏供电局、人才安居有限公司、坝光开发建设运营管理有限公司共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24</w:t>
      </w:r>
      <w:r>
        <w:rPr>
          <w:rFonts w:ascii="仿宋_GB2312" w:hAnsi="宋体" w:eastAsia="仿宋_GB2312"/>
          <w:color w:val="auto"/>
          <w:sz w:val="32"/>
          <w:szCs w:val="32"/>
        </w:rPr>
        <w:t>家单位征求意见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共收到11条修改意见，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现已结合各单位意见修改完善</w:t>
      </w:r>
      <w:r>
        <w:rPr>
          <w:rFonts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三、主要内容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《管理办法》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共分八章二十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条，对新区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工程的认定、发包、实施、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经费支付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及监督等活动予以明确。</w:t>
      </w:r>
    </w:p>
    <w:p>
      <w:pPr>
        <w:spacing w:line="560" w:lineRule="exact"/>
        <w:ind w:firstLine="640"/>
        <w:rPr>
          <w:rFonts w:hint="eastAsia" w:ascii="楷体_GB2312" w:hAnsi="宋体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（一）规范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认定范围</w:t>
      </w:r>
      <w:r>
        <w:rPr>
          <w:rFonts w:hint="eastAsia" w:ascii="楷体_GB2312" w:hAnsi="宋体" w:eastAsia="楷体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为解决新区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工程范围模糊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难以界定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的问题，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《深圳市特殊工程认定和发包办法》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结合新区实际，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《管理办法》第二章对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认定范围和不得认定的情形进行了明确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认定范围按照《深圳市特殊工程认定和发包办法》第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条规定执行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不得认定的情形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包括：（1）已列入政府投资项目计划，按正常建设程序可以按时竣工的工程；（2）房地产开发建设项目；（3）已开工建设或已完工的建设工程；（4）因建设单位计划不周密、前期工作不主动、不落实等人为因素造成时间紧张、工期延误的工程；（5）PPP项目等其它不属于应急工程的建设工程。</w:t>
      </w:r>
    </w:p>
    <w:p>
      <w:pPr>
        <w:spacing w:line="560" w:lineRule="exact"/>
        <w:ind w:firstLine="640"/>
        <w:rPr>
          <w:rFonts w:hint="default" w:ascii="楷体_GB2312" w:hAnsi="宋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（二）简化应急工程认定程序。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为简化认定程序，工程估算价在400万元以下的应急工程，由新区建设行政主管部门审核后直接出具认定意见，认定程序为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单位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申请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-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主管部门审核-主管部门认定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；工程估算价在400万元（含）以上且1000万元以下的，认定程序为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建设单位申请-主管部门审核-主管部门建议-新区分管领导审定或召开会议议定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；工程估算价在1000万元（含）以上的，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认定程序为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单位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申请-主管部门建议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</w:rPr>
        <w:t>-</w:t>
      </w:r>
      <w:r>
        <w:rPr>
          <w:rFonts w:hint="eastAsia" w:ascii="仿宋_GB2312" w:hAnsi="宋体" w:eastAsia="仿宋_GB2312"/>
          <w:b/>
          <w:bCs/>
          <w:color w:val="auto"/>
          <w:sz w:val="32"/>
          <w:szCs w:val="32"/>
          <w:lang w:val="en-US" w:eastAsia="zh-CN"/>
        </w:rPr>
        <w:t>新区分管领导审核-新区常务会议议定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/>
        <w:rPr>
          <w:rFonts w:hint="eastAsia" w:ascii="楷体_GB2312" w:hAnsi="宋体" w:eastAsia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）完善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应急工程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发包制度</w:t>
      </w:r>
      <w:r>
        <w:rPr>
          <w:rFonts w:hint="eastAsia" w:ascii="楷体_GB2312" w:hAnsi="宋体" w:eastAsia="楷体_GB2312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根据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《深圳市特殊工程认定和发包办法》（深府〔2012〕46号）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《大鹏新区小型建设工程发包管理办法》（深鹏住建规〔2020〕1号）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对发包制度进行完善。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《管理办法》第三章规定了单项合同估算价在400万元以下的施工发包及100万元以下的服务类发包，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发包；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单项合同估算价在400万元以上的施工发包及100万元以上的服务类发包，依法进行公开招标。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同时明确规定，如国家、省、市对必须公开招标限额另有规定的，按相关规定执行。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明确应急工程经费拨付等规定。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明确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了经费来源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资金支付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方式、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投资控制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以及资金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追偿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的规定。关于资金追偿，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十二条规定，因责任事故引发的应急工程，所需资金由财政性资金垫付的，建设单位应当依法向事故责任单位或者责任人追偿。</w:t>
      </w:r>
    </w:p>
    <w:p>
      <w:pPr>
        <w:spacing w:line="560" w:lineRule="exact"/>
        <w:ind w:firstLine="640" w:firstLineChars="200"/>
        <w:rPr>
          <w:rFonts w:hint="default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（五）加强应急工程过程管理。</w:t>
      </w:r>
    </w:p>
    <w:p>
      <w:pPr>
        <w:spacing w:line="560" w:lineRule="exact"/>
        <w:ind w:firstLine="640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对应急工程的前期工作内容进行了分类说明，对开工手续进行了明确，对施工过程的质量安全管理、档案资料管理进行了强调，并对工程完工后的竣工验收、结决算、评价等工作总体时限进行了规定。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）强化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监督管理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和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责任追究。</w:t>
      </w:r>
    </w:p>
    <w:p>
      <w:pPr>
        <w:spacing w:line="560" w:lineRule="exact"/>
        <w:ind w:firstLine="640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《管理办法》第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章明确了新区发改、建设、审计等相关行政管理部门应当依职责加强应急工程监督管理，依法依规从严查处应急工程发包和建设中的违法违规行为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新区建设行政主管部门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无正当理由未能实施或拒绝实施应急工程的承包商进行处理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建设单位对承包商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履约行为进行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评价。对于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应急工程认定、发包或建设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过程中发现的滥用职权、徇私舞弊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弄虚作假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等涉嫌违法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违规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违纪行为，依法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追究责任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四、主要特点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（一）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定义清晰明确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的认定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范围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楷体_GB2312" w:hAnsi="宋体" w:eastAsia="楷体_GB2312"/>
          <w:color w:val="auto"/>
          <w:sz w:val="32"/>
          <w:szCs w:val="32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根据《深圳市特殊工程认定和发包办法》，结合新区实际，明确了应急工程认定范围和不得认定的情形，使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新区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应急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工程范围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清晰</w:t>
      </w:r>
      <w:r>
        <w:rPr>
          <w:rFonts w:hint="eastAsia" w:ascii="仿宋_GB2312" w:hAnsi="宋体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  <w:t>容易界定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/>
        <w:rPr>
          <w:rFonts w:ascii="楷体_GB2312" w:hAnsi="宋体" w:eastAsia="楷体_GB2312"/>
          <w:color w:val="auto"/>
          <w:sz w:val="32"/>
          <w:szCs w:val="32"/>
        </w:rPr>
      </w:pPr>
      <w:r>
        <w:rPr>
          <w:rFonts w:hint="eastAsia" w:ascii="楷体_GB2312" w:hAnsi="宋体" w:eastAsia="楷体_GB2312"/>
          <w:color w:val="auto"/>
          <w:sz w:val="32"/>
          <w:szCs w:val="32"/>
        </w:rPr>
        <w:t>（</w:t>
      </w: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宋体" w:eastAsia="楷体_GB2312"/>
          <w:color w:val="auto"/>
          <w:sz w:val="32"/>
          <w:szCs w:val="32"/>
        </w:rPr>
        <w:t>）建立高效稳定的认定机制。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</w:rPr>
        <w:t>在《</w:t>
      </w:r>
      <w:r>
        <w:rPr>
          <w:rFonts w:hint="eastAsia" w:ascii="仿宋_GB2312" w:hAnsi="宋体" w:eastAsia="仿宋_GB2312"/>
          <w:color w:val="auto"/>
          <w:sz w:val="32"/>
          <w:szCs w:val="32"/>
        </w:rPr>
        <w:t>深圳市特殊工程认定和发包办法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》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规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定的基础上，结合新区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实际，将应急工程按照估算价分类设定认定程序，实现小工程直接认定、大工程新区相关会议议定，并将</w:t>
      </w:r>
      <w:r>
        <w:rPr>
          <w:rFonts w:hint="eastAsia" w:ascii="仿宋_GB2312" w:hAnsi="黑体" w:eastAsia="仿宋_GB2312"/>
          <w:color w:val="auto"/>
          <w:sz w:val="32"/>
          <w:szCs w:val="32"/>
        </w:rPr>
        <w:t>申请表和认定表模板化，形成高效稳定的认定机制。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在主管部门审核环节，根据工程复杂性组织专家论证，提供专业技术认定建议，辅助主管部门或相关领导进行应急工程认定。</w:t>
      </w:r>
    </w:p>
    <w:p>
      <w:pPr>
        <w:spacing w:line="560" w:lineRule="exact"/>
        <w:ind w:firstLine="640"/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宋体" w:eastAsia="楷体_GB2312"/>
          <w:color w:val="auto"/>
          <w:sz w:val="32"/>
          <w:szCs w:val="32"/>
          <w:lang w:val="en-US" w:eastAsia="zh-CN"/>
        </w:rPr>
        <w:t>（三）建立公平简易的发包制度。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发包方式按工程单项合同估算价（金额）区分，限额以下的施工类或服务类项目按照</w:t>
      </w:r>
      <w:r>
        <w:rPr>
          <w:rFonts w:hint="eastAsia" w:ascii="仿宋_GB2312" w:hAnsi="黑体" w:eastAsia="仿宋_GB2312"/>
          <w:color w:val="auto"/>
          <w:sz w:val="32"/>
          <w:szCs w:val="32"/>
          <w:lang w:eastAsia="zh-CN"/>
        </w:rPr>
        <w:t>《大鹏新区小型建设工程发包管理办法》</w:t>
      </w:r>
      <w:r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  <w:t>自行发包或随机抽签发包，限额以上的公开招标。实现了小项目发包公平简易，大项目发包公平公正。</w:t>
      </w:r>
    </w:p>
    <w:p>
      <w:pPr>
        <w:spacing w:line="560" w:lineRule="exact"/>
        <w:ind w:firstLine="640"/>
        <w:rPr>
          <w:rFonts w:hint="eastAsia" w:ascii="仿宋_GB2312" w:hAnsi="黑体" w:eastAsia="仿宋_GB2312"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-210" w:rightChars="-100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ind w:right="640"/>
        <w:jc w:val="both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spacing w:line="560" w:lineRule="exact"/>
        <w:rPr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CE8AD0"/>
    <w:multiLevelType w:val="singleLevel"/>
    <w:tmpl w:val="82CE8A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2D28"/>
    <w:rsid w:val="001B0C87"/>
    <w:rsid w:val="00333502"/>
    <w:rsid w:val="003424A0"/>
    <w:rsid w:val="00410EC5"/>
    <w:rsid w:val="008537BB"/>
    <w:rsid w:val="00866BA6"/>
    <w:rsid w:val="00950FD1"/>
    <w:rsid w:val="00B77563"/>
    <w:rsid w:val="00D0485F"/>
    <w:rsid w:val="00E350B7"/>
    <w:rsid w:val="00EB3E69"/>
    <w:rsid w:val="00F50A79"/>
    <w:rsid w:val="00FC6103"/>
    <w:rsid w:val="089E5A3F"/>
    <w:rsid w:val="1D4B2D28"/>
    <w:rsid w:val="26721612"/>
    <w:rsid w:val="26A17883"/>
    <w:rsid w:val="2E956525"/>
    <w:rsid w:val="2FBB5F85"/>
    <w:rsid w:val="356356DE"/>
    <w:rsid w:val="39323C99"/>
    <w:rsid w:val="3ABA25DE"/>
    <w:rsid w:val="461C143D"/>
    <w:rsid w:val="48C25942"/>
    <w:rsid w:val="49CC5013"/>
    <w:rsid w:val="555C513B"/>
    <w:rsid w:val="5AC6207C"/>
    <w:rsid w:val="5E5501BD"/>
    <w:rsid w:val="637F01F2"/>
    <w:rsid w:val="69AF50FE"/>
    <w:rsid w:val="6E0B44B8"/>
    <w:rsid w:val="6FD629BB"/>
    <w:rsid w:val="71076A2A"/>
    <w:rsid w:val="71BC5108"/>
    <w:rsid w:val="72EA5EC2"/>
    <w:rsid w:val="75F56DAB"/>
    <w:rsid w:val="7DA565A4"/>
    <w:rsid w:val="7DC550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BZWFS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仿宋_GB2312" w:hAnsi="仿宋_GB2312" w:eastAsia="仿宋_GB2312" w:cs="Times New Roman"/>
      <w:sz w:val="32"/>
      <w:szCs w:val="32"/>
      <w:lang w:val="en-US" w:eastAsia="zh-CN" w:bidi="ar-SA"/>
    </w:rPr>
  </w:style>
  <w:style w:type="paragraph" w:customStyle="1" w:styleId="11">
    <w:name w:val="p0"/>
    <w:basedOn w:val="1"/>
    <w:qFormat/>
    <w:uiPriority w:val="0"/>
    <w:pPr>
      <w:widowControl/>
    </w:pPr>
    <w:rPr>
      <w:rFonts w:ascii="宋体" w:hAnsi="宋体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513</Characters>
  <Lines>4</Lines>
  <Paragraphs>1</Paragraphs>
  <TotalTime>0</TotalTime>
  <ScaleCrop>false</ScaleCrop>
  <LinksUpToDate>false</LinksUpToDate>
  <CharactersWithSpaces>602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2018-03-21T03:05:00Z</dcterms:created>
  <dc:creator>三只</dc:creator>
  <cp:lastModifiedBy>道</cp:lastModifiedBy>
  <cp:lastPrinted>2020-07-15T10:05:00Z</cp:lastPrinted>
  <dcterms:modified xsi:type="dcterms:W3CDTF">2021-06-24T03:25:56Z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