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spacing w:line="560" w:lineRule="exact"/>
        <w:ind w:firstLine="482"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一</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2760-2014）中规定，干制蔬菜中二氧化硫残留量应≤0.2 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widowControl/>
        <w:ind w:left="0" w:leftChars="0"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，熟制葵花籽过氧化值</w:t>
      </w:r>
      <w:r>
        <w:rPr>
          <w:rFonts w:hint="eastAsia" w:ascii="仿宋_GB2312" w:hAnsi="仿宋" w:cs="宋体"/>
          <w:color w:val="auto"/>
          <w:kern w:val="0"/>
          <w:sz w:val="32"/>
          <w:szCs w:val="32"/>
          <w:lang w:val="zh-CN"/>
        </w:rPr>
        <w:t>（以脂肪计）</w:t>
      </w:r>
      <w:r>
        <w:rPr>
          <w:rFonts w:hint="eastAsia" w:ascii="仿宋_GB2312" w:hAnsi="仿宋" w:eastAsia="仿宋_GB2312" w:cs="宋体"/>
          <w:color w:val="auto"/>
          <w:kern w:val="0"/>
          <w:sz w:val="32"/>
          <w:szCs w:val="32"/>
          <w:lang w:val="zh-CN"/>
        </w:rPr>
        <w:t>应</w:t>
      </w:r>
      <w:r>
        <w:rPr>
          <w:rFonts w:hint="eastAsia" w:ascii="仿宋_GB2312" w:hAnsi="仿宋" w:eastAsia="仿宋_GB2312"/>
          <w:color w:val="auto"/>
          <w:sz w:val="32"/>
          <w:szCs w:val="32"/>
        </w:rPr>
        <w:t>≤0.80g/100g。</w:t>
      </w:r>
      <w:r>
        <w:rPr>
          <w:rFonts w:hint="eastAsia" w:ascii="仿宋_GB2312" w:hAnsi="仿宋"/>
          <w:color w:val="auto"/>
          <w:sz w:val="32"/>
          <w:szCs w:val="32"/>
          <w:lang w:eastAsia="zh-CN"/>
        </w:rPr>
        <w:t>炒货食品</w:t>
      </w:r>
      <w:r>
        <w:rPr>
          <w:rFonts w:ascii="仿宋_GB2312" w:hAnsi="仿宋" w:eastAsia="仿宋_GB2312" w:cs="宋体"/>
          <w:color w:val="auto"/>
          <w:kern w:val="0"/>
          <w:sz w:val="32"/>
          <w:szCs w:val="32"/>
          <w:lang w:val="zh-CN"/>
        </w:rPr>
        <w:t>过氧化值超标的原因，可能是生产用油变质，或者样品</w:t>
      </w:r>
      <w:r>
        <w:rPr>
          <w:rFonts w:hint="eastAsia" w:ascii="仿宋_GB2312" w:hAnsi="仿宋" w:cs="宋体"/>
          <w:color w:val="auto"/>
          <w:kern w:val="0"/>
          <w:sz w:val="32"/>
          <w:szCs w:val="32"/>
          <w:lang w:val="zh-CN"/>
        </w:rPr>
        <w:t>因</w:t>
      </w:r>
      <w:r>
        <w:rPr>
          <w:rFonts w:ascii="仿宋_GB2312" w:hAnsi="仿宋" w:eastAsia="仿宋_GB2312" w:cs="宋体"/>
          <w:color w:val="auto"/>
          <w:kern w:val="0"/>
          <w:sz w:val="32"/>
          <w:szCs w:val="32"/>
          <w:lang w:val="zh-CN"/>
        </w:rPr>
        <w:t>漏气、储存过程中环境条件控制不当导致</w:t>
      </w:r>
      <w:r>
        <w:rPr>
          <w:rFonts w:hint="eastAsia" w:ascii="仿宋_GB2312" w:hAnsi="仿宋" w:cs="宋体"/>
          <w:color w:val="auto"/>
          <w:kern w:val="0"/>
          <w:sz w:val="32"/>
          <w:szCs w:val="32"/>
          <w:lang w:val="zh-CN"/>
        </w:rPr>
        <w:t>其中所含油脂</w:t>
      </w:r>
      <w:r>
        <w:rPr>
          <w:rFonts w:ascii="仿宋_GB2312" w:hAnsi="仿宋" w:eastAsia="仿宋_GB2312" w:cs="宋体"/>
          <w:color w:val="auto"/>
          <w:kern w:val="0"/>
          <w:sz w:val="32"/>
          <w:szCs w:val="32"/>
          <w:lang w:val="zh-CN"/>
        </w:rPr>
        <w:t>酸败变质。</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（三）日落黄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cs="宋体"/>
          <w:kern w:val="0"/>
          <w:sz w:val="32"/>
          <w:szCs w:val="32"/>
          <w:lang w:val="zh-CN"/>
        </w:rPr>
      </w:pPr>
      <w:r>
        <w:rPr>
          <w:rFonts w:hint="eastAsia" w:ascii="仿宋_GB2312" w:hAnsi="仿宋" w:cs="宋体"/>
          <w:kern w:val="0"/>
          <w:sz w:val="32"/>
          <w:szCs w:val="32"/>
          <w:lang w:val="zh-CN"/>
        </w:rPr>
        <w:t>日落黄是水溶性偶氮类着色剂，是一种常用的人工食用色素，因其性质稳定和价格较低</w:t>
      </w:r>
      <w:r>
        <w:rPr>
          <w:rFonts w:hint="eastAsia" w:ascii="仿宋_GB2312" w:hAnsi="仿宋" w:cs="宋体"/>
          <w:color w:val="auto"/>
          <w:kern w:val="0"/>
          <w:sz w:val="32"/>
          <w:szCs w:val="32"/>
          <w:lang w:val="zh-CN"/>
        </w:rPr>
        <w:t>被</w:t>
      </w:r>
      <w:r>
        <w:rPr>
          <w:rFonts w:hint="eastAsia" w:ascii="仿宋_GB2312" w:hAnsi="仿宋" w:cs="宋体"/>
          <w:kern w:val="0"/>
          <w:sz w:val="32"/>
          <w:szCs w:val="32"/>
          <w:lang w:val="zh-CN"/>
        </w:rPr>
        <w:t>广泛用于食品和药物的着色</w:t>
      </w:r>
      <w:r>
        <w:rPr>
          <w:rFonts w:ascii="仿宋_GB2312" w:hAnsi="仿宋" w:eastAsia="仿宋_GB2312" w:cs="宋体"/>
          <w:kern w:val="0"/>
          <w:sz w:val="32"/>
          <w:szCs w:val="32"/>
          <w:lang w:val="zh-CN"/>
        </w:rPr>
        <w:t>。《食品安全国家标准</w:t>
      </w:r>
      <w:r>
        <w:rPr>
          <w:rFonts w:hint="eastAsia" w:ascii="仿宋_GB2312" w:hAnsi="仿宋" w:cs="宋体"/>
          <w:kern w:val="0"/>
          <w:sz w:val="32"/>
          <w:szCs w:val="32"/>
          <w:lang w:val="en-US" w:eastAsia="zh-CN"/>
        </w:rPr>
        <w:t xml:space="preserve"> </w:t>
      </w:r>
      <w:r>
        <w:rPr>
          <w:rFonts w:ascii="仿宋_GB2312" w:hAnsi="仿宋" w:eastAsia="仿宋_GB2312" w:cs="宋体"/>
          <w:kern w:val="0"/>
          <w:sz w:val="32"/>
          <w:szCs w:val="32"/>
          <w:lang w:val="zh-CN"/>
        </w:rPr>
        <w:t>食品添加剂使用标准》（GB 2760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2014）中规定，</w:t>
      </w:r>
      <w:r>
        <w:rPr>
          <w:rFonts w:hint="eastAsia" w:ascii="仿宋_GB2312" w:hAnsi="仿宋" w:cs="宋体"/>
          <w:kern w:val="0"/>
          <w:sz w:val="32"/>
          <w:szCs w:val="32"/>
          <w:lang w:val="zh-CN"/>
        </w:rPr>
        <w:t>餐饮食品自制饮料中不得使用日落黄</w:t>
      </w:r>
      <w:r>
        <w:rPr>
          <w:rFonts w:ascii="仿宋_GB2312" w:hAnsi="仿宋" w:eastAsia="仿宋_GB2312" w:cs="宋体"/>
          <w:color w:val="auto"/>
          <w:kern w:val="0"/>
          <w:sz w:val="32"/>
          <w:szCs w:val="32"/>
          <w:lang w:val="zh-CN"/>
        </w:rPr>
        <w:t>。</w:t>
      </w:r>
      <w:r>
        <w:rPr>
          <w:rFonts w:ascii="仿宋_GB2312" w:hAnsi="仿宋" w:eastAsia="仿宋_GB2312" w:cs="宋体"/>
          <w:kern w:val="0"/>
          <w:sz w:val="32"/>
          <w:szCs w:val="32"/>
          <w:lang w:val="zh-CN"/>
        </w:rPr>
        <w:t>合成着色剂没有营养价值,长期过量食用</w:t>
      </w:r>
      <w:r>
        <w:rPr>
          <w:rFonts w:hint="eastAsia" w:ascii="仿宋_GB2312" w:hAnsi="仿宋" w:cs="宋体"/>
          <w:kern w:val="0"/>
          <w:sz w:val="32"/>
          <w:szCs w:val="32"/>
          <w:lang w:val="zh-CN"/>
        </w:rPr>
        <w:t>合成着色剂超标的食品</w:t>
      </w:r>
      <w:r>
        <w:rPr>
          <w:rFonts w:ascii="仿宋_GB2312" w:hAnsi="仿宋" w:eastAsia="仿宋_GB2312" w:cs="宋体"/>
          <w:kern w:val="0"/>
          <w:sz w:val="32"/>
          <w:szCs w:val="32"/>
          <w:lang w:val="zh-CN"/>
        </w:rPr>
        <w:t>可能对人体健康产生一定影响。</w:t>
      </w:r>
    </w:p>
    <w:p>
      <w:pPr>
        <w:spacing w:line="560" w:lineRule="exact"/>
        <w:ind w:left="0" w:leftChars="0"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四</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cs="仿宋_GB2312"/>
          <w:sz w:val="32"/>
          <w:szCs w:val="32"/>
          <w:lang w:eastAsia="zh-CN"/>
        </w:rPr>
        <w:t>油炸面制品</w:t>
      </w:r>
      <w:r>
        <w:rPr>
          <w:rFonts w:hint="eastAsia" w:ascii="仿宋_GB2312" w:hAnsi="仿宋" w:eastAsia="仿宋_GB2312" w:cs="仿宋_GB2312"/>
          <w:sz w:val="32"/>
          <w:szCs w:val="32"/>
        </w:rPr>
        <w:t>中的铝的残留量(干样品，以Al计)应≤</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w:t>
      </w:r>
      <w:r>
        <w:rPr>
          <w:rFonts w:hint="eastAsia" w:ascii="仿宋_GB2312" w:hAnsi="仿宋" w:cs="仿宋_GB2312"/>
          <w:color w:val="0000FF"/>
          <w:sz w:val="32"/>
          <w:szCs w:val="32"/>
          <w:lang w:eastAsia="zh-CN"/>
        </w:rPr>
        <w:t>；</w:t>
      </w:r>
      <w:r>
        <w:rPr>
          <w:rFonts w:hint="eastAsia" w:ascii="仿宋_GB2312" w:hAnsi="仿宋"/>
          <w:color w:val="auto"/>
          <w:sz w:val="32"/>
          <w:szCs w:val="32"/>
          <w:lang w:eastAsia="zh-CN"/>
        </w:rPr>
        <w:t>另有一批次</w:t>
      </w:r>
      <w:r>
        <w:rPr>
          <w:rFonts w:hint="eastAsia" w:ascii="仿宋_GB2312" w:hAnsi="仿宋" w:eastAsia="仿宋_GB2312"/>
          <w:color w:val="auto"/>
          <w:sz w:val="32"/>
          <w:szCs w:val="32"/>
        </w:rPr>
        <w:t>不</w:t>
      </w:r>
      <w:r>
        <w:rPr>
          <w:rFonts w:hint="eastAsia" w:ascii="仿宋_GB2312" w:hAnsi="仿宋" w:eastAsia="仿宋_GB2312"/>
          <w:sz w:val="32"/>
          <w:szCs w:val="32"/>
        </w:rPr>
        <w:t>合格</w:t>
      </w:r>
      <w:r>
        <w:rPr>
          <w:rFonts w:hint="eastAsia" w:ascii="仿宋_GB2312" w:hAnsi="仿宋"/>
          <w:sz w:val="32"/>
          <w:szCs w:val="32"/>
          <w:lang w:eastAsia="zh-CN"/>
        </w:rPr>
        <w:t>的水晶粉丝</w:t>
      </w:r>
      <w:r>
        <w:rPr>
          <w:rFonts w:hint="eastAsia" w:ascii="仿宋_GB2312" w:hAnsi="仿宋" w:eastAsia="仿宋_GB2312"/>
          <w:sz w:val="32"/>
          <w:szCs w:val="32"/>
        </w:rPr>
        <w:t>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w:t>
      </w:r>
      <w:bookmarkStart w:id="0" w:name="_GoBack"/>
      <w:bookmarkEnd w:id="0"/>
      <w:r>
        <w:rPr>
          <w:rFonts w:hint="eastAsia" w:ascii="仿宋_GB2312" w:hAnsi="仿宋" w:eastAsia="仿宋_GB2312" w:cs="仿宋_GB2312"/>
          <w:sz w:val="32"/>
          <w:szCs w:val="32"/>
        </w:rPr>
        <w:t>衰退等。</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五</w:t>
      </w:r>
      <w:r>
        <w:rPr>
          <w:rFonts w:hint="eastAsia" w:ascii="楷体_GB2312" w:hAnsi="楷体" w:eastAsia="楷体_GB2312" w:cs="仿宋_GB2312"/>
          <w:b/>
          <w:sz w:val="32"/>
          <w:szCs w:val="32"/>
        </w:rPr>
        <w:t>）脱氢乙酸及其钠盐</w:t>
      </w:r>
    </w:p>
    <w:p>
      <w:pPr>
        <w:spacing w:line="560" w:lineRule="exact"/>
        <w:ind w:firstLine="640" w:firstLineChars="200"/>
        <w:rPr>
          <w:rFonts w:hint="eastAsia"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eastAsia="zh-CN"/>
        </w:rPr>
        <w:t>发酵面制品中不得使用脱氢乙酸及其钠盐(以脱氢乙酸计)</w:t>
      </w:r>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lang w:val="zh-CN"/>
        </w:rPr>
        <w:t>由于脱氢乙酸可与血浆中的白蛋白或组织中蛋白质的胺基结合，若长</w:t>
      </w:r>
      <w:r>
        <w:rPr>
          <w:rFonts w:hint="eastAsia" w:ascii="仿宋_GB2312" w:hAnsi="仿宋" w:eastAsia="仿宋_GB2312" w:cs="宋体"/>
          <w:kern w:val="0"/>
          <w:sz w:val="32"/>
          <w:szCs w:val="32"/>
          <w:lang w:val="zh-CN"/>
        </w:rPr>
        <w:t>期过量食用脱氢乙酸含量超标的食品可能会引起肝、肾和中枢神经系统的损伤。</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仿宋_GB2312"/>
          <w:b/>
          <w:color w:val="000000"/>
          <w:sz w:val="32"/>
          <w:szCs w:val="32"/>
        </w:rPr>
        <w:t>（六）</w:t>
      </w:r>
      <w:r>
        <w:rPr>
          <w:rFonts w:hint="eastAsia" w:ascii="楷体_GB2312" w:hAnsi="楷体" w:eastAsia="楷体_GB2312" w:cs="Arial"/>
          <w:b/>
          <w:sz w:val="32"/>
          <w:szCs w:val="32"/>
          <w:shd w:val="clear" w:color="auto" w:fill="FFFFFF"/>
        </w:rPr>
        <w:t>恩诺沙星</w:t>
      </w:r>
    </w:p>
    <w:p>
      <w:pPr>
        <w:pStyle w:val="2"/>
        <w:ind w:left="0" w:leftChars="0" w:firstLine="640" w:firstLineChars="200"/>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en-US" w:eastAsia="zh-CN" w:bidi="ar-SA"/>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31650-2019）中规定，恩诺沙星在产蛋期家禽中禁用（鸡蛋中不得检出）。老年人、儿童及低免疫力人群摄入较多恩诺沙星不合格的产品，可引起轻度胃肠道不适、头痛、头晕等症状，并产生耐药性。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（二）加强食品出厂检验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34F1986"/>
    <w:rsid w:val="03E020C5"/>
    <w:rsid w:val="03FD00B3"/>
    <w:rsid w:val="055921C9"/>
    <w:rsid w:val="066C5CEA"/>
    <w:rsid w:val="07C82C95"/>
    <w:rsid w:val="081209FA"/>
    <w:rsid w:val="08AD06EB"/>
    <w:rsid w:val="08F00F9F"/>
    <w:rsid w:val="091C5D20"/>
    <w:rsid w:val="0A101FAB"/>
    <w:rsid w:val="0AEA5DCE"/>
    <w:rsid w:val="0C455D22"/>
    <w:rsid w:val="0C6F4539"/>
    <w:rsid w:val="0CD4225F"/>
    <w:rsid w:val="0EA93008"/>
    <w:rsid w:val="0EC839C2"/>
    <w:rsid w:val="10AD16A7"/>
    <w:rsid w:val="1162065F"/>
    <w:rsid w:val="11B32DA0"/>
    <w:rsid w:val="11CE6913"/>
    <w:rsid w:val="1210526E"/>
    <w:rsid w:val="12AF7645"/>
    <w:rsid w:val="12B51B83"/>
    <w:rsid w:val="139A1CB2"/>
    <w:rsid w:val="141B2394"/>
    <w:rsid w:val="155219D3"/>
    <w:rsid w:val="15FE7C46"/>
    <w:rsid w:val="16396F4B"/>
    <w:rsid w:val="16A52765"/>
    <w:rsid w:val="176818BF"/>
    <w:rsid w:val="17FA5E44"/>
    <w:rsid w:val="181E6360"/>
    <w:rsid w:val="199008F8"/>
    <w:rsid w:val="19EB104A"/>
    <w:rsid w:val="1B042E72"/>
    <w:rsid w:val="1C2B3ECE"/>
    <w:rsid w:val="1EFD4E3F"/>
    <w:rsid w:val="1F456A61"/>
    <w:rsid w:val="200B2815"/>
    <w:rsid w:val="2103478D"/>
    <w:rsid w:val="231A399D"/>
    <w:rsid w:val="249A66FD"/>
    <w:rsid w:val="255973C6"/>
    <w:rsid w:val="257D0D7B"/>
    <w:rsid w:val="25D84592"/>
    <w:rsid w:val="274815F0"/>
    <w:rsid w:val="27D171E0"/>
    <w:rsid w:val="282A264F"/>
    <w:rsid w:val="29292876"/>
    <w:rsid w:val="29DF09A6"/>
    <w:rsid w:val="2D2D024C"/>
    <w:rsid w:val="2DA27B95"/>
    <w:rsid w:val="2E172668"/>
    <w:rsid w:val="2F4F707A"/>
    <w:rsid w:val="2FFC71C6"/>
    <w:rsid w:val="307B5CC3"/>
    <w:rsid w:val="31200851"/>
    <w:rsid w:val="31AA7543"/>
    <w:rsid w:val="31EA5456"/>
    <w:rsid w:val="323F00BC"/>
    <w:rsid w:val="324700B2"/>
    <w:rsid w:val="348E513C"/>
    <w:rsid w:val="34B74329"/>
    <w:rsid w:val="35BC7A15"/>
    <w:rsid w:val="36A26439"/>
    <w:rsid w:val="38622AFA"/>
    <w:rsid w:val="387272BF"/>
    <w:rsid w:val="38865B2F"/>
    <w:rsid w:val="3B1904CB"/>
    <w:rsid w:val="3BAB1A67"/>
    <w:rsid w:val="3BFE4DC9"/>
    <w:rsid w:val="3CDD7A17"/>
    <w:rsid w:val="3E051E67"/>
    <w:rsid w:val="3E1079E4"/>
    <w:rsid w:val="3E88008E"/>
    <w:rsid w:val="3E984FE9"/>
    <w:rsid w:val="3EC80CDE"/>
    <w:rsid w:val="3F033412"/>
    <w:rsid w:val="3F685D87"/>
    <w:rsid w:val="428251DB"/>
    <w:rsid w:val="44141429"/>
    <w:rsid w:val="460F4F06"/>
    <w:rsid w:val="464A4562"/>
    <w:rsid w:val="4848609B"/>
    <w:rsid w:val="4864409A"/>
    <w:rsid w:val="48E60C18"/>
    <w:rsid w:val="49346CC6"/>
    <w:rsid w:val="4B37566A"/>
    <w:rsid w:val="4DAC348D"/>
    <w:rsid w:val="4EBC0748"/>
    <w:rsid w:val="4FE23640"/>
    <w:rsid w:val="4FED4605"/>
    <w:rsid w:val="503305EE"/>
    <w:rsid w:val="50561BEF"/>
    <w:rsid w:val="52A0415B"/>
    <w:rsid w:val="52FE47AC"/>
    <w:rsid w:val="533A17A5"/>
    <w:rsid w:val="53465E28"/>
    <w:rsid w:val="53785E73"/>
    <w:rsid w:val="53FD7C6B"/>
    <w:rsid w:val="551B6EF1"/>
    <w:rsid w:val="557E5EAF"/>
    <w:rsid w:val="59E33FF0"/>
    <w:rsid w:val="59EA54F5"/>
    <w:rsid w:val="5C000884"/>
    <w:rsid w:val="5C240B88"/>
    <w:rsid w:val="5E0D1B19"/>
    <w:rsid w:val="5E214E94"/>
    <w:rsid w:val="5E7004E1"/>
    <w:rsid w:val="5ECD4C7F"/>
    <w:rsid w:val="6048573D"/>
    <w:rsid w:val="61E02C8B"/>
    <w:rsid w:val="62547A4D"/>
    <w:rsid w:val="638239E5"/>
    <w:rsid w:val="63E10B0C"/>
    <w:rsid w:val="6537764C"/>
    <w:rsid w:val="65E578BD"/>
    <w:rsid w:val="666A4D62"/>
    <w:rsid w:val="668A5EDC"/>
    <w:rsid w:val="67180D7A"/>
    <w:rsid w:val="67663F7B"/>
    <w:rsid w:val="6792245C"/>
    <w:rsid w:val="67AC56C6"/>
    <w:rsid w:val="6801069F"/>
    <w:rsid w:val="69130912"/>
    <w:rsid w:val="69CB77D8"/>
    <w:rsid w:val="6A323B2C"/>
    <w:rsid w:val="6C2646D1"/>
    <w:rsid w:val="6C721C9A"/>
    <w:rsid w:val="6C942E03"/>
    <w:rsid w:val="6D731B27"/>
    <w:rsid w:val="6E9610D2"/>
    <w:rsid w:val="6ECD36FF"/>
    <w:rsid w:val="6F1957D5"/>
    <w:rsid w:val="72A04A1F"/>
    <w:rsid w:val="72F24D9D"/>
    <w:rsid w:val="733275F5"/>
    <w:rsid w:val="738026E3"/>
    <w:rsid w:val="754B170B"/>
    <w:rsid w:val="75CA36CA"/>
    <w:rsid w:val="763955BF"/>
    <w:rsid w:val="77FC16E5"/>
    <w:rsid w:val="78BC4EF9"/>
    <w:rsid w:val="78C82F23"/>
    <w:rsid w:val="78FE0A2F"/>
    <w:rsid w:val="7A7C11A9"/>
    <w:rsid w:val="7B5E04A9"/>
    <w:rsid w:val="7C073518"/>
    <w:rsid w:val="7C4079FA"/>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31</TotalTime>
  <ScaleCrop>false</ScaleCrop>
  <LinksUpToDate>false</LinksUpToDate>
  <CharactersWithSpaces>4018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2021-05-20T02:20:48Z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2BCBADEB164F420AB7CA92621D404113</vt:lpwstr>
  </property>
</Properties>
</file>