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w:t>
      </w:r>
      <w:r>
        <w:rPr>
          <w:rFonts w:hint="eastAsia" w:ascii="方正小标宋_GBK" w:hAnsi="方正小标宋_GBK" w:eastAsia="方正小标宋_GBK" w:cs="方正小标宋_GBK"/>
          <w:sz w:val="44"/>
          <w:szCs w:val="44"/>
          <w:lang w:val="en-US" w:eastAsia="zh-CN"/>
        </w:rPr>
        <w:t>2</w:t>
      </w:r>
      <w:r>
        <w:rPr>
          <w:rFonts w:hint="eastAsia" w:ascii="方正小标宋_GBK" w:hAnsi="方正小标宋_GBK" w:eastAsia="方正小标宋_GBK" w:cs="方正小标宋_GBK"/>
          <w:sz w:val="44"/>
          <w:szCs w:val="44"/>
          <w:lang w:eastAsia="zh-CN"/>
        </w:rPr>
        <w:t>2</w:t>
      </w:r>
      <w:r>
        <w:rPr>
          <w:rFonts w:hint="eastAsia" w:ascii="方正小标宋_GBK" w:hAnsi="方正小标宋_GBK" w:eastAsia="方正小标宋_GBK" w:cs="方正小标宋_GBK"/>
          <w:sz w:val="44"/>
          <w:szCs w:val="44"/>
        </w:rPr>
        <w:t>年度出口信用保险外贸中小微企业</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统保政策简介</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z w:val="44"/>
          <w:szCs w:val="44"/>
        </w:rPr>
      </w:pPr>
    </w:p>
    <w:p>
      <w:pPr>
        <w:keepNext w:val="0"/>
        <w:keepLines w:val="0"/>
        <w:pageBreakBefore w:val="0"/>
        <w:numPr>
          <w:ilvl w:val="0"/>
          <w:numId w:val="1"/>
        </w:numPr>
        <w:kinsoku/>
        <w:wordWrap/>
        <w:overflowPunct/>
        <w:topLinePunct w:val="0"/>
        <w:autoSpaceDE/>
        <w:autoSpaceDN/>
        <w:bidi w:val="0"/>
        <w:adjustRightInd/>
        <w:snapToGrid/>
        <w:spacing w:line="560" w:lineRule="exact"/>
        <w:textAlignment w:val="auto"/>
        <w:rPr>
          <w:rFonts w:hint="eastAsia" w:ascii="黑体" w:hAnsi="黑体" w:eastAsia="黑体" w:cs="仿宋_GB2312"/>
          <w:sz w:val="32"/>
          <w:szCs w:val="32"/>
        </w:rPr>
      </w:pPr>
      <w:r>
        <w:rPr>
          <w:rFonts w:hint="eastAsia" w:ascii="黑体" w:hAnsi="黑体" w:eastAsia="黑体" w:cs="仿宋_GB2312"/>
          <w:sz w:val="32"/>
          <w:szCs w:val="32"/>
        </w:rPr>
        <w:t>政策核心内容</w:t>
      </w:r>
    </w:p>
    <w:p>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年出口额800万美元（含）以下企业直接向中国出口信用保险公司深圳分公司领取出口信用保险保单。</w:t>
      </w:r>
    </w:p>
    <w:p>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eastAsia" w:ascii="黑体" w:hAnsi="黑体" w:eastAsia="黑体" w:cs="仿宋_GB2312"/>
          <w:sz w:val="32"/>
          <w:szCs w:val="32"/>
        </w:rPr>
      </w:pPr>
      <w:r>
        <w:rPr>
          <w:rFonts w:hint="eastAsia" w:ascii="黑体" w:hAnsi="黑体" w:eastAsia="黑体" w:cs="仿宋_GB2312"/>
          <w:sz w:val="32"/>
          <w:szCs w:val="32"/>
        </w:rPr>
        <w:t>二、具体落实方式</w:t>
      </w:r>
    </w:p>
    <w:p>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（一）确认企业名单</w:t>
      </w:r>
    </w:p>
    <w:p>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由深圳市商务局通过官方网站公示我市20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年出口额800万美元以下企业名单，接受公众监督，公示期满后确认名单。</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（二）出口信用保险保单领取方式</w:t>
      </w:r>
    </w:p>
    <w:p>
      <w:pPr>
        <w:keepNext w:val="0"/>
        <w:keepLines w:val="0"/>
        <w:pageBreakBefore w:val="0"/>
        <w:kinsoku/>
        <w:wordWrap/>
        <w:overflowPunct/>
        <w:topLinePunct w:val="0"/>
        <w:autoSpaceDE/>
        <w:autoSpaceDN/>
        <w:bidi w:val="0"/>
        <w:adjustRightInd/>
        <w:snapToGrid/>
        <w:spacing w:line="560" w:lineRule="exact"/>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线上领取：</w:t>
      </w:r>
    </w:p>
    <w:p>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企业登录中国（深圳）国际贸易</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单一窗口</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"http://sz.singlewindow.cn/"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http://sz.singlewindow.cn/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），进入</w:t>
      </w:r>
      <w:r>
        <w:rPr>
          <w:rFonts w:hint="eastAsia" w:ascii="仿宋_GB2312" w:hAnsi="仿宋_GB2312" w:eastAsia="仿宋_GB2312" w:cs="仿宋_GB2312"/>
          <w:b/>
          <w:bCs/>
          <w:sz w:val="32"/>
          <w:szCs w:val="32"/>
        </w:rPr>
        <w:t>出口信用</w:t>
      </w:r>
      <w:r>
        <w:rPr>
          <w:rFonts w:hint="eastAsia" w:ascii="仿宋_GB2312" w:hAnsi="仿宋_GB2312" w:eastAsia="仿宋_GB2312" w:cs="仿宋_GB2312"/>
          <w:sz w:val="32"/>
          <w:szCs w:val="32"/>
        </w:rPr>
        <w:t>模块，按流程操作即可领取，具体操作指引登录中国出口信用保险公司深圳分公司公众号查询，“单一窗口”线上投保咨询电话：83165355。</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线下领取：</w:t>
      </w:r>
    </w:p>
    <w:p>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请联络中国信保深圳分公司客户经理：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07"/>
        <w:jc w:val="both"/>
        <w:textAlignment w:val="auto"/>
        <w:rPr>
          <w:rFonts w:ascii="Calibri" w:hAnsi="Calibri" w:cs="Calibri"/>
          <w:b w:val="0"/>
          <w:i w:val="0"/>
          <w:caps w:val="0"/>
          <w:color w:val="000000"/>
          <w:spacing w:val="0"/>
          <w:sz w:val="21"/>
          <w:szCs w:val="21"/>
        </w:rPr>
      </w:pPr>
      <w:r>
        <w:rPr>
          <w:rFonts w:ascii="仿宋_GB2312" w:hAnsi="Calibri" w:eastAsia="仿宋_GB2312" w:cs="仿宋_GB2312"/>
          <w:b w:val="0"/>
          <w:i w:val="0"/>
          <w:caps w:val="0"/>
          <w:color w:val="000000"/>
          <w:spacing w:val="0"/>
          <w:kern w:val="0"/>
          <w:sz w:val="32"/>
          <w:szCs w:val="32"/>
          <w:shd w:val="clear" w:fill="FFFFFF"/>
          <w:lang w:val="en-US" w:eastAsia="zh-CN" w:bidi="ar"/>
        </w:rPr>
        <w:t>南山区、福田区、前海深港合作区：钟旭阳</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 18802680886、</w:t>
      </w:r>
      <w:r>
        <w:rPr>
          <w:rFonts w:hint="eastAsia" w:ascii="仿宋_GB2312" w:hAnsi="Calibri" w:eastAsia="仿宋_GB2312" w:cs="仿宋_GB2312"/>
          <w:b w:val="0"/>
          <w:i w:val="0"/>
          <w:caps w:val="0"/>
          <w:color w:val="000000"/>
          <w:spacing w:val="0"/>
          <w:kern w:val="0"/>
          <w:sz w:val="31"/>
          <w:szCs w:val="31"/>
          <w:shd w:val="clear" w:fill="FFFFFF"/>
          <w:lang w:val="en-US" w:eastAsia="zh-CN" w:bidi="ar"/>
        </w:rPr>
        <w:t>程凌宇 18665268797</w:t>
      </w:r>
      <w:r>
        <w:rPr>
          <w:rFonts w:hint="eastAsia" w:ascii="仿宋_GB2312" w:hAnsi="Calibri" w:eastAsia="仿宋_GB2312" w:cs="仿宋_GB2312"/>
          <w:b w:val="0"/>
          <w:i w:val="0"/>
          <w:caps w:val="0"/>
          <w:color w:val="000000"/>
          <w:spacing w:val="0"/>
          <w:kern w:val="0"/>
          <w:sz w:val="32"/>
          <w:szCs w:val="32"/>
          <w:shd w:val="clear" w:fill="auto"/>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b w:val="0"/>
          <w:i w:val="0"/>
          <w:caps w:val="0"/>
          <w:color w:val="000000"/>
          <w:spacing w:val="0"/>
          <w:sz w:val="21"/>
          <w:szCs w:val="21"/>
        </w:rPr>
      </w:pPr>
      <w:r>
        <w:rPr>
          <w:rFonts w:hint="eastAsia" w:ascii="仿宋_GB2312" w:hAnsi="Calibri" w:eastAsia="仿宋_GB2312" w:cs="仿宋_GB2312"/>
          <w:b w:val="0"/>
          <w:i w:val="0"/>
          <w:caps w:val="0"/>
          <w:color w:val="000000"/>
          <w:spacing w:val="0"/>
          <w:kern w:val="0"/>
          <w:sz w:val="32"/>
          <w:szCs w:val="32"/>
          <w:shd w:val="clear" w:fill="FFFFFF"/>
          <w:lang w:val="en-US" w:eastAsia="zh-CN" w:bidi="ar"/>
        </w:rPr>
        <w:t>龙岗区、坪山区、盐田区、大鹏新区：陈静15817218652；</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b w:val="0"/>
          <w:i w:val="0"/>
          <w:caps w:val="0"/>
          <w:color w:val="000000"/>
          <w:spacing w:val="0"/>
          <w:sz w:val="21"/>
          <w:szCs w:val="21"/>
        </w:rPr>
      </w:pPr>
      <w:r>
        <w:rPr>
          <w:rFonts w:hint="eastAsia" w:ascii="仿宋_GB2312" w:hAnsi="Calibri" w:eastAsia="仿宋_GB2312" w:cs="仿宋_GB2312"/>
          <w:b w:val="0"/>
          <w:i w:val="0"/>
          <w:caps w:val="0"/>
          <w:color w:val="000000"/>
          <w:spacing w:val="0"/>
          <w:kern w:val="0"/>
          <w:sz w:val="32"/>
          <w:szCs w:val="32"/>
          <w:shd w:val="clear" w:fill="FFFFFF"/>
          <w:lang w:val="en-US" w:eastAsia="zh-CN" w:bidi="ar"/>
        </w:rPr>
        <w:t>宝安区：吕宇翔 13699865957、</w:t>
      </w:r>
      <w:r>
        <w:rPr>
          <w:rFonts w:hint="eastAsia" w:ascii="仿宋_GB2312" w:hAnsi="Calibri" w:eastAsia="仿宋_GB2312" w:cs="仿宋_GB2312"/>
          <w:b w:val="0"/>
          <w:i w:val="0"/>
          <w:caps w:val="0"/>
          <w:color w:val="000000"/>
          <w:spacing w:val="0"/>
          <w:kern w:val="0"/>
          <w:sz w:val="31"/>
          <w:szCs w:val="31"/>
          <w:shd w:val="clear" w:fill="FFFFFF"/>
          <w:lang w:val="en-US" w:eastAsia="zh-CN" w:bidi="ar"/>
        </w:rPr>
        <w:t>谢晓锋 18680363832</w:t>
      </w:r>
      <w:r>
        <w:rPr>
          <w:rFonts w:hint="eastAsia" w:ascii="仿宋_GB2312" w:hAnsi="Calibri" w:eastAsia="仿宋_GB2312" w:cs="仿宋_GB2312"/>
          <w:b w:val="0"/>
          <w:i w:val="0"/>
          <w:caps w:val="0"/>
          <w:color w:val="000000"/>
          <w:spacing w:val="0"/>
          <w:kern w:val="0"/>
          <w:sz w:val="32"/>
          <w:szCs w:val="32"/>
          <w:shd w:val="clear" w:fill="auto"/>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Calibri" w:eastAsia="仿宋_GB2312" w:cs="仿宋_GB2312"/>
          <w:b w:val="0"/>
          <w:i w:val="0"/>
          <w:caps w:val="0"/>
          <w:color w:val="000000"/>
          <w:spacing w:val="0"/>
          <w:kern w:val="0"/>
          <w:sz w:val="32"/>
          <w:szCs w:val="32"/>
          <w:shd w:val="clear" w:fill="auto"/>
          <w:lang w:val="en-US" w:eastAsia="zh-CN" w:bidi="ar"/>
        </w:rPr>
      </w:pPr>
      <w:r>
        <w:rPr>
          <w:rFonts w:hint="eastAsia" w:ascii="仿宋_GB2312" w:hAnsi="Calibri" w:eastAsia="仿宋_GB2312" w:cs="仿宋_GB2312"/>
          <w:b w:val="0"/>
          <w:i w:val="0"/>
          <w:caps w:val="0"/>
          <w:color w:val="000000"/>
          <w:spacing w:val="0"/>
          <w:kern w:val="0"/>
          <w:sz w:val="32"/>
          <w:szCs w:val="32"/>
          <w:shd w:val="clear" w:fill="FFFFFF"/>
          <w:lang w:val="en-US" w:eastAsia="zh-CN" w:bidi="ar"/>
        </w:rPr>
        <w:t>龙华区、罗湖区、光明区、深汕合作区：</w:t>
      </w:r>
      <w:r>
        <w:rPr>
          <w:rFonts w:hint="eastAsia" w:ascii="仿宋_GB2312" w:hAnsi="Calibri" w:eastAsia="仿宋_GB2312" w:cs="仿宋_GB2312"/>
          <w:b w:val="0"/>
          <w:i w:val="0"/>
          <w:caps w:val="0"/>
          <w:color w:val="000000"/>
          <w:spacing w:val="0"/>
          <w:kern w:val="0"/>
          <w:sz w:val="31"/>
          <w:szCs w:val="31"/>
          <w:shd w:val="clear" w:fill="FFFFFF"/>
          <w:lang w:val="en-US" w:eastAsia="zh-CN" w:bidi="ar"/>
        </w:rPr>
        <w:t>董家宇13691676262、夏格 13823345835 </w:t>
      </w:r>
      <w:r>
        <w:rPr>
          <w:rFonts w:hint="eastAsia" w:ascii="仿宋_GB2312" w:hAnsi="Calibri" w:eastAsia="仿宋_GB2312" w:cs="仿宋_GB2312"/>
          <w:b w:val="0"/>
          <w:i w:val="0"/>
          <w:caps w:val="0"/>
          <w:color w:val="000000"/>
          <w:spacing w:val="0"/>
          <w:kern w:val="0"/>
          <w:sz w:val="32"/>
          <w:szCs w:val="32"/>
          <w:shd w:val="clear" w:fill="auto"/>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ascii="Calibri" w:hAnsi="Calibri" w:cs="Calibri"/>
          <w:b w:val="0"/>
          <w:i w:val="0"/>
          <w:caps w:val="0"/>
          <w:color w:val="000000"/>
          <w:spacing w:val="0"/>
          <w:sz w:val="21"/>
          <w:szCs w:val="21"/>
        </w:rPr>
      </w:pPr>
      <w:r>
        <w:rPr>
          <w:rFonts w:ascii="楷体_GB2312" w:hAnsi="Calibri" w:eastAsia="楷体_GB2312" w:cs="楷体_GB2312"/>
          <w:b w:val="0"/>
          <w:i w:val="0"/>
          <w:caps w:val="0"/>
          <w:color w:val="000000"/>
          <w:spacing w:val="0"/>
          <w:kern w:val="0"/>
          <w:sz w:val="32"/>
          <w:szCs w:val="32"/>
          <w:shd w:val="clear" w:fill="FFFFFF"/>
          <w:lang w:val="en-US" w:eastAsia="zh-CN" w:bidi="ar"/>
        </w:rPr>
        <w:t>（三）领取时间</w:t>
      </w:r>
    </w:p>
    <w:p>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仿宋_GB2312" w:hAnsi="Calibri" w:eastAsia="仿宋_GB2312" w:cs="仿宋_GB2312"/>
          <w:b w:val="0"/>
          <w:i w:val="0"/>
          <w:caps w:val="0"/>
          <w:color w:val="000000"/>
          <w:spacing w:val="0"/>
          <w:kern w:val="0"/>
          <w:sz w:val="32"/>
          <w:szCs w:val="32"/>
          <w:shd w:val="clear" w:fill="auto"/>
          <w:lang w:val="en-US" w:eastAsia="zh-CN" w:bidi="ar"/>
        </w:rPr>
      </w:pPr>
      <w:r>
        <w:rPr>
          <w:rFonts w:hint="eastAsia" w:ascii="仿宋_GB2312" w:hAnsi="仿宋_GB2312" w:eastAsia="仿宋_GB2312" w:cs="仿宋_GB2312"/>
          <w:sz w:val="32"/>
          <w:szCs w:val="32"/>
          <w:lang w:val="en-US" w:eastAsia="zh-CN"/>
        </w:rPr>
        <w:t>请企业在2022年6月30日前通过前述方式领取保单。如企业在2022年6月30日后领取保单，则该企业在该保单年度内的风险保障期限为保单实际签发日期（通常为企业实际领取保单后的一周内）至2023年6月30日。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）出口信用保险产品简介</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1.保障范围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保单有效期内被保险人（即企业）与买方签订销售合同并以被保险人名义报关的202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2023年6</w:t>
      </w:r>
      <w:r>
        <w:rPr>
          <w:rFonts w:hint="eastAsia" w:ascii="仿宋_GB2312" w:hAnsi="仿宋_GB2312" w:eastAsia="仿宋_GB2312" w:cs="仿宋_GB2312"/>
          <w:sz w:val="32"/>
          <w:szCs w:val="32"/>
        </w:rPr>
        <w:t>月全部出口业务，不予承保的国别除外（以正式保单约定为准）。</w:t>
      </w:r>
    </w:p>
    <w:p>
      <w:pPr>
        <w:keepNext w:val="0"/>
        <w:keepLines w:val="0"/>
        <w:pageBreakBefore w:val="0"/>
        <w:kinsoku/>
        <w:wordWrap/>
        <w:overflowPunct/>
        <w:topLinePunct w:val="0"/>
        <w:autoSpaceDE/>
        <w:autoSpaceDN/>
        <w:bidi w:val="0"/>
        <w:adjustRightInd/>
        <w:snapToGrid/>
        <w:spacing w:line="560" w:lineRule="exact"/>
        <w:ind w:firstLine="709" w:firstLineChars="221"/>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2.保障风险种类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（1）商业风险：无力偿还债务/买家破产/拖欠货款/拒绝接受货物；开证行破产/停业/被接管/拖欠/拒绝承兑。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（2）政治风险：买方/开证行所在国家发生战争、动乱、贸易管制、外汇管制等。</w:t>
      </w:r>
    </w:p>
    <w:p>
      <w:pPr>
        <w:keepNext w:val="0"/>
        <w:keepLines w:val="0"/>
        <w:pageBreakBefore w:val="0"/>
        <w:kinsoku/>
        <w:wordWrap/>
        <w:overflowPunct/>
        <w:topLinePunct w:val="0"/>
        <w:autoSpaceDE/>
        <w:autoSpaceDN/>
        <w:bidi w:val="0"/>
        <w:adjustRightInd/>
        <w:snapToGrid/>
        <w:spacing w:line="560" w:lineRule="exact"/>
        <w:ind w:firstLine="709" w:firstLineChars="221"/>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3.保障金额 </w:t>
      </w:r>
    </w:p>
    <w:p>
      <w:pPr>
        <w:keepNext w:val="0"/>
        <w:keepLines w:val="0"/>
        <w:pageBreakBefore w:val="0"/>
        <w:widowControl/>
        <w:kinsoku/>
        <w:wordWrap/>
        <w:overflowPunct/>
        <w:topLinePunct w:val="0"/>
        <w:autoSpaceDE/>
        <w:autoSpaceDN/>
        <w:bidi w:val="0"/>
        <w:adjustRightInd/>
        <w:snapToGrid/>
        <w:spacing w:before="60" w:line="560" w:lineRule="exact"/>
        <w:ind w:firstLine="64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按企业出口损失金额的80%，</w:t>
      </w:r>
      <w:r>
        <w:rPr>
          <w:rFonts w:ascii="仿宋_GB2312" w:hAnsi="仿宋_GB2312" w:eastAsia="仿宋_GB2312" w:cs="仿宋_GB2312"/>
          <w:sz w:val="32"/>
          <w:szCs w:val="32"/>
        </w:rPr>
        <w:t>单一买方/开证行</w:t>
      </w:r>
      <w:r>
        <w:rPr>
          <w:rFonts w:hint="eastAsia" w:ascii="仿宋_GB2312" w:hAnsi="仿宋_GB2312" w:eastAsia="仿宋_GB2312" w:cs="仿宋_GB2312"/>
          <w:sz w:val="32"/>
          <w:szCs w:val="32"/>
        </w:rPr>
        <w:t>责任限额15万美元。（以正式保单约定为准）</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4.保险期限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统保政策保险期限为1年（即202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2023年6</w:t>
      </w:r>
      <w:r>
        <w:rPr>
          <w:rFonts w:hint="eastAsia" w:ascii="仿宋_GB2312" w:hAnsi="仿宋_GB2312" w:eastAsia="仿宋_GB2312" w:cs="仿宋_GB2312"/>
          <w:sz w:val="32"/>
          <w:szCs w:val="32"/>
        </w:rPr>
        <w:t>月），对符合上述“保障范围”项下出口损失，均可向保险机构提出索赔申请，中国信保深圳分公司理赔服务电话：</w:t>
      </w:r>
      <w:r>
        <w:rPr>
          <w:rFonts w:hint="default" w:ascii="仿宋_GB2312" w:hAnsi="仿宋_GB2312" w:eastAsia="仿宋_GB2312" w:cs="仿宋_GB2312"/>
          <w:sz w:val="32"/>
          <w:szCs w:val="32"/>
        </w:rPr>
        <w:t>0755-</w:t>
      </w:r>
      <w:r>
        <w:rPr>
          <w:rFonts w:hint="eastAsia" w:ascii="仿宋_GB2312" w:hAnsi="仿宋_GB2312" w:eastAsia="仿宋_GB2312" w:cs="仿宋_GB2312"/>
          <w:sz w:val="32"/>
          <w:szCs w:val="32"/>
        </w:rPr>
        <w:t>88325700。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）出口信用保险一揽子服务</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中国信保深圳分公司免费为企业提供3个海外买家资信报告；通过“单一窗口”按月定期推送国别风险信息、海外市场信息、风险提示信息等。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）企业利用保险单模式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成功领取保单同时，请及时下载并绑定“信步天下”APP，涵盖行业对标、国别资讯、风险提醒等多项功能，为企业提供在线信用服务。同时，企业可充分利用中国（深圳）国际贸易“单一窗口”地方特色平台，通过中国信保深圳分公司“线上承保、线上报损核赔、线上资信、线上咨询”四个线上服务举措，积极开拓国际市场，促进出口增长。在日常经营过程中，如海外应收账款逾期未收或发现买方或买方所在国存在风险异动，企业根据保单条款规定，务必第一时间向中国信保深圳分公司报案，以便尽快获得支持和保障。</w:t>
      </w:r>
    </w:p>
    <w:p>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ascii="黑体" w:hAnsi="黑体" w:eastAsia="黑体" w:cs="仿宋_GB2312"/>
          <w:sz w:val="32"/>
          <w:szCs w:val="32"/>
        </w:rPr>
      </w:pPr>
      <w:r>
        <w:rPr>
          <w:rFonts w:hint="eastAsia" w:ascii="黑体" w:hAnsi="黑体" w:eastAsia="黑体" w:cs="仿宋_GB2312"/>
          <w:sz w:val="32"/>
          <w:szCs w:val="32"/>
        </w:rPr>
        <w:t>三、统保赔付案例分享</w:t>
      </w:r>
    </w:p>
    <w:p>
      <w:pPr>
        <w:keepNext w:val="0"/>
        <w:keepLines w:val="0"/>
        <w:pageBreakBefore w:val="0"/>
        <w:kinsoku/>
        <w:wordWrap/>
        <w:overflowPunct/>
        <w:topLinePunct w:val="0"/>
        <w:autoSpaceDE/>
        <w:autoSpaceDN/>
        <w:bidi w:val="0"/>
        <w:adjustRightInd/>
        <w:snapToGrid/>
        <w:spacing w:line="560" w:lineRule="exact"/>
        <w:ind w:firstLine="709" w:firstLineChars="221"/>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案例1</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统保企业获得赔款</w:t>
      </w:r>
    </w:p>
    <w:p>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宝安</w:t>
      </w:r>
      <w:r>
        <w:rPr>
          <w:rFonts w:hint="eastAsia" w:ascii="仿宋_GB2312" w:hAnsi="仿宋_GB2312" w:eastAsia="仿宋_GB2312" w:cs="仿宋_GB2312"/>
          <w:sz w:val="32"/>
          <w:szCs w:val="32"/>
        </w:rPr>
        <w:t>区某统保企业参加了由</w:t>
      </w:r>
      <w:r>
        <w:rPr>
          <w:rFonts w:hint="eastAsia" w:ascii="仿宋_GB2312" w:hAnsi="仿宋_GB2312" w:eastAsia="仿宋_GB2312" w:cs="仿宋_GB2312"/>
          <w:sz w:val="32"/>
          <w:szCs w:val="32"/>
          <w:lang w:eastAsia="zh-CN"/>
        </w:rPr>
        <w:t>宝安</w:t>
      </w:r>
      <w:r>
        <w:rPr>
          <w:rFonts w:hint="eastAsia" w:ascii="仿宋_GB2312" w:hAnsi="仿宋_GB2312" w:eastAsia="仿宋_GB2312" w:cs="仿宋_GB2312"/>
          <w:sz w:val="32"/>
          <w:szCs w:val="32"/>
        </w:rPr>
        <w:t>区人民政府和中国信保深圳分公司联合主办的宣讲会，并获得了统保保单。在了解了有关统保政策后，该企业随即就其</w:t>
      </w:r>
      <w:r>
        <w:rPr>
          <w:rFonts w:hint="eastAsia" w:ascii="仿宋_GB2312" w:hAnsi="仿宋_GB2312" w:eastAsia="仿宋_GB2312" w:cs="仿宋_GB2312"/>
          <w:sz w:val="32"/>
          <w:szCs w:val="32"/>
          <w:lang w:val="en-US" w:eastAsia="zh-CN"/>
        </w:rPr>
        <w:t>7、8月</w:t>
      </w:r>
      <w:r>
        <w:rPr>
          <w:rFonts w:hint="eastAsia" w:ascii="仿宋_GB2312" w:hAnsi="仿宋_GB2312" w:eastAsia="仿宋_GB2312" w:cs="仿宋_GB2312"/>
          <w:sz w:val="32"/>
          <w:szCs w:val="32"/>
          <w:lang w:eastAsia="zh-CN"/>
        </w:rPr>
        <w:t>出运的</w:t>
      </w:r>
      <w:r>
        <w:rPr>
          <w:rFonts w:hint="eastAsia" w:ascii="仿宋_GB2312" w:hAnsi="仿宋_GB2312" w:eastAsia="仿宋_GB2312" w:cs="仿宋_GB2312"/>
          <w:sz w:val="32"/>
          <w:szCs w:val="32"/>
        </w:rPr>
        <w:t>一笔坏账向中国信保深圳分公司提出了索赔申请。该企业</w:t>
      </w:r>
      <w:r>
        <w:rPr>
          <w:rFonts w:hint="eastAsia" w:ascii="仿宋_GB2312" w:hAnsi="仿宋_GB2312" w:eastAsia="仿宋_GB2312" w:cs="仿宋_GB2312"/>
          <w:sz w:val="32"/>
          <w:szCs w:val="32"/>
          <w:lang w:eastAsia="zh-CN"/>
        </w:rPr>
        <w:t>与意大利</w:t>
      </w:r>
      <w:r>
        <w:rPr>
          <w:rFonts w:hint="eastAsia" w:ascii="仿宋_GB2312" w:hAnsi="仿宋_GB2312" w:eastAsia="仿宋_GB2312" w:cs="仿宋_GB2312"/>
          <w:sz w:val="32"/>
          <w:szCs w:val="32"/>
        </w:rPr>
        <w:t>买方签署销售合同，并于202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月向买方出运</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票货物，但是到了应收款日买方迟迟不付款，</w:t>
      </w:r>
      <w:r>
        <w:rPr>
          <w:rFonts w:hint="eastAsia" w:ascii="仿宋_GB2312" w:hAnsi="仿宋_GB2312" w:eastAsia="仿宋_GB2312" w:cs="仿宋_GB2312"/>
          <w:sz w:val="32"/>
          <w:szCs w:val="32"/>
          <w:lang w:eastAsia="zh-CN"/>
        </w:rPr>
        <w:t>经我司渠道</w:t>
      </w:r>
      <w:r>
        <w:rPr>
          <w:rFonts w:hint="eastAsia" w:ascii="仿宋_GB2312" w:hAnsi="仿宋_GB2312" w:eastAsia="仿宋_GB2312" w:cs="仿宋_GB2312"/>
          <w:sz w:val="32"/>
          <w:szCs w:val="32"/>
        </w:rPr>
        <w:t>介入调查，获悉买方已于2021年12月30日向法院申请进入破产前置程序。导致该企业</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余万</w:t>
      </w:r>
      <w:r>
        <w:rPr>
          <w:rFonts w:hint="eastAsia" w:ascii="仿宋_GB2312" w:hAnsi="仿宋_GB2312" w:eastAsia="仿宋_GB2312" w:cs="仿宋_GB2312"/>
          <w:sz w:val="32"/>
          <w:szCs w:val="32"/>
          <w:lang w:eastAsia="zh-CN"/>
        </w:rPr>
        <w:t>美元</w:t>
      </w:r>
      <w:r>
        <w:rPr>
          <w:rFonts w:hint="eastAsia" w:ascii="仿宋_GB2312" w:hAnsi="仿宋_GB2312" w:eastAsia="仿宋_GB2312" w:cs="仿宋_GB2312"/>
          <w:sz w:val="32"/>
          <w:szCs w:val="32"/>
        </w:rPr>
        <w:t>的货款无法收回，对公司造成了较大的资金压力。</w:t>
      </w:r>
    </w:p>
    <w:p>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企业首次报案，</w:t>
      </w:r>
      <w:r>
        <w:rPr>
          <w:rFonts w:hint="eastAsia" w:ascii="仿宋_GB2312" w:hAnsi="仿宋_GB2312" w:eastAsia="仿宋_GB2312" w:cs="仿宋_GB2312"/>
          <w:sz w:val="32"/>
          <w:szCs w:val="32"/>
        </w:rPr>
        <w:t>对索赔单证材料并不熟悉，中国信保深圳分公司在索赔环节提供一切必要的帮助，最终完成了相关单证材料的收集工作。最终该企业获得了15万美金的赔偿。这笔意外之喜及时缓解了企业的资金压力，让企业倍感温暖，备受感动。企业表示，有了政府和中国信保的保驾护航，其对继续开拓海外市场倍添信心。</w:t>
      </w:r>
    </w:p>
    <w:p>
      <w:pPr>
        <w:keepNext w:val="0"/>
        <w:keepLines w:val="0"/>
        <w:pageBreakBefore w:val="0"/>
        <w:kinsoku/>
        <w:wordWrap/>
        <w:overflowPunct/>
        <w:topLinePunct w:val="0"/>
        <w:autoSpaceDE/>
        <w:autoSpaceDN/>
        <w:bidi w:val="0"/>
        <w:adjustRightInd/>
        <w:snapToGrid/>
        <w:spacing w:line="560" w:lineRule="exact"/>
        <w:ind w:firstLine="709" w:firstLineChars="221"/>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案例2</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1407" w:firstLineChars="438"/>
        <w:jc w:val="both"/>
        <w:textAlignment w:val="auto"/>
        <w:rPr>
          <w:rFonts w:ascii="Calibri" w:hAnsi="Calibri" w:cs="Calibri"/>
          <w:b w:val="0"/>
          <w:i w:val="0"/>
          <w:caps w:val="0"/>
          <w:color w:val="000000"/>
          <w:spacing w:val="0"/>
          <w:sz w:val="21"/>
          <w:szCs w:val="21"/>
        </w:rPr>
      </w:pPr>
      <w:r>
        <w:rPr>
          <w:rFonts w:ascii="仿宋_GB2312" w:hAnsi="Calibri" w:eastAsia="仿宋_GB2312" w:cs="仿宋_GB2312"/>
          <w:b/>
          <w:i w:val="0"/>
          <w:caps w:val="0"/>
          <w:color w:val="000000"/>
          <w:spacing w:val="0"/>
          <w:kern w:val="0"/>
          <w:sz w:val="32"/>
          <w:szCs w:val="32"/>
          <w:shd w:val="clear" w:fill="FFFFFF"/>
          <w:lang w:val="en-US" w:eastAsia="zh-CN" w:bidi="ar"/>
        </w:rPr>
        <w:t>利用出口信用保险开拓国际市场发展壮大</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b w:val="0"/>
          <w:i w:val="0"/>
          <w:caps w:val="0"/>
          <w:color w:val="000000"/>
          <w:spacing w:val="0"/>
          <w:sz w:val="21"/>
          <w:szCs w:val="21"/>
        </w:rPr>
      </w:pPr>
      <w:r>
        <w:rPr>
          <w:rFonts w:hint="eastAsia" w:ascii="仿宋_GB2312" w:hAnsi="Calibri" w:eastAsia="仿宋_GB2312" w:cs="仿宋_GB2312"/>
          <w:b w:val="0"/>
          <w:i w:val="0"/>
          <w:caps w:val="0"/>
          <w:color w:val="000000"/>
          <w:spacing w:val="0"/>
          <w:kern w:val="0"/>
          <w:sz w:val="32"/>
          <w:szCs w:val="32"/>
          <w:shd w:val="clear" w:fill="FFFFFF"/>
          <w:lang w:val="en-US" w:eastAsia="zh-CN" w:bidi="ar"/>
        </w:rPr>
        <w:t>深圳市宝安区的A企业是一家医疗器械生产销售一体化的科技企业。该企业获得美国FDA-EUA白名单、欧盟CE、ISO、BSCI、南非SANAS等权威认证，是中国医药保健卫生进出口商会白名单企业。企业领取了大统保保单后，积极利用</w:t>
      </w:r>
      <w:r>
        <w:rPr>
          <w:rFonts w:hint="default" w:ascii="仿宋_GB2312" w:hAnsi="Calibri" w:eastAsia="仿宋_GB2312" w:cs="仿宋_GB2312"/>
          <w:b w:val="0"/>
          <w:i w:val="0"/>
          <w:caps w:val="0"/>
          <w:color w:val="000000"/>
          <w:spacing w:val="0"/>
          <w:kern w:val="0"/>
          <w:sz w:val="32"/>
          <w:szCs w:val="32"/>
          <w:shd w:val="clear" w:fill="FFFFFF"/>
          <w:lang w:eastAsia="zh-CN" w:bidi="ar"/>
        </w:rPr>
        <w:t>中国信保</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深圳分公司为中小微外贸企业提供的“四个线上”服务，使用“线上资信”服务中的“资信导航仪、资信红绿灯和资信报警器”等创新产品寻找海外买家，免费调取了2份买方资信报告确认买方主体，识别买家风险，开拓了欧洲、北美、东南亚国家的医疗器械市场。企业表示去年分公司推送的一份海外买家提单报告，对于公司拓展海外市场帮助很大。通过该提单报告提供的海外买方联系方式，已与选定的买方洽谈业务中。企业表示大统保的增值服务坚定了小微企业“走出去”</w:t>
      </w:r>
      <w:r>
        <w:rPr>
          <w:rFonts w:hint="default" w:ascii="仿宋_GB2312" w:hAnsi="Calibri" w:eastAsia="仿宋_GB2312" w:cs="仿宋_GB2312"/>
          <w:b w:val="0"/>
          <w:i w:val="0"/>
          <w:caps w:val="0"/>
          <w:color w:val="000000"/>
          <w:spacing w:val="0"/>
          <w:kern w:val="0"/>
          <w:sz w:val="32"/>
          <w:szCs w:val="32"/>
          <w:shd w:val="clear" w:fill="FFFFFF"/>
          <w:lang w:eastAsia="zh-CN" w:bidi="ar"/>
        </w:rPr>
        <w:t>的</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信心和决心，将会考虑自行投保风险保障程度更高的综合险产品，以满足其日益增长的业务需要。企业生产销售的医用口罩、FFP2口罩及医院中心供氧系统设备等,为全球抗击疫情贡献了中国力量。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E0002AFF" w:usb1="C0007843" w:usb2="00000009" w:usb3="00000000" w:csb0="400001FF" w:csb1="FFFF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8"/>
                              <w:szCs w:val="28"/>
                              <w:lang w:eastAsia="zh-CN"/>
                            </w:rPr>
                          </w:pPr>
                          <w:r>
                            <w:rPr>
                              <w:rFonts w:hint="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eastAsiaTheme="minorEastAsia"/>
                        <w:sz w:val="28"/>
                        <w:szCs w:val="28"/>
                        <w:lang w:eastAsia="zh-CN"/>
                      </w:rPr>
                    </w:pPr>
                    <w:r>
                      <w:rPr>
                        <w:rFonts w:hint="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C78A38"/>
    <w:multiLevelType w:val="singleLevel"/>
    <w:tmpl w:val="4CC78A38"/>
    <w:lvl w:ilvl="0" w:tentative="0">
      <w:start w:val="1"/>
      <w:numFmt w:val="chineseCounting"/>
      <w:suff w:val="nothing"/>
      <w:lvlText w:val="%1、"/>
      <w:lvlJc w:val="left"/>
      <w:pPr>
        <w:ind w:left="66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D0111"/>
    <w:rsid w:val="0C74337A"/>
    <w:rsid w:val="1A1D0111"/>
    <w:rsid w:val="342154D2"/>
    <w:rsid w:val="3BCB416A"/>
    <w:rsid w:val="3F2953BF"/>
    <w:rsid w:val="A9799F45"/>
    <w:rsid w:val="F75B1E10"/>
    <w:rsid w:val="FFE76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Body Text First Indent"/>
    <w:basedOn w:val="2"/>
    <w:qFormat/>
    <w:uiPriority w:val="0"/>
    <w:pPr>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2022-05-14T01:06:00Z</dcterms:created>
  <dc:creator>詹梓灏</dc:creator>
  <cp:lastModifiedBy>黎恩</cp:lastModifiedBy>
  <dcterms:modified xsi:type="dcterms:W3CDTF">2022-05-26T11:26:56Z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