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jc w:val="both"/>
        <w:textAlignment w:val="auto"/>
        <w:rPr>
          <w:rFonts w:hint="default" w:ascii="黑体" w:hAnsi="黑体" w:eastAsia="黑体" w:cs="黑体"/>
          <w:bCs/>
          <w:sz w:val="32"/>
          <w:szCs w:val="32"/>
          <w:lang w:eastAsia="zh-CN"/>
        </w:rPr>
      </w:pPr>
      <w:r>
        <w:rPr>
          <w:rFonts w:hint="eastAsia" w:ascii="黑体" w:hAnsi="黑体" w:eastAsia="黑体" w:cs="黑体"/>
          <w:bCs/>
          <w:sz w:val="32"/>
          <w:szCs w:val="32"/>
          <w:lang w:val="en-US" w:eastAsia="zh-CN"/>
        </w:rPr>
        <w:t>附件</w:t>
      </w:r>
      <w:r>
        <w:rPr>
          <w:rFonts w:hint="default" w:ascii="黑体" w:hAnsi="黑体" w:eastAsia="黑体" w:cs="黑体"/>
          <w:bCs/>
          <w:sz w:val="32"/>
          <w:szCs w:val="32"/>
          <w:lang w:eastAsia="zh-CN"/>
        </w:rPr>
        <w:t>1</w:t>
      </w:r>
    </w:p>
    <w:p>
      <w:pPr>
        <w:pStyle w:val="2"/>
        <w:keepNext w:val="0"/>
        <w:keepLines w:val="0"/>
        <w:pageBreakBefore w:val="0"/>
        <w:tabs>
          <w:tab w:val="left" w:pos="2780"/>
        </w:tabs>
        <w:kinsoku/>
        <w:overflowPunct/>
        <w:topLinePunct w:val="0"/>
        <w:autoSpaceDE/>
        <w:autoSpaceDN/>
        <w:bidi w:val="0"/>
        <w:spacing w:line="560" w:lineRule="exact"/>
        <w:ind w:firstLine="0" w:firstLineChars="0"/>
        <w:textAlignment w:val="auto"/>
        <w:rPr>
          <w:rFonts w:hint="default" w:eastAsiaTheme="minorEastAsia"/>
          <w:sz w:val="32"/>
          <w:szCs w:val="32"/>
          <w:lang w:val="en-US" w:eastAsia="zh-CN"/>
        </w:rPr>
      </w:pPr>
      <w:r>
        <w:rPr>
          <w:rFonts w:hint="eastAsia"/>
          <w:sz w:val="32"/>
          <w:szCs w:val="32"/>
          <w:lang w:eastAsia="zh-CN"/>
        </w:rPr>
        <w:tab/>
      </w:r>
      <w:r>
        <w:rPr>
          <w:rFonts w:hint="eastAsia"/>
          <w:sz w:val="32"/>
          <w:szCs w:val="32"/>
          <w:lang w:val="en-US" w:eastAsia="zh-CN"/>
        </w:rPr>
        <w:t xml:space="preserve"> </w:t>
      </w:r>
    </w:p>
    <w:p>
      <w:pPr>
        <w:keepNext w:val="0"/>
        <w:keepLines w:val="0"/>
        <w:pageBreakBefore w:val="0"/>
        <w:kinsoku/>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深圳市</w:t>
      </w:r>
      <w:r>
        <w:rPr>
          <w:rFonts w:hint="eastAsia" w:ascii="方正小标宋简体" w:hAnsi="方正小标宋简体" w:eastAsia="方正小标宋简体" w:cs="方正小标宋简体"/>
          <w:bCs/>
          <w:sz w:val="44"/>
          <w:szCs w:val="44"/>
          <w:lang w:eastAsia="zh-CN"/>
        </w:rPr>
        <w:t>跨国公司</w:t>
      </w:r>
      <w:r>
        <w:rPr>
          <w:rFonts w:hint="eastAsia" w:ascii="方正小标宋简体" w:hAnsi="方正小标宋简体" w:eastAsia="方正小标宋简体" w:cs="方正小标宋简体"/>
          <w:bCs/>
          <w:sz w:val="44"/>
          <w:szCs w:val="44"/>
        </w:rPr>
        <w:t>总部企业</w:t>
      </w:r>
      <w:r>
        <w:rPr>
          <w:rFonts w:hint="eastAsia" w:ascii="方正小标宋简体" w:hAnsi="方正小标宋简体" w:eastAsia="方正小标宋简体" w:cs="方正小标宋简体"/>
          <w:bCs/>
          <w:sz w:val="44"/>
          <w:szCs w:val="44"/>
          <w:lang w:eastAsia="zh-CN"/>
        </w:rPr>
        <w:t>认定</w:t>
      </w:r>
      <w:r>
        <w:rPr>
          <w:rFonts w:hint="eastAsia" w:ascii="方正小标宋简体" w:hAnsi="方正小标宋简体" w:eastAsia="方正小标宋简体" w:cs="方正小标宋简体"/>
          <w:bCs/>
          <w:sz w:val="44"/>
          <w:szCs w:val="44"/>
        </w:rPr>
        <w:t>申报指</w:t>
      </w:r>
      <w:r>
        <w:rPr>
          <w:rFonts w:hint="eastAsia" w:ascii="方正小标宋简体" w:hAnsi="方正小标宋简体" w:eastAsia="方正小标宋简体" w:cs="方正小标宋简体"/>
          <w:bCs/>
          <w:sz w:val="44"/>
          <w:szCs w:val="44"/>
          <w:lang w:eastAsia="zh-CN"/>
        </w:rPr>
        <w:t>引（</w:t>
      </w:r>
      <w:r>
        <w:rPr>
          <w:rFonts w:hint="eastAsia" w:ascii="方正小标宋简体" w:hAnsi="方正小标宋简体" w:eastAsia="方正小标宋简体" w:cs="方正小标宋简体"/>
          <w:bCs/>
          <w:sz w:val="44"/>
          <w:szCs w:val="44"/>
          <w:lang w:val="en-US" w:eastAsia="zh-CN"/>
        </w:rPr>
        <w:t>2022</w:t>
      </w:r>
      <w:r>
        <w:rPr>
          <w:rFonts w:hint="eastAsia" w:ascii="方正小标宋简体" w:hAnsi="方正小标宋简体" w:eastAsia="方正小标宋简体" w:cs="方正小标宋简体"/>
          <w:bCs/>
          <w:sz w:val="44"/>
          <w:szCs w:val="44"/>
          <w:lang w:eastAsia="zh-CN"/>
        </w:rPr>
        <w:t>）</w:t>
      </w:r>
    </w:p>
    <w:p>
      <w:pPr>
        <w:keepNext w:val="0"/>
        <w:keepLines w:val="0"/>
        <w:pageBreakBefore w:val="0"/>
        <w:widowControl/>
        <w:shd w:val="clear" w:color="auto" w:fill="FFFFFF"/>
        <w:kinsoku/>
        <w:overflowPunct/>
        <w:topLinePunct w:val="0"/>
        <w:autoSpaceDE/>
        <w:autoSpaceDN/>
        <w:bidi w:val="0"/>
        <w:spacing w:line="560" w:lineRule="exact"/>
        <w:jc w:val="center"/>
        <w:textAlignment w:val="auto"/>
        <w:rPr>
          <w:rFonts w:ascii="宋体" w:hAnsi="宋体" w:eastAsia="宋体" w:cs="宋体"/>
          <w:b/>
          <w:color w:val="000000" w:themeColor="text1"/>
          <w:kern w:val="0"/>
          <w:sz w:val="44"/>
          <w:szCs w:val="44"/>
          <w14:textFill>
            <w14:solidFill>
              <w14:schemeClr w14:val="tx1"/>
            </w14:solidFill>
          </w14:textFill>
        </w:rPr>
      </w:pP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一、制定依据</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一</w:t>
      </w:r>
      <w:r>
        <w:rPr>
          <w:rFonts w:hint="eastAsia" w:ascii="仿宋_GB2312" w:eastAsia="仿宋_GB2312"/>
          <w:bCs/>
          <w:sz w:val="32"/>
          <w:szCs w:val="32"/>
          <w:lang w:eastAsia="zh-CN"/>
        </w:rPr>
        <w:t>）</w:t>
      </w:r>
      <w:r>
        <w:rPr>
          <w:rFonts w:hint="eastAsia" w:ascii="仿宋_GB2312" w:eastAsia="仿宋_GB2312"/>
          <w:bCs/>
          <w:sz w:val="32"/>
          <w:szCs w:val="32"/>
        </w:rPr>
        <w:t>《国务院关于进一步做好利用外资工作的意见》（国发〔2019〕23号）</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二</w:t>
      </w:r>
      <w:r>
        <w:rPr>
          <w:rFonts w:hint="eastAsia" w:ascii="仿宋_GB2312" w:eastAsia="仿宋_GB2312"/>
          <w:bCs/>
          <w:sz w:val="32"/>
          <w:szCs w:val="32"/>
          <w:lang w:eastAsia="zh-CN"/>
        </w:rPr>
        <w:t>）</w:t>
      </w:r>
      <w:r>
        <w:rPr>
          <w:rFonts w:hint="eastAsia" w:ascii="仿宋_GB2312" w:eastAsia="仿宋_GB2312"/>
          <w:bCs/>
          <w:sz w:val="32"/>
          <w:szCs w:val="32"/>
        </w:rPr>
        <w:t>《深圳市关于进一步扩大利用外资规模提升利用外资质量的若干措施（修订版）》（深府函〔2019〕63号）</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深圳市鼓励跨国公司设立总部企业办法</w:t>
      </w:r>
      <w:r>
        <w:rPr>
          <w:rFonts w:hint="eastAsia" w:ascii="仿宋_GB2312" w:hAnsi="仿宋_GB2312" w:eastAsia="仿宋_GB2312" w:cs="仿宋_GB2312"/>
          <w:sz w:val="32"/>
          <w:szCs w:val="32"/>
          <w:lang w:eastAsia="zh-CN"/>
        </w:rPr>
        <w:t>》（深府办规</w:t>
      </w:r>
      <w:r>
        <w:rPr>
          <w:rFonts w:hint="eastAsia" w:ascii="仿宋_GB2312" w:eastAsia="仿宋_GB2312"/>
          <w:bCs/>
          <w:sz w:val="32"/>
          <w:szCs w:val="32"/>
        </w:rPr>
        <w:t>〔202</w:t>
      </w:r>
      <w:r>
        <w:rPr>
          <w:rFonts w:hint="eastAsia" w:ascii="仿宋_GB2312" w:eastAsia="仿宋_GB2312"/>
          <w:bCs/>
          <w:sz w:val="32"/>
          <w:szCs w:val="32"/>
          <w:lang w:val="en-US" w:eastAsia="zh-CN"/>
        </w:rPr>
        <w:t>1</w:t>
      </w:r>
      <w:r>
        <w:rPr>
          <w:rFonts w:hint="eastAsia" w:ascii="仿宋_GB2312" w:eastAsia="仿宋_GB2312"/>
          <w:bCs/>
          <w:sz w:val="32"/>
          <w:szCs w:val="32"/>
        </w:rPr>
        <w:t>〕</w:t>
      </w:r>
      <w:r>
        <w:rPr>
          <w:rFonts w:hint="eastAsia" w:ascii="仿宋_GB2312" w:hAnsi="仿宋_GB2312" w:eastAsia="仿宋_GB2312" w:cs="仿宋_GB2312"/>
          <w:sz w:val="32"/>
          <w:szCs w:val="32"/>
          <w:lang w:eastAsia="zh-CN"/>
        </w:rPr>
        <w:t>2号）</w:t>
      </w:r>
    </w:p>
    <w:p>
      <w:pPr>
        <w:keepNext w:val="0"/>
        <w:keepLines w:val="0"/>
        <w:pageBreakBefore w:val="0"/>
        <w:numPr>
          <w:ilvl w:val="-1"/>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二、适用对象</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《深圳市跨国公司总部企业认定申报指引（202</w:t>
      </w: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eastAsia="zh-CN"/>
        </w:rPr>
        <w:t>跨国公司</w:t>
      </w:r>
      <w:r>
        <w:rPr>
          <w:rFonts w:hint="eastAsia" w:ascii="仿宋_GB2312" w:hAnsi="仿宋_GB2312" w:eastAsia="仿宋_GB2312" w:cs="仿宋_GB2312"/>
          <w:sz w:val="32"/>
          <w:szCs w:val="32"/>
        </w:rPr>
        <w:t>总部企业，是指跨国公司设立的地区总部和具有总部功能的机构。</w:t>
      </w:r>
    </w:p>
    <w:p>
      <w:pPr>
        <w:keepNext w:val="0"/>
        <w:keepLines w:val="0"/>
        <w:pageBreakBefore w:val="0"/>
        <w:numPr>
          <w:ilvl w:val="-1"/>
          <w:numId w:val="0"/>
        </w:numPr>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sz w:val="32"/>
          <w:szCs w:val="32"/>
          <w:lang w:eastAsia="zh-CN"/>
        </w:rPr>
        <w:t>（一）总部定义</w:t>
      </w:r>
    </w:p>
    <w:p>
      <w:pPr>
        <w:keepNext w:val="0"/>
        <w:keepLines w:val="0"/>
        <w:pageBreakBefore w:val="0"/>
        <w:numPr>
          <w:ilvl w:val="-1"/>
          <w:numId w:val="0"/>
        </w:numPr>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sz w:val="32"/>
          <w:szCs w:val="32"/>
        </w:rPr>
        <w:t>跨国公司地区总部是指在境外注册的母公司在本市设立，以投资或授权形式对在一个国家（或地区）以上区域内的企业履行管理和服务职能的唯一总机构。跨国公司须以外商投资投资性公司、管理性公司等具有独立法人资格的企业组织形式在本市设立地区总部。</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跨国公司具有总部功能的机构是指未达到跨国公司地区总部标准，实际承担境外母公司在一个国家（或地区）以上区域内的</w:t>
      </w:r>
      <w:r>
        <w:rPr>
          <w:rFonts w:hint="eastAsia" w:ascii="仿宋_GB2312" w:hAnsi="仿宋_GB2312" w:eastAsia="仿宋_GB2312" w:cs="仿宋_GB2312"/>
          <w:color w:val="auto"/>
          <w:kern w:val="2"/>
          <w:sz w:val="32"/>
          <w:szCs w:val="32"/>
          <w:highlight w:val="none"/>
          <w:lang w:val="en-US" w:eastAsia="zh-CN"/>
        </w:rPr>
        <w:t>拓展研发、销售、贸易、结算、数据等功能</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rPr>
        <w:t>外商投资企业（含分支机构）。</w:t>
      </w:r>
    </w:p>
    <w:p>
      <w:pPr>
        <w:pStyle w:val="2"/>
        <w:keepNext w:val="0"/>
        <w:keepLines w:val="0"/>
        <w:pageBreakBefore w:val="0"/>
        <w:kinsoku/>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（二）地区总部和具有总部功能的机构不含房地产、金融及类金融等行业领域，上述行业总部认定另行按照相关行业政策执行。</w:t>
      </w:r>
    </w:p>
    <w:p>
      <w:pPr>
        <w:pStyle w:val="2"/>
        <w:keepNext w:val="0"/>
        <w:keepLines w:val="0"/>
        <w:pageBreakBefore w:val="0"/>
        <w:kinsoku/>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i w:val="0"/>
          <w:caps w:val="0"/>
          <w:color w:val="auto"/>
          <w:spacing w:val="0"/>
          <w:sz w:val="32"/>
          <w:szCs w:val="32"/>
          <w:shd w:val="clear"/>
          <w:lang w:eastAsia="zh-CN"/>
        </w:rPr>
        <w:t>（三）</w:t>
      </w:r>
      <w:r>
        <w:rPr>
          <w:rFonts w:hint="eastAsia" w:ascii="仿宋_GB2312" w:hAnsi="仿宋_GB2312" w:eastAsia="仿宋_GB2312" w:cs="仿宋_GB2312"/>
          <w:sz w:val="32"/>
          <w:szCs w:val="32"/>
        </w:rPr>
        <w:t>香港、澳门、台湾地区符合条件的跨国公司在本市设立总部企</w:t>
      </w:r>
      <w:r>
        <w:rPr>
          <w:rFonts w:hint="eastAsia" w:ascii="仿宋_GB2312" w:hAnsi="仿宋_GB2312" w:eastAsia="仿宋_GB2312" w:cs="仿宋_GB2312"/>
          <w:b w:val="0"/>
          <w:bCs w:val="0"/>
          <w:sz w:val="32"/>
          <w:szCs w:val="32"/>
        </w:rPr>
        <w:t>业，</w:t>
      </w:r>
      <w:r>
        <w:rPr>
          <w:rFonts w:hint="eastAsia" w:ascii="仿宋_GB2312" w:hAnsi="仿宋_GB2312" w:eastAsia="仿宋_GB2312" w:cs="仿宋_GB2312"/>
          <w:b w:val="0"/>
          <w:bCs w:val="0"/>
          <w:sz w:val="32"/>
          <w:szCs w:val="32"/>
          <w:lang w:eastAsia="zh-CN"/>
        </w:rPr>
        <w:t>按照</w:t>
      </w:r>
      <w:r>
        <w:rPr>
          <w:rFonts w:hint="eastAsia" w:ascii="仿宋_GB2312" w:hAnsi="仿宋_GB2312" w:eastAsia="仿宋_GB2312" w:cs="仿宋_GB2312"/>
          <w:b w:val="0"/>
          <w:bCs w:val="0"/>
          <w:sz w:val="32"/>
          <w:szCs w:val="32"/>
        </w:rPr>
        <w:t>本</w:t>
      </w:r>
      <w:r>
        <w:rPr>
          <w:rFonts w:hint="eastAsia" w:ascii="仿宋_GB2312" w:hAnsi="仿宋_GB2312" w:eastAsia="仿宋_GB2312" w:cs="仿宋_GB2312"/>
          <w:b w:val="0"/>
          <w:bCs w:val="0"/>
          <w:sz w:val="32"/>
          <w:szCs w:val="32"/>
          <w:lang w:eastAsia="zh-CN"/>
        </w:rPr>
        <w:t>申报指引</w:t>
      </w:r>
      <w:r>
        <w:rPr>
          <w:rFonts w:hint="eastAsia" w:ascii="仿宋_GB2312" w:hAnsi="仿宋_GB2312" w:eastAsia="仿宋_GB2312" w:cs="仿宋_GB2312"/>
          <w:sz w:val="32"/>
          <w:szCs w:val="32"/>
        </w:rPr>
        <w:t>执行。</w:t>
      </w:r>
    </w:p>
    <w:p>
      <w:pPr>
        <w:keepNext w:val="0"/>
        <w:keepLines w:val="0"/>
        <w:pageBreakBefore w:val="0"/>
        <w:numPr>
          <w:ilvl w:val="-1"/>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申报条件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申报地区总部应具备以下条件：</w:t>
      </w:r>
    </w:p>
    <w:p>
      <w:pPr>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符合总部定义。</w:t>
      </w:r>
    </w:p>
    <w:p>
      <w:pPr>
        <w:pStyle w:val="8"/>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申报企业具有独立法人资格，且注册地在深圳市内</w:t>
      </w:r>
      <w:r>
        <w:rPr>
          <w:rFonts w:hint="eastAsia" w:ascii="仿宋_GB2312" w:hAnsi="仿宋_GB2312" w:eastAsia="仿宋_GB2312" w:cs="仿宋_GB2312"/>
          <w:kern w:val="2"/>
          <w:sz w:val="32"/>
          <w:szCs w:val="32"/>
          <w:lang w:eastAsia="zh-CN"/>
        </w:rPr>
        <w:t>（含深汕特别合作区，下同）</w:t>
      </w:r>
      <w:r>
        <w:rPr>
          <w:rFonts w:hint="eastAsia" w:ascii="仿宋_GB2312" w:hAnsi="仿宋_GB2312" w:eastAsia="仿宋_GB2312" w:cs="仿宋_GB2312"/>
          <w:kern w:val="2"/>
          <w:sz w:val="32"/>
          <w:szCs w:val="32"/>
        </w:rPr>
        <w:t>，申报企业实缴注册资本不低于200万美元。</w:t>
      </w:r>
    </w:p>
    <w:p>
      <w:pPr>
        <w:pStyle w:val="8"/>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申报企业被授权管理的境内外独立法人企业不少于2家，其中至少有1家注册在深圳市内。</w:t>
      </w:r>
    </w:p>
    <w:p>
      <w:pPr>
        <w:pStyle w:val="8"/>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母公司资产总额不低于2亿美元。服务业领域企业设立地区总部的，母公司资产总额不低于1亿美元。</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（二）申报具有总部功能的机构应具备以下条件：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1.符合总部定义。</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2.</w:t>
      </w:r>
      <w:r>
        <w:rPr>
          <w:rFonts w:hint="eastAsia" w:ascii="仿宋_GB2312" w:eastAsia="仿宋_GB2312"/>
          <w:b w:val="0"/>
          <w:bCs w:val="0"/>
          <w:sz w:val="32"/>
          <w:szCs w:val="32"/>
          <w:highlight w:val="none"/>
          <w:lang w:eastAsia="zh-CN"/>
        </w:rPr>
        <w:t>具有独立法人资格的外商投资企业或其分支机构，且注册地在深圳市内，申报企业实缴的注册资本不低于</w:t>
      </w:r>
      <w:r>
        <w:rPr>
          <w:rFonts w:hint="eastAsia" w:ascii="仿宋_GB2312" w:eastAsia="仿宋_GB2312"/>
          <w:b w:val="0"/>
          <w:bCs w:val="0"/>
          <w:sz w:val="32"/>
          <w:szCs w:val="32"/>
          <w:highlight w:val="none"/>
          <w:lang w:val="en-US" w:eastAsia="zh-CN"/>
        </w:rPr>
        <w:t>100</w:t>
      </w:r>
      <w:r>
        <w:rPr>
          <w:rFonts w:hint="eastAsia" w:ascii="仿宋_GB2312" w:eastAsia="仿宋_GB2312"/>
          <w:b w:val="0"/>
          <w:bCs w:val="0"/>
          <w:sz w:val="32"/>
          <w:szCs w:val="32"/>
          <w:highlight w:val="none"/>
          <w:lang w:eastAsia="zh-CN"/>
        </w:rPr>
        <w:t>万美元。如以分支机构形式设立的，总公司拨付的运营资金应不低于</w:t>
      </w:r>
      <w:r>
        <w:rPr>
          <w:rFonts w:hint="eastAsia" w:ascii="仿宋_GB2312" w:eastAsia="仿宋_GB2312"/>
          <w:b w:val="0"/>
          <w:bCs w:val="0"/>
          <w:sz w:val="32"/>
          <w:szCs w:val="32"/>
          <w:highlight w:val="none"/>
          <w:lang w:val="en-US" w:eastAsia="zh-CN"/>
        </w:rPr>
        <w:t>100</w:t>
      </w:r>
      <w:r>
        <w:rPr>
          <w:rFonts w:hint="eastAsia" w:ascii="仿宋_GB2312" w:eastAsia="仿宋_GB2312"/>
          <w:b w:val="0"/>
          <w:bCs w:val="0"/>
          <w:sz w:val="32"/>
          <w:szCs w:val="32"/>
          <w:highlight w:val="none"/>
          <w:lang w:eastAsia="zh-CN"/>
        </w:rPr>
        <w:t>万美元。</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母公司资产总额不低于1亿美元。</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4.</w:t>
      </w:r>
      <w:r>
        <w:rPr>
          <w:rFonts w:hint="eastAsia" w:ascii="仿宋_GB2312" w:eastAsia="仿宋_GB2312"/>
          <w:b w:val="0"/>
          <w:bCs w:val="0"/>
          <w:sz w:val="32"/>
          <w:szCs w:val="32"/>
          <w:highlight w:val="none"/>
          <w:lang w:eastAsia="zh-CN"/>
        </w:rPr>
        <w:t>经母公司授权，承担在一个国家（或地区）以上区域内的</w:t>
      </w:r>
      <w:r>
        <w:rPr>
          <w:rFonts w:hint="eastAsia" w:ascii="仿宋_GB2312" w:eastAsia="仿宋_GB2312"/>
          <w:b w:val="0"/>
          <w:bCs w:val="0"/>
          <w:sz w:val="32"/>
          <w:szCs w:val="32"/>
          <w:highlight w:val="none"/>
          <w:lang w:val="en-US" w:eastAsia="zh-CN"/>
        </w:rPr>
        <w:t>拓展研发、销售、贸易、结算、数据</w:t>
      </w:r>
      <w:r>
        <w:rPr>
          <w:rFonts w:hint="eastAsia" w:ascii="仿宋_GB2312" w:eastAsia="仿宋_GB2312"/>
          <w:b w:val="0"/>
          <w:bCs w:val="0"/>
          <w:sz w:val="32"/>
          <w:szCs w:val="32"/>
          <w:highlight w:val="none"/>
          <w:lang w:eastAsia="zh-CN"/>
        </w:rPr>
        <w:t>等总部功能。</w:t>
      </w:r>
    </w:p>
    <w:p>
      <w:pPr>
        <w:pStyle w:val="2"/>
        <w:keepNext w:val="0"/>
        <w:keepLines w:val="0"/>
        <w:pageBreakBefore w:val="0"/>
        <w:kinsoku/>
        <w:overflowPunct/>
        <w:topLinePunct w:val="0"/>
        <w:autoSpaceDE/>
        <w:autoSpaceDN/>
        <w:bidi w:val="0"/>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b w:val="0"/>
          <w:bCs w:val="0"/>
          <w:sz w:val="32"/>
          <w:szCs w:val="32"/>
          <w:highlight w:val="none"/>
          <w:lang w:eastAsia="zh-CN"/>
        </w:rPr>
        <w:t>（三）</w:t>
      </w:r>
      <w:r>
        <w:rPr>
          <w:rFonts w:hint="eastAsia" w:ascii="CESI仿宋-GB2312" w:hAnsi="CESI仿宋-GB2312" w:eastAsia="CESI仿宋-GB2312" w:cs="CESI仿宋-GB2312"/>
          <w:b w:val="0"/>
          <w:i w:val="0"/>
          <w:caps w:val="0"/>
          <w:color w:val="auto"/>
          <w:spacing w:val="0"/>
          <w:sz w:val="32"/>
          <w:szCs w:val="32"/>
          <w:shd w:val="clear"/>
        </w:rPr>
        <w:t>申报主体未被列入失信联合惩戒名单，或至申报之日已移出失信联合惩戒名单。</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四、申报材料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eastAsia="zh-CN"/>
        </w:rPr>
        <w:t>申报企业提交以下初审材料。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（一）初审材料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深圳市跨国公司总部企业认定申请表。</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2.申报承诺书</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母公司授权签字人</w:t>
      </w:r>
      <w:bookmarkStart w:id="0" w:name="_GoBack"/>
      <w:bookmarkEnd w:id="0"/>
      <w:r>
        <w:rPr>
          <w:rFonts w:hint="eastAsia" w:ascii="仿宋_GB2312" w:eastAsia="仿宋_GB2312"/>
          <w:b w:val="0"/>
          <w:bCs w:val="0"/>
          <w:sz w:val="32"/>
          <w:szCs w:val="32"/>
          <w:highlight w:val="none"/>
          <w:lang w:eastAsia="zh-CN"/>
        </w:rPr>
        <w:t>签署的跨国公司地区总部或具有总部功能的机构基本职能的授权文件。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4.</w:t>
      </w:r>
      <w:r>
        <w:rPr>
          <w:rFonts w:hint="eastAsia" w:ascii="仿宋_GB2312" w:eastAsia="仿宋_GB2312"/>
          <w:b w:val="0"/>
          <w:bCs w:val="0"/>
          <w:sz w:val="32"/>
          <w:szCs w:val="32"/>
          <w:highlight w:val="none"/>
          <w:lang w:eastAsia="zh-CN"/>
        </w:rPr>
        <w:t>申请企业的营业执照(验原件，提供复印件)。具有总部功能的机构为分支机构的，还需提供深圳分公司营业执照及总公司拨付运营资金的证明文件。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5.</w:t>
      </w:r>
      <w:r>
        <w:rPr>
          <w:rFonts w:hint="eastAsia" w:ascii="仿宋_GB2312" w:eastAsia="仿宋_GB2312"/>
          <w:b w:val="0"/>
          <w:bCs w:val="0"/>
          <w:sz w:val="32"/>
          <w:szCs w:val="32"/>
          <w:highlight w:val="none"/>
          <w:lang w:eastAsia="zh-CN"/>
        </w:rPr>
        <w:t>母公司近一年度审计报告</w:t>
      </w:r>
      <w:r>
        <w:rPr>
          <w:rFonts w:hint="default" w:ascii="仿宋_GB2312" w:hAnsi="仿宋_GB2312" w:eastAsia="仿宋_GB2312" w:cs="仿宋_GB2312"/>
          <w:b w:val="0"/>
          <w:bCs w:val="0"/>
          <w:sz w:val="32"/>
          <w:szCs w:val="32"/>
          <w:highlight w:val="none"/>
          <w:lang w:eastAsia="zh-CN"/>
        </w:rPr>
        <w:t>（或由</w:t>
      </w:r>
      <w:r>
        <w:rPr>
          <w:rFonts w:hint="default" w:ascii="仿宋_GB2312" w:hAnsi="仿宋_GB2312" w:eastAsia="仿宋_GB2312" w:cs="仿宋_GB2312"/>
          <w:sz w:val="32"/>
          <w:szCs w:val="32"/>
          <w:highlight w:val="none"/>
          <w:lang w:eastAsia="zh-CN"/>
        </w:rPr>
        <w:t>100%控股母公司的上级公司提供</w:t>
      </w:r>
      <w:r>
        <w:rPr>
          <w:rFonts w:hint="default" w:ascii="仿宋_GB2312" w:hAnsi="仿宋_GB2312" w:eastAsia="仿宋_GB2312" w:cs="仿宋_GB2312"/>
          <w:b w:val="0"/>
          <w:bCs w:val="0"/>
          <w:sz w:val="32"/>
          <w:szCs w:val="32"/>
          <w:highlight w:val="none"/>
          <w:lang w:eastAsia="zh-CN"/>
        </w:rPr>
        <w:t>）</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6.申报企业近一年度审计报告。</w:t>
      </w:r>
    </w:p>
    <w:p>
      <w:pPr>
        <w:pStyle w:val="2"/>
        <w:keepNext w:val="0"/>
        <w:keepLines w:val="0"/>
        <w:pageBreakBefore w:val="0"/>
        <w:kinsoku/>
        <w:overflowPunct/>
        <w:topLinePunct w:val="0"/>
        <w:autoSpaceDE/>
        <w:autoSpaceDN/>
        <w:bidi w:val="0"/>
        <w:spacing w:line="560" w:lineRule="exact"/>
        <w:ind w:firstLine="640" w:firstLineChars="200"/>
        <w:textAlignment w:val="auto"/>
        <w:rPr>
          <w:rFonts w:hint="default"/>
          <w:highlight w:val="none"/>
          <w:lang w:eastAsia="zh-CN"/>
        </w:rPr>
      </w:pPr>
      <w:r>
        <w:rPr>
          <w:rFonts w:hint="default" w:ascii="仿宋_GB2312" w:hAnsi="仿宋_GB2312" w:eastAsia="仿宋_GB2312" w:cs="仿宋_GB2312"/>
          <w:sz w:val="32"/>
          <w:szCs w:val="32"/>
          <w:highlight w:val="none"/>
          <w:lang w:eastAsia="zh-CN"/>
        </w:rPr>
        <w:t>7.申报企业需提供企业股权架构图。</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8.</w:t>
      </w:r>
      <w:r>
        <w:rPr>
          <w:rFonts w:hint="eastAsia" w:ascii="仿宋_GB2312" w:eastAsia="仿宋_GB2312"/>
          <w:b w:val="0"/>
          <w:bCs w:val="0"/>
          <w:sz w:val="32"/>
          <w:szCs w:val="32"/>
          <w:highlight w:val="none"/>
          <w:lang w:eastAsia="zh-CN"/>
        </w:rPr>
        <w:t>被授权管理的境内外企业的营业执照或注册登记证明材料(复印件)。</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（二）初审材料报送要求</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default" w:ascii="仿宋_GB2312" w:eastAsia="仿宋_GB2312"/>
          <w:sz w:val="32"/>
          <w:szCs w:val="32"/>
          <w:lang w:eastAsia="zh-CN"/>
        </w:rPr>
      </w:pPr>
      <w:r>
        <w:rPr>
          <w:rFonts w:hint="eastAsia" w:ascii="仿宋_GB2312" w:eastAsia="仿宋_GB2312"/>
          <w:b w:val="0"/>
          <w:bCs w:val="0"/>
          <w:sz w:val="32"/>
          <w:szCs w:val="32"/>
          <w:highlight w:val="none"/>
          <w:lang w:eastAsia="zh-CN"/>
        </w:rPr>
        <w:t>初审材料提交至</w:t>
      </w:r>
      <w:r>
        <w:rPr>
          <w:rFonts w:hint="default" w:ascii="仿宋_GB2312" w:eastAsia="仿宋_GB2312"/>
          <w:b w:val="0"/>
          <w:bCs w:val="0"/>
          <w:sz w:val="32"/>
          <w:szCs w:val="32"/>
          <w:highlight w:val="none"/>
          <w:lang w:eastAsia="zh-CN"/>
        </w:rPr>
        <w:t>大鹏新区科技创新和经济服务局。</w:t>
      </w:r>
    </w:p>
    <w:p>
      <w:pPr>
        <w:pStyle w:val="8"/>
        <w:keepNext w:val="0"/>
        <w:keepLines w:val="0"/>
        <w:pageBreakBefore w:val="0"/>
        <w:kinsoku/>
        <w:overflowPunct/>
        <w:topLinePunct w:val="0"/>
        <w:autoSpaceDE/>
        <w:autoSpaceDN/>
        <w:bidi w:val="0"/>
        <w:spacing w:before="0" w:beforeAutospacing="0" w:after="0" w:afterAutospacing="0" w:line="56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hAnsi="仿宋_GB2312" w:eastAsia="仿宋_GB2312" w:cs="仿宋_GB2312"/>
          <w:color w:val="000000"/>
          <w:sz w:val="32"/>
          <w:szCs w:val="32"/>
        </w:rPr>
        <w:t>前款规定未列明提供复印件的，应当提供文件的正本</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2.申报材料需加盖申报企业公章，多页的需加盖</w:t>
      </w:r>
      <w:r>
        <w:rPr>
          <w:rFonts w:hint="eastAsia" w:ascii="仿宋_GB2312" w:eastAsia="仿宋_GB2312"/>
          <w:sz w:val="32"/>
          <w:szCs w:val="32"/>
        </w:rPr>
        <w:t>骑缝</w:t>
      </w:r>
      <w:r>
        <w:rPr>
          <w:rFonts w:hint="eastAsia" w:ascii="仿宋_GB2312" w:eastAsia="仿宋_GB2312"/>
          <w:sz w:val="32"/>
          <w:szCs w:val="32"/>
          <w:lang w:eastAsia="zh-CN"/>
        </w:rPr>
        <w:t>公</w:t>
      </w:r>
      <w:r>
        <w:rPr>
          <w:rFonts w:hint="eastAsia" w:ascii="仿宋_GB2312" w:eastAsia="仿宋_GB2312"/>
          <w:sz w:val="32"/>
          <w:szCs w:val="32"/>
        </w:rPr>
        <w:t>章</w:t>
      </w:r>
      <w:r>
        <w:rPr>
          <w:rFonts w:hint="eastAsia" w:ascii="仿宋_GB2312" w:eastAsia="仿宋_GB2312"/>
          <w:sz w:val="32"/>
          <w:szCs w:val="32"/>
          <w:lang w:eastAsia="zh-CN"/>
        </w:rPr>
        <w:t>。涉及外文的，需提供中文翻译件。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3.所有材料</w:t>
      </w:r>
      <w:r>
        <w:rPr>
          <w:rFonts w:hint="eastAsia" w:ascii="仿宋_GB2312" w:eastAsia="仿宋_GB2312"/>
          <w:sz w:val="32"/>
          <w:szCs w:val="32"/>
          <w:lang w:eastAsia="zh-CN"/>
        </w:rPr>
        <w:t>用</w:t>
      </w:r>
      <w:r>
        <w:rPr>
          <w:rFonts w:hint="eastAsia" w:ascii="仿宋_GB2312" w:eastAsia="仿宋_GB2312"/>
          <w:sz w:val="32"/>
          <w:szCs w:val="32"/>
        </w:rPr>
        <w:t>A4纸正反面打印/复印，非空白页（含封面）需连续编写页码，装订成册（胶装）。</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申报企业</w:t>
      </w:r>
      <w:r>
        <w:rPr>
          <w:rFonts w:hint="eastAsia" w:ascii="仿宋_GB2312" w:eastAsia="仿宋_GB2312"/>
          <w:sz w:val="32"/>
          <w:szCs w:val="32"/>
        </w:rPr>
        <w:t>同时需提交与纸质申报材料内容、顺序一致的电子文档（统一刻录成光盘</w:t>
      </w:r>
      <w:r>
        <w:rPr>
          <w:rFonts w:hint="eastAsia" w:ascii="仿宋_GB2312" w:eastAsia="仿宋_GB2312"/>
          <w:sz w:val="32"/>
          <w:szCs w:val="32"/>
          <w:lang w:val="en-US" w:eastAsia="zh-CN"/>
        </w:rPr>
        <w:t>2张</w:t>
      </w:r>
      <w:r>
        <w:rPr>
          <w:rFonts w:hint="eastAsia" w:ascii="仿宋_GB2312" w:eastAsia="仿宋_GB2312"/>
          <w:sz w:val="32"/>
          <w:szCs w:val="32"/>
        </w:rPr>
        <w:t>，PDF格式，</w:t>
      </w:r>
      <w:r>
        <w:rPr>
          <w:rFonts w:hint="eastAsia" w:ascii="仿宋_GB2312" w:eastAsia="仿宋_GB2312"/>
          <w:sz w:val="32"/>
          <w:szCs w:val="32"/>
          <w:lang w:eastAsia="zh-CN"/>
        </w:rPr>
        <w:t>能够</w:t>
      </w:r>
      <w:r>
        <w:rPr>
          <w:rFonts w:hint="eastAsia" w:ascii="仿宋_GB2312" w:eastAsia="仿宋_GB2312"/>
          <w:sz w:val="32"/>
          <w:szCs w:val="32"/>
        </w:rPr>
        <w:t>进行目录索引</w:t>
      </w:r>
      <w:r>
        <w:rPr>
          <w:rFonts w:hint="eastAsia" w:ascii="仿宋_GB2312" w:eastAsia="仿宋_GB2312"/>
          <w:sz w:val="32"/>
          <w:szCs w:val="32"/>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五、受理机关</w:t>
      </w:r>
    </w:p>
    <w:p>
      <w:pPr>
        <w:pStyle w:val="8"/>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（一）初审受理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eastAsia="仿宋_GB2312"/>
          <w:sz w:val="32"/>
          <w:szCs w:val="32"/>
          <w:lang w:eastAsia="zh-CN"/>
        </w:rPr>
      </w:pPr>
      <w:r>
        <w:rPr>
          <w:rFonts w:hint="eastAsia" w:ascii="仿宋_GB2312" w:eastAsia="仿宋_GB2312"/>
          <w:sz w:val="32"/>
          <w:szCs w:val="32"/>
          <w:lang w:val="en-US" w:eastAsia="zh-CN"/>
        </w:rPr>
        <w:t>1.受理机关：</w:t>
      </w:r>
      <w:r>
        <w:rPr>
          <w:rFonts w:hint="default" w:ascii="仿宋_GB2312" w:eastAsia="仿宋_GB2312"/>
          <w:sz w:val="32"/>
          <w:szCs w:val="32"/>
          <w:lang w:eastAsia="zh-CN"/>
        </w:rPr>
        <w:t>大鹏新区科技创新和经济服务局</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eastAsia="仿宋_GB2312"/>
          <w:sz w:val="32"/>
          <w:szCs w:val="32"/>
          <w:highlight w:val="none"/>
          <w:lang w:val="en-US"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受理时间：</w:t>
      </w:r>
      <w:r>
        <w:rPr>
          <w:rFonts w:hint="default" w:ascii="仿宋_GB2312" w:eastAsia="仿宋_GB2312"/>
          <w:sz w:val="32"/>
          <w:szCs w:val="32"/>
          <w:highlight w:val="none"/>
          <w:lang w:eastAsia="zh-CN"/>
        </w:rPr>
        <w:t>每</w:t>
      </w:r>
      <w:r>
        <w:rPr>
          <w:rFonts w:hint="eastAsia" w:ascii="仿宋_GB2312" w:eastAsia="仿宋_GB2312"/>
          <w:sz w:val="32"/>
          <w:szCs w:val="32"/>
          <w:highlight w:val="none"/>
          <w:lang w:val="en-US" w:eastAsia="zh-CN"/>
        </w:rPr>
        <w:t>年5月</w:t>
      </w:r>
      <w:r>
        <w:rPr>
          <w:rFonts w:hint="default" w:ascii="仿宋_GB2312" w:eastAsia="仿宋_GB2312"/>
          <w:sz w:val="32"/>
          <w:szCs w:val="32"/>
          <w:highlight w:val="none"/>
          <w:lang w:eastAsia="zh-CN"/>
        </w:rPr>
        <w:t>、</w:t>
      </w:r>
      <w:r>
        <w:rPr>
          <w:rFonts w:hint="eastAsia" w:ascii="仿宋_GB2312" w:eastAsia="仿宋_GB2312"/>
          <w:sz w:val="32"/>
          <w:szCs w:val="32"/>
          <w:highlight w:val="none"/>
          <w:lang w:val="en-US" w:eastAsia="zh-CN"/>
        </w:rPr>
        <w:t>10月。</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highlight w:val="none"/>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受理地点：</w:t>
      </w:r>
      <w:r>
        <w:rPr>
          <w:rFonts w:hint="eastAsia" w:ascii="仿宋_GB2312" w:eastAsia="仿宋_GB2312"/>
          <w:sz w:val="32"/>
          <w:szCs w:val="32"/>
        </w:rPr>
        <w:t>深圳市大鹏新区葵涌金岭路1号新区管委会5号楼5309室</w:t>
      </w:r>
      <w:r>
        <w:rPr>
          <w:rFonts w:hint="default" w:ascii="仿宋_GB2312" w:eastAsia="仿宋_GB2312"/>
          <w:sz w:val="32"/>
          <w:szCs w:val="32"/>
        </w:rPr>
        <w:t>。</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hint="default"/>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b w:val="0"/>
          <w:bCs/>
          <w:sz w:val="32"/>
          <w:szCs w:val="32"/>
          <w:lang w:val="en-US" w:eastAsia="zh-CN"/>
        </w:rPr>
        <w:t>咨询电话：</w:t>
      </w:r>
      <w:r>
        <w:rPr>
          <w:rFonts w:hint="eastAsia" w:ascii="仿宋_GB2312" w:hAnsi="仿宋_GB2312" w:eastAsia="仿宋_GB2312" w:cs="仿宋_GB2312"/>
          <w:sz w:val="32"/>
          <w:szCs w:val="32"/>
        </w:rPr>
        <w:t>0755-28333241，吴先生</w:t>
      </w:r>
      <w:r>
        <w:rPr>
          <w:rFonts w:hint="default" w:ascii="仿宋_GB2312" w:hAnsi="仿宋_GB2312" w:eastAsia="仿宋_GB2312" w:cs="仿宋_GB2312"/>
          <w:sz w:val="32"/>
          <w:szCs w:val="32"/>
        </w:rPr>
        <w:t>。</w:t>
      </w:r>
    </w:p>
    <w:p>
      <w:pPr>
        <w:pStyle w:val="8"/>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（二）复审受理</w:t>
      </w:r>
    </w:p>
    <w:p>
      <w:pPr>
        <w:pStyle w:val="8"/>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仿宋_GB2312" w:eastAsia="仿宋_GB2312"/>
          <w:b w:val="0"/>
          <w:bCs w:val="0"/>
          <w:sz w:val="32"/>
          <w:szCs w:val="32"/>
          <w:highlight w:val="none"/>
          <w:lang w:val="en-US" w:eastAsia="zh-CN"/>
        </w:rPr>
        <w:t>深圳市商务局</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六、办理流程</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区商务部门发布申报指南——申报企业到区商务部门提交申报材料——区商务部门报送初审结果至市商务局——市商务局复审——作出认可决定并颁发证书/不予认可决定——发送认定通知至区商务部门。</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七、办理结果</w:t>
      </w:r>
    </w:p>
    <w:p>
      <w:pPr>
        <w:keepNext w:val="0"/>
        <w:keepLines w:val="0"/>
        <w:pageBreakBefore w:val="0"/>
        <w:widowControl/>
        <w:shd w:val="clear" w:color="auto" w:fill="FFFFFF"/>
        <w:kinsoku/>
        <w:wordWrap w:val="0"/>
        <w:overflowPunct/>
        <w:topLinePunct w:val="0"/>
        <w:autoSpaceDE/>
        <w:autoSpaceDN/>
        <w:bidi w:val="0"/>
        <w:spacing w:line="560" w:lineRule="exact"/>
        <w:ind w:firstLine="645"/>
        <w:jc w:val="both"/>
        <w:textAlignment w:val="auto"/>
        <w:rPr>
          <w:rFonts w:hint="default"/>
          <w:lang w:val="en-US"/>
        </w:rPr>
      </w:pPr>
      <w:r>
        <w:rPr>
          <w:rFonts w:hint="eastAsia" w:ascii="仿宋_GB2312" w:hAnsi="黑体" w:eastAsia="仿宋_GB2312"/>
          <w:sz w:val="32"/>
          <w:szCs w:val="32"/>
        </w:rPr>
        <w:t>经</w:t>
      </w:r>
      <w:r>
        <w:rPr>
          <w:rFonts w:hint="eastAsia" w:ascii="仿宋_GB2312" w:hAnsi="黑体" w:eastAsia="仿宋_GB2312"/>
          <w:sz w:val="32"/>
          <w:szCs w:val="32"/>
          <w:lang w:eastAsia="zh-CN"/>
        </w:rPr>
        <w:t>审核认定</w:t>
      </w:r>
      <w:r>
        <w:rPr>
          <w:rFonts w:ascii="仿宋_GB2312" w:hAnsi="黑体" w:eastAsia="仿宋_GB2312"/>
          <w:sz w:val="32"/>
          <w:szCs w:val="32"/>
        </w:rPr>
        <w:t>的</w:t>
      </w:r>
      <w:r>
        <w:rPr>
          <w:rFonts w:hint="eastAsia" w:ascii="仿宋_GB2312" w:hAnsi="黑体" w:eastAsia="仿宋_GB2312"/>
          <w:sz w:val="32"/>
          <w:szCs w:val="32"/>
          <w:lang w:eastAsia="zh-CN"/>
        </w:rPr>
        <w:t>跨国公司</w:t>
      </w:r>
      <w:r>
        <w:rPr>
          <w:rFonts w:ascii="仿宋_GB2312" w:hAnsi="黑体" w:eastAsia="仿宋_GB2312"/>
          <w:sz w:val="32"/>
          <w:szCs w:val="32"/>
        </w:rPr>
        <w:t>总部企业，</w:t>
      </w:r>
      <w:r>
        <w:rPr>
          <w:rFonts w:hint="eastAsia" w:ascii="仿宋_GB2312" w:hAnsi="黑体" w:eastAsia="仿宋_GB2312"/>
          <w:sz w:val="32"/>
          <w:szCs w:val="32"/>
          <w:lang w:eastAsia="zh-CN"/>
        </w:rPr>
        <w:t>市商务主管部门出具通知结果并</w:t>
      </w:r>
      <w:r>
        <w:rPr>
          <w:rFonts w:hint="eastAsia" w:ascii="仿宋_GB2312" w:hAnsi="黑体" w:eastAsia="仿宋_GB2312"/>
          <w:sz w:val="32"/>
          <w:szCs w:val="32"/>
          <w:lang w:val="en-US" w:eastAsia="zh-CN"/>
        </w:rPr>
        <w:t>颁发《</w:t>
      </w:r>
      <w:r>
        <w:rPr>
          <w:rFonts w:hint="eastAsia" w:ascii="仿宋_GB2312" w:hAnsi="仿宋_GB2312" w:eastAsia="仿宋_GB2312" w:cs="仿宋_GB2312"/>
          <w:kern w:val="2"/>
          <w:sz w:val="32"/>
          <w:szCs w:val="32"/>
          <w:lang w:val="en-US" w:eastAsia="zh-CN" w:bidi="ar-SA"/>
        </w:rPr>
        <w:t>深圳市跨国公司总部企业认定证书</w:t>
      </w:r>
      <w:r>
        <w:rPr>
          <w:rFonts w:hint="eastAsia" w:ascii="仿宋_GB2312" w:hAnsi="黑体" w:eastAsia="仿宋_GB2312"/>
          <w:sz w:val="32"/>
          <w:szCs w:val="32"/>
          <w:lang w:val="en-US" w:eastAsia="zh-CN"/>
        </w:rPr>
        <w:t>》。</w:t>
      </w:r>
    </w:p>
    <w:p>
      <w:pPr>
        <w:pStyle w:val="2"/>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八、办理时限</w:t>
      </w:r>
    </w:p>
    <w:p>
      <w:pPr>
        <w:pStyle w:val="2"/>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（一）初审承诺办结时限：8个工作日。</w:t>
      </w:r>
    </w:p>
    <w:p>
      <w:pPr>
        <w:pStyle w:val="2"/>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（二）复审承诺办结时限：8个工作日。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、证件及有效期限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证件：深圳市跨国公司总部企业认定证书。</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kern w:val="0"/>
          <w:sz w:val="32"/>
          <w:szCs w:val="32"/>
          <w:highlight w:val="none"/>
          <w:lang w:val="en-US" w:eastAsia="zh-CN"/>
        </w:rPr>
      </w:pPr>
      <w:r>
        <w:rPr>
          <w:rFonts w:hint="eastAsia" w:ascii="仿宋_GB2312" w:hAnsi="宋体" w:eastAsia="仿宋_GB2312"/>
          <w:sz w:val="32"/>
          <w:szCs w:val="32"/>
        </w:rPr>
        <w:t>有效</w:t>
      </w:r>
      <w:r>
        <w:rPr>
          <w:rFonts w:hint="eastAsia" w:ascii="仿宋_GB2312" w:eastAsia="仿宋_GB2312"/>
          <w:b w:val="0"/>
          <w:bCs w:val="0"/>
          <w:sz w:val="32"/>
          <w:szCs w:val="32"/>
          <w:highlight w:val="none"/>
          <w:lang w:eastAsia="zh-CN"/>
        </w:rPr>
        <w:t>期限：</w:t>
      </w:r>
      <w:r>
        <w:rPr>
          <w:rFonts w:hint="eastAsia" w:ascii="仿宋_GB2312" w:eastAsia="仿宋_GB2312"/>
          <w:b w:val="0"/>
          <w:bCs w:val="0"/>
          <w:sz w:val="32"/>
          <w:szCs w:val="32"/>
          <w:highlight w:val="none"/>
          <w:lang w:val="en-US" w:eastAsia="zh-CN"/>
        </w:rPr>
        <w:t>五年</w:t>
      </w:r>
      <w:r>
        <w:rPr>
          <w:rFonts w:hint="eastAsia" w:ascii="仿宋_GB2312" w:eastAsia="仿宋_GB2312"/>
          <w:b w:val="0"/>
          <w:bCs w:val="0"/>
          <w:sz w:val="32"/>
          <w:szCs w:val="32"/>
          <w:highlight w:val="none"/>
          <w:lang w:eastAsia="zh-CN"/>
        </w:rPr>
        <w:t>（</w:t>
      </w:r>
      <w:r>
        <w:rPr>
          <w:rFonts w:hint="default" w:ascii="仿宋_GB2312" w:eastAsia="仿宋_GB2312"/>
          <w:b w:val="0"/>
          <w:bCs w:val="0"/>
          <w:sz w:val="32"/>
          <w:szCs w:val="32"/>
          <w:highlight w:val="none"/>
          <w:lang w:eastAsia="zh-CN"/>
        </w:rPr>
        <w:t>有效期内</w:t>
      </w:r>
      <w:r>
        <w:rPr>
          <w:rFonts w:hint="eastAsia" w:ascii="仿宋_GB2312" w:eastAsia="仿宋_GB2312"/>
          <w:b w:val="0"/>
          <w:bCs w:val="0"/>
          <w:sz w:val="32"/>
          <w:szCs w:val="32"/>
          <w:highlight w:val="none"/>
          <w:lang w:val="en-US" w:eastAsia="zh-CN"/>
        </w:rPr>
        <w:t>须每年年检</w:t>
      </w:r>
      <w:r>
        <w:rPr>
          <w:rFonts w:hint="eastAsia" w:ascii="仿宋_GB2312" w:eastAsia="仿宋_GB2312"/>
          <w:b w:val="0"/>
          <w:bCs w:val="0"/>
          <w:sz w:val="32"/>
          <w:szCs w:val="32"/>
          <w:highlight w:val="none"/>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lang w:eastAsia="zh-CN"/>
        </w:rPr>
        <w:t>十、</w:t>
      </w:r>
      <w:r>
        <w:rPr>
          <w:rFonts w:hint="eastAsia" w:ascii="黑体" w:hAnsi="黑体" w:eastAsia="黑体" w:cs="宋体"/>
          <w:bCs/>
          <w:color w:val="000000"/>
          <w:kern w:val="0"/>
          <w:sz w:val="32"/>
          <w:szCs w:val="32"/>
        </w:rPr>
        <w:t>证件的法律效力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符合申报条件即具有法律效力。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宋体"/>
          <w:bCs/>
          <w:color w:val="000000"/>
          <w:kern w:val="0"/>
          <w:sz w:val="32"/>
          <w:szCs w:val="32"/>
          <w:lang w:eastAsia="zh-CN"/>
        </w:rPr>
      </w:pPr>
      <w:r>
        <w:rPr>
          <w:rFonts w:hint="eastAsia" w:ascii="黑体" w:hAnsi="黑体" w:eastAsia="黑体" w:cs="宋体"/>
          <w:bCs/>
          <w:color w:val="000000"/>
          <w:kern w:val="0"/>
          <w:sz w:val="32"/>
          <w:szCs w:val="32"/>
          <w:lang w:eastAsia="zh-CN"/>
        </w:rPr>
        <w:t>十一、收费</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无。</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27" w:firstLineChars="196"/>
        <w:jc w:val="both"/>
        <w:textAlignment w:val="auto"/>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val="en-US" w:eastAsia="zh-CN"/>
        </w:rPr>
        <w:t>十二、年检</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区商务部门</w:t>
      </w:r>
      <w:r>
        <w:rPr>
          <w:rFonts w:hint="default" w:ascii="仿宋_GB2312" w:hAnsi="仿宋_GB2312" w:eastAsia="仿宋_GB2312" w:cs="仿宋_GB2312"/>
          <w:b w:val="0"/>
          <w:bCs w:val="0"/>
          <w:sz w:val="32"/>
          <w:szCs w:val="32"/>
          <w:highlight w:val="none"/>
          <w:vertAlign w:val="baseline"/>
          <w:lang w:eastAsia="zh-CN"/>
        </w:rPr>
        <w:t>每</w:t>
      </w:r>
      <w:r>
        <w:rPr>
          <w:rFonts w:hint="eastAsia" w:ascii="仿宋_GB2312" w:hAnsi="仿宋_GB2312" w:eastAsia="仿宋_GB2312" w:cs="仿宋_GB2312"/>
          <w:b w:val="0"/>
          <w:bCs w:val="0"/>
          <w:sz w:val="32"/>
          <w:szCs w:val="32"/>
          <w:highlight w:val="none"/>
          <w:vertAlign w:val="baseline"/>
          <w:lang w:val="en-US" w:eastAsia="zh-CN"/>
        </w:rPr>
        <w:t>年</w:t>
      </w:r>
      <w:r>
        <w:rPr>
          <w:rFonts w:hint="default" w:ascii="仿宋_GB2312" w:hAnsi="仿宋_GB2312" w:eastAsia="仿宋_GB2312" w:cs="仿宋_GB2312"/>
          <w:b w:val="0"/>
          <w:bCs w:val="0"/>
          <w:sz w:val="32"/>
          <w:szCs w:val="32"/>
          <w:highlight w:val="none"/>
          <w:vertAlign w:val="baseline"/>
          <w:lang w:eastAsia="zh-CN"/>
        </w:rPr>
        <w:t>1</w:t>
      </w:r>
      <w:r>
        <w:rPr>
          <w:rFonts w:hint="eastAsia" w:ascii="仿宋_GB2312" w:hAnsi="仿宋_GB2312" w:eastAsia="仿宋_GB2312" w:cs="仿宋_GB2312"/>
          <w:b w:val="0"/>
          <w:bCs w:val="0"/>
          <w:sz w:val="32"/>
          <w:szCs w:val="32"/>
          <w:highlight w:val="none"/>
          <w:vertAlign w:val="baseline"/>
          <w:lang w:val="en-US" w:eastAsia="zh-CN"/>
        </w:rPr>
        <w:t>月</w:t>
      </w:r>
      <w:r>
        <w:rPr>
          <w:rFonts w:hint="default" w:ascii="仿宋_GB2312" w:hAnsi="仿宋_GB2312" w:eastAsia="仿宋_GB2312" w:cs="仿宋_GB2312"/>
          <w:b w:val="0"/>
          <w:bCs w:val="0"/>
          <w:sz w:val="32"/>
          <w:szCs w:val="32"/>
          <w:highlight w:val="none"/>
          <w:vertAlign w:val="baseline"/>
          <w:lang w:eastAsia="zh-CN"/>
        </w:rPr>
        <w:t>对认定一年以上的</w:t>
      </w:r>
      <w:r>
        <w:rPr>
          <w:rFonts w:hint="eastAsia" w:ascii="仿宋_GB2312" w:hAnsi="仿宋_GB2312" w:eastAsia="仿宋_GB2312" w:cs="仿宋_GB2312"/>
          <w:b w:val="0"/>
          <w:bCs w:val="0"/>
          <w:sz w:val="32"/>
          <w:szCs w:val="32"/>
          <w:highlight w:val="none"/>
          <w:vertAlign w:val="baseline"/>
          <w:lang w:val="en-US" w:eastAsia="zh-CN"/>
        </w:rPr>
        <w:t>跨国公司总部企业进行年检。</w:t>
      </w:r>
    </w:p>
    <w:p>
      <w:pPr>
        <w:pStyle w:val="2"/>
        <w:keepNext w:val="0"/>
        <w:keepLines w:val="0"/>
        <w:pageBreakBefore w:val="0"/>
        <w:kinsoku/>
        <w:overflowPunct/>
        <w:topLinePunct w:val="0"/>
        <w:autoSpaceDE/>
        <w:autoSpaceDN/>
        <w:bidi w:val="0"/>
        <w:spacing w:line="560" w:lineRule="exact"/>
        <w:textAlignment w:val="auto"/>
        <w:rPr>
          <w:rFonts w:hint="default" w:ascii="仿宋_GB2312" w:eastAsia="仿宋_GB2312" w:hAnsiTheme="minorHAnsi" w:cstheme="minorBidi"/>
          <w:b w:val="0"/>
          <w:bCs w:val="0"/>
          <w:kern w:val="2"/>
          <w:sz w:val="32"/>
          <w:szCs w:val="32"/>
          <w:highlight w:val="none"/>
          <w:lang w:eastAsia="zh-CN" w:bidi="ar-SA"/>
        </w:rPr>
      </w:pPr>
      <w:r>
        <w:rPr>
          <w:rFonts w:hint="default"/>
          <w:highlight w:val="none"/>
          <w:lang w:eastAsia="zh-CN"/>
        </w:rPr>
        <w:t xml:space="preserve">   </w:t>
      </w:r>
      <w:r>
        <w:rPr>
          <w:rFonts w:hint="default" w:ascii="仿宋_GB2312" w:eastAsia="仿宋_GB2312" w:hAnsiTheme="minorHAnsi" w:cstheme="minorBidi"/>
          <w:b w:val="0"/>
          <w:bCs w:val="0"/>
          <w:kern w:val="2"/>
          <w:sz w:val="32"/>
          <w:szCs w:val="32"/>
          <w:highlight w:val="none"/>
          <w:lang w:eastAsia="zh-CN" w:bidi="ar-SA"/>
        </w:rPr>
        <w:t xml:space="preserve"> </w:t>
      </w:r>
      <w:r>
        <w:rPr>
          <w:rFonts w:hint="default" w:ascii="仿宋_GB2312" w:eastAsia="仿宋_GB2312" w:cstheme="minorBidi"/>
          <w:b w:val="0"/>
          <w:bCs w:val="0"/>
          <w:kern w:val="2"/>
          <w:sz w:val="32"/>
          <w:szCs w:val="32"/>
          <w:highlight w:val="none"/>
          <w:lang w:eastAsia="zh-CN" w:bidi="ar-SA"/>
        </w:rPr>
        <w:t>1.年检</w:t>
      </w:r>
      <w:r>
        <w:rPr>
          <w:rFonts w:hint="default" w:ascii="仿宋_GB2312" w:eastAsia="仿宋_GB2312" w:hAnsiTheme="minorHAnsi" w:cstheme="minorBidi"/>
          <w:b w:val="0"/>
          <w:bCs w:val="0"/>
          <w:kern w:val="2"/>
          <w:sz w:val="32"/>
          <w:szCs w:val="32"/>
          <w:highlight w:val="none"/>
          <w:lang w:eastAsia="zh-CN" w:bidi="ar-SA"/>
        </w:rPr>
        <w:t>企业</w:t>
      </w:r>
      <w:r>
        <w:rPr>
          <w:rFonts w:hint="default" w:ascii="仿宋_GB2312" w:eastAsia="仿宋_GB2312" w:cstheme="minorBidi"/>
          <w:b w:val="0"/>
          <w:bCs w:val="0"/>
          <w:kern w:val="2"/>
          <w:sz w:val="32"/>
          <w:szCs w:val="32"/>
          <w:highlight w:val="none"/>
          <w:lang w:eastAsia="zh-CN" w:bidi="ar-SA"/>
        </w:rPr>
        <w:t>需填写《</w:t>
      </w:r>
      <w:r>
        <w:rPr>
          <w:rFonts w:hint="default" w:ascii="仿宋_GB2312" w:eastAsia="仿宋_GB2312" w:hAnsiTheme="minorHAnsi" w:cstheme="minorBidi"/>
          <w:b w:val="0"/>
          <w:bCs w:val="0"/>
          <w:kern w:val="2"/>
          <w:sz w:val="32"/>
          <w:szCs w:val="32"/>
          <w:highlight w:val="none"/>
          <w:lang w:eastAsia="zh-CN" w:bidi="ar-SA"/>
        </w:rPr>
        <w:t>深圳市跨国公司</w:t>
      </w:r>
      <w:r>
        <w:rPr>
          <w:rFonts w:hint="default" w:ascii="仿宋_GB2312" w:eastAsia="仿宋_GB2312" w:cstheme="minorBidi"/>
          <w:b w:val="0"/>
          <w:bCs w:val="0"/>
          <w:kern w:val="2"/>
          <w:sz w:val="32"/>
          <w:szCs w:val="32"/>
          <w:highlight w:val="none"/>
          <w:lang w:eastAsia="zh-CN" w:bidi="ar-SA"/>
        </w:rPr>
        <w:t>总部企业年检</w:t>
      </w:r>
      <w:r>
        <w:rPr>
          <w:rFonts w:hint="default" w:ascii="仿宋_GB2312" w:eastAsia="仿宋_GB2312" w:hAnsiTheme="minorHAnsi" w:cstheme="minorBidi"/>
          <w:b w:val="0"/>
          <w:bCs w:val="0"/>
          <w:kern w:val="2"/>
          <w:sz w:val="32"/>
          <w:szCs w:val="32"/>
          <w:highlight w:val="none"/>
          <w:lang w:eastAsia="zh-CN" w:bidi="ar-SA"/>
        </w:rPr>
        <w:t>承诺书</w:t>
      </w:r>
      <w:r>
        <w:rPr>
          <w:rFonts w:hint="default" w:ascii="仿宋_GB2312" w:eastAsia="仿宋_GB2312" w:cstheme="minorBidi"/>
          <w:b w:val="0"/>
          <w:bCs w:val="0"/>
          <w:kern w:val="2"/>
          <w:sz w:val="32"/>
          <w:szCs w:val="32"/>
          <w:highlight w:val="none"/>
          <w:lang w:eastAsia="zh-CN" w:bidi="ar-SA"/>
        </w:rPr>
        <w:t>》</w:t>
      </w:r>
      <w:r>
        <w:rPr>
          <w:rFonts w:hint="default" w:ascii="仿宋_GB2312" w:eastAsia="仿宋_GB2312" w:hAnsiTheme="minorHAnsi" w:cstheme="minorBidi"/>
          <w:b w:val="0"/>
          <w:bCs w:val="0"/>
          <w:kern w:val="2"/>
          <w:sz w:val="32"/>
          <w:szCs w:val="32"/>
          <w:highlight w:val="none"/>
          <w:lang w:eastAsia="zh-CN" w:bidi="ar-SA"/>
        </w:rPr>
        <w:t>。</w:t>
      </w:r>
    </w:p>
    <w:p>
      <w:pPr>
        <w:pStyle w:val="2"/>
        <w:keepNext w:val="0"/>
        <w:keepLines w:val="0"/>
        <w:pageBreakBefore w:val="0"/>
        <w:numPr>
          <w:ilvl w:val="0"/>
          <w:numId w:val="0"/>
        </w:numPr>
        <w:kinsoku/>
        <w:overflowPunct/>
        <w:topLinePunct w:val="0"/>
        <w:autoSpaceDE/>
        <w:autoSpaceDN/>
        <w:bidi w:val="0"/>
        <w:spacing w:line="560" w:lineRule="exact"/>
        <w:ind w:firstLine="640" w:firstLineChars="200"/>
        <w:textAlignment w:val="auto"/>
        <w:rPr>
          <w:rFonts w:hint="default" w:ascii="仿宋_GB2312" w:eastAsia="仿宋_GB2312" w:cstheme="minorBidi"/>
          <w:b w:val="0"/>
          <w:bCs w:val="0"/>
          <w:kern w:val="2"/>
          <w:sz w:val="32"/>
          <w:szCs w:val="32"/>
          <w:highlight w:val="none"/>
          <w:lang w:eastAsia="zh-CN" w:bidi="ar-SA"/>
        </w:rPr>
      </w:pPr>
      <w:r>
        <w:rPr>
          <w:rFonts w:hint="default" w:ascii="仿宋_GB2312" w:eastAsia="仿宋_GB2312" w:cstheme="minorBidi"/>
          <w:b w:val="0"/>
          <w:bCs w:val="0"/>
          <w:kern w:val="2"/>
          <w:sz w:val="32"/>
          <w:szCs w:val="32"/>
          <w:highlight w:val="none"/>
          <w:lang w:eastAsia="zh-CN" w:bidi="ar-SA"/>
        </w:rPr>
        <w:t>2.</w:t>
      </w:r>
      <w:r>
        <w:rPr>
          <w:rFonts w:hint="default" w:ascii="仿宋_GB2312" w:eastAsia="仿宋_GB2312" w:hAnsiTheme="minorHAnsi" w:cstheme="minorBidi"/>
          <w:b w:val="0"/>
          <w:bCs w:val="0"/>
          <w:kern w:val="2"/>
          <w:sz w:val="32"/>
          <w:szCs w:val="32"/>
          <w:highlight w:val="none"/>
          <w:lang w:eastAsia="zh-CN" w:bidi="ar-SA"/>
        </w:rPr>
        <w:t>各区商务部门</w:t>
      </w:r>
      <w:r>
        <w:rPr>
          <w:rFonts w:hint="default" w:ascii="仿宋_GB2312" w:eastAsia="仿宋_GB2312" w:cstheme="minorBidi"/>
          <w:b w:val="0"/>
          <w:bCs w:val="0"/>
          <w:kern w:val="2"/>
          <w:sz w:val="32"/>
          <w:szCs w:val="32"/>
          <w:highlight w:val="none"/>
          <w:lang w:eastAsia="zh-CN" w:bidi="ar-SA"/>
        </w:rPr>
        <w:t>需对照深圳市跨国公司总部企业条件进行核查，并将核查结果报市商务部门。</w:t>
      </w:r>
    </w:p>
    <w:p>
      <w:pPr>
        <w:pStyle w:val="2"/>
        <w:keepNext w:val="0"/>
        <w:keepLines w:val="0"/>
        <w:pageBreakBefore w:val="0"/>
        <w:numPr>
          <w:ilvl w:val="0"/>
          <w:numId w:val="0"/>
        </w:numPr>
        <w:kinsoku/>
        <w:overflowPunct/>
        <w:topLinePunct w:val="0"/>
        <w:autoSpaceDE/>
        <w:autoSpaceDN/>
        <w:bidi w:val="0"/>
        <w:spacing w:line="560" w:lineRule="exact"/>
        <w:ind w:firstLine="640" w:firstLineChars="200"/>
        <w:textAlignment w:val="auto"/>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val="en-US" w:eastAsia="zh-CN"/>
        </w:rPr>
        <w:t>十三、补充说明</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一）我局从未委托任何单位和个人为企业申报跨国公司总部企业事宜。请相关企业自主申报。我局将严格按照有关标准和程序受理申请，不收取任何费用。如有任何中介机构和个人假借我局和工作人员名义向企业收取费用的，请知情者即向我局举报。</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eastAsia="zh-CN"/>
        </w:rPr>
        <w:t>（二）通过跨国公司总部认定审核的申请单位方可根据《深圳市鼓励跨国公司设立总部企业办法》申请跨国公司总部奖励，若在申请总部奖励过程中发现审核通过的申请单位不符合跨国公司总部认定条件，即撤销对该申报企业的认定。</w:t>
      </w:r>
    </w:p>
    <w:p>
      <w:pPr>
        <w:pStyle w:val="2"/>
        <w:keepNext w:val="0"/>
        <w:keepLines w:val="0"/>
        <w:pageBreakBefore w:val="0"/>
        <w:kinsoku/>
        <w:overflowPunct/>
        <w:topLinePunct w:val="0"/>
        <w:autoSpaceDE/>
        <w:autoSpaceDN/>
        <w:bidi w:val="0"/>
        <w:spacing w:line="560" w:lineRule="exact"/>
        <w:ind w:left="0" w:leftChars="0" w:firstLine="0" w:firstLineChars="0"/>
        <w:textAlignment w:val="auto"/>
        <w:rPr>
          <w:rFonts w:hint="default" w:eastAsia="仿宋_GB2312" w:cs="宋体"/>
          <w:color w:val="000000" w:themeColor="text1"/>
          <w:kern w:val="0"/>
          <w:sz w:val="32"/>
          <w:szCs w:val="32"/>
          <w:lang w:val="en-US" w:eastAsia="zh-CN"/>
          <w14:textFill>
            <w14:solidFill>
              <w14:schemeClr w14:val="tx1"/>
            </w14:solidFill>
          </w14:textFill>
        </w:rPr>
      </w:pPr>
    </w:p>
    <w:sectPr>
      <w:footerReference r:id="rId3" w:type="default"/>
      <w:pgSz w:w="11906" w:h="16838"/>
      <w:pgMar w:top="1440" w:right="1474" w:bottom="1440"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CESI仿宋-GB18030">
    <w:panose1 w:val="02000500000000000000"/>
    <w:charset w:val="86"/>
    <w:family w:val="auto"/>
    <w:pitch w:val="default"/>
    <w:sig w:usb0="A00002BF" w:usb1="38C77CFA" w:usb2="00000016" w:usb3="00000000" w:csb0="0004000F" w:csb1="00000000"/>
  </w:font>
  <w:font w:name="CESI仿宋-GB2312">
    <w:panose1 w:val="02000500000000000000"/>
    <w:charset w:val="86"/>
    <w:family w:val="auto"/>
    <w:pitch w:val="default"/>
    <w:sig w:usb0="800002AF" w:usb1="084F6CF8" w:usb2="00000010" w:usb3="00000000" w:csb0="0004000F" w:csb1="00000000"/>
  </w:font>
  <w:font w:name="CESI宋体-GB13000">
    <w:panose1 w:val="02000500000000000000"/>
    <w:charset w:val="86"/>
    <w:family w:val="auto"/>
    <w:pitch w:val="default"/>
    <w:sig w:usb0="800002BF" w:usb1="18C77CF8" w:usb2="00000016" w:usb3="00000000" w:csb0="0004000F" w:csb1="00000000"/>
  </w:font>
  <w:font w:name="CESI仿宋-GB13000">
    <w:panose1 w:val="02000500000000000000"/>
    <w:charset w:val="86"/>
    <w:family w:val="auto"/>
    <w:pitch w:val="default"/>
    <w:sig w:usb0="800002BF" w:usb1="1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WMyYzM4NGUwNTYyMTAyNDljYWExZWVmMjU2MmQifQ=="/>
  </w:docVars>
  <w:rsids>
    <w:rsidRoot w:val="00050184"/>
    <w:rsid w:val="00050184"/>
    <w:rsid w:val="00091F61"/>
    <w:rsid w:val="000A12A7"/>
    <w:rsid w:val="000B23C9"/>
    <w:rsid w:val="000B3706"/>
    <w:rsid w:val="000D1E45"/>
    <w:rsid w:val="000D3921"/>
    <w:rsid w:val="000E191E"/>
    <w:rsid w:val="00113008"/>
    <w:rsid w:val="00146FD7"/>
    <w:rsid w:val="00167A19"/>
    <w:rsid w:val="0018484F"/>
    <w:rsid w:val="00186EC0"/>
    <w:rsid w:val="002B7AD5"/>
    <w:rsid w:val="00302A2A"/>
    <w:rsid w:val="00344E48"/>
    <w:rsid w:val="00377D89"/>
    <w:rsid w:val="00380444"/>
    <w:rsid w:val="0038358F"/>
    <w:rsid w:val="003C29C0"/>
    <w:rsid w:val="00401033"/>
    <w:rsid w:val="00444417"/>
    <w:rsid w:val="00447E48"/>
    <w:rsid w:val="00465A8A"/>
    <w:rsid w:val="004853BE"/>
    <w:rsid w:val="004B68AC"/>
    <w:rsid w:val="005068BD"/>
    <w:rsid w:val="0053745E"/>
    <w:rsid w:val="005432F3"/>
    <w:rsid w:val="005B109F"/>
    <w:rsid w:val="005B603C"/>
    <w:rsid w:val="006241BB"/>
    <w:rsid w:val="00661D34"/>
    <w:rsid w:val="00662AC1"/>
    <w:rsid w:val="006942A7"/>
    <w:rsid w:val="006B0E1E"/>
    <w:rsid w:val="006C3C48"/>
    <w:rsid w:val="006E5EFD"/>
    <w:rsid w:val="00742945"/>
    <w:rsid w:val="00782724"/>
    <w:rsid w:val="007A027F"/>
    <w:rsid w:val="007C265D"/>
    <w:rsid w:val="007D1888"/>
    <w:rsid w:val="00811C06"/>
    <w:rsid w:val="0082352A"/>
    <w:rsid w:val="00824EE6"/>
    <w:rsid w:val="00864D99"/>
    <w:rsid w:val="008719D3"/>
    <w:rsid w:val="00887EDB"/>
    <w:rsid w:val="008B61FD"/>
    <w:rsid w:val="008D3D44"/>
    <w:rsid w:val="009241CD"/>
    <w:rsid w:val="00936DB0"/>
    <w:rsid w:val="00975F41"/>
    <w:rsid w:val="009B3B79"/>
    <w:rsid w:val="009B61BC"/>
    <w:rsid w:val="00A00604"/>
    <w:rsid w:val="00A04B52"/>
    <w:rsid w:val="00A32047"/>
    <w:rsid w:val="00A4166D"/>
    <w:rsid w:val="00A527F5"/>
    <w:rsid w:val="00AE390B"/>
    <w:rsid w:val="00AF2B04"/>
    <w:rsid w:val="00B173BA"/>
    <w:rsid w:val="00B2704C"/>
    <w:rsid w:val="00B4280E"/>
    <w:rsid w:val="00B629E7"/>
    <w:rsid w:val="00B70F6E"/>
    <w:rsid w:val="00B774E5"/>
    <w:rsid w:val="00BC38F1"/>
    <w:rsid w:val="00BE1F90"/>
    <w:rsid w:val="00C01605"/>
    <w:rsid w:val="00C3742A"/>
    <w:rsid w:val="00C4301D"/>
    <w:rsid w:val="00C51103"/>
    <w:rsid w:val="00C53216"/>
    <w:rsid w:val="00C54055"/>
    <w:rsid w:val="00C97402"/>
    <w:rsid w:val="00CA5A4B"/>
    <w:rsid w:val="00CE0B99"/>
    <w:rsid w:val="00CE16C8"/>
    <w:rsid w:val="00CF5951"/>
    <w:rsid w:val="00D0574C"/>
    <w:rsid w:val="00DE5BF0"/>
    <w:rsid w:val="00E23151"/>
    <w:rsid w:val="00EB15A2"/>
    <w:rsid w:val="00ED1EDF"/>
    <w:rsid w:val="00EE53BE"/>
    <w:rsid w:val="00EF414C"/>
    <w:rsid w:val="00F04F86"/>
    <w:rsid w:val="00F55996"/>
    <w:rsid w:val="00F60AB0"/>
    <w:rsid w:val="00F73F12"/>
    <w:rsid w:val="00FB3061"/>
    <w:rsid w:val="00FD1594"/>
    <w:rsid w:val="00FE5102"/>
    <w:rsid w:val="01AD4CE6"/>
    <w:rsid w:val="02795248"/>
    <w:rsid w:val="02A627C1"/>
    <w:rsid w:val="0500262A"/>
    <w:rsid w:val="05051B0A"/>
    <w:rsid w:val="05537B47"/>
    <w:rsid w:val="06342E45"/>
    <w:rsid w:val="0802347C"/>
    <w:rsid w:val="084D5B55"/>
    <w:rsid w:val="0C1A7613"/>
    <w:rsid w:val="0C43359F"/>
    <w:rsid w:val="0C4466DB"/>
    <w:rsid w:val="0EAE0CCC"/>
    <w:rsid w:val="0F2521E2"/>
    <w:rsid w:val="0F930D65"/>
    <w:rsid w:val="10421803"/>
    <w:rsid w:val="108D72AB"/>
    <w:rsid w:val="114843E9"/>
    <w:rsid w:val="186D45FD"/>
    <w:rsid w:val="18830041"/>
    <w:rsid w:val="193E5447"/>
    <w:rsid w:val="19E71B49"/>
    <w:rsid w:val="1B220825"/>
    <w:rsid w:val="1DA773ED"/>
    <w:rsid w:val="1E2E4381"/>
    <w:rsid w:val="1EF33A6E"/>
    <w:rsid w:val="1FBA4E31"/>
    <w:rsid w:val="221413A3"/>
    <w:rsid w:val="22F74E2A"/>
    <w:rsid w:val="24513340"/>
    <w:rsid w:val="24745936"/>
    <w:rsid w:val="25BB113D"/>
    <w:rsid w:val="25DF262E"/>
    <w:rsid w:val="276F13D9"/>
    <w:rsid w:val="2A9D1DE1"/>
    <w:rsid w:val="2B0932A1"/>
    <w:rsid w:val="2B0C2BCF"/>
    <w:rsid w:val="2CE91795"/>
    <w:rsid w:val="2DF64C59"/>
    <w:rsid w:val="2E925D99"/>
    <w:rsid w:val="3013018A"/>
    <w:rsid w:val="30832CB1"/>
    <w:rsid w:val="31066D72"/>
    <w:rsid w:val="3191439E"/>
    <w:rsid w:val="31B8615D"/>
    <w:rsid w:val="331602C6"/>
    <w:rsid w:val="334417EE"/>
    <w:rsid w:val="3373623F"/>
    <w:rsid w:val="34465609"/>
    <w:rsid w:val="35734DF8"/>
    <w:rsid w:val="383778E2"/>
    <w:rsid w:val="3877374E"/>
    <w:rsid w:val="39FF6655"/>
    <w:rsid w:val="3A5E57A5"/>
    <w:rsid w:val="3A9426D9"/>
    <w:rsid w:val="3B1A4D89"/>
    <w:rsid w:val="3BB7542E"/>
    <w:rsid w:val="3DA4558E"/>
    <w:rsid w:val="3E5D10A0"/>
    <w:rsid w:val="3EC75B27"/>
    <w:rsid w:val="3FF43854"/>
    <w:rsid w:val="42884104"/>
    <w:rsid w:val="44037A57"/>
    <w:rsid w:val="4433475F"/>
    <w:rsid w:val="448B68A0"/>
    <w:rsid w:val="4576299B"/>
    <w:rsid w:val="46D90081"/>
    <w:rsid w:val="48F72B9F"/>
    <w:rsid w:val="4B3204D8"/>
    <w:rsid w:val="4C314463"/>
    <w:rsid w:val="4C4C758C"/>
    <w:rsid w:val="4CFE8181"/>
    <w:rsid w:val="4E1A0932"/>
    <w:rsid w:val="4EA153E0"/>
    <w:rsid w:val="4EC13B44"/>
    <w:rsid w:val="4F2B7F96"/>
    <w:rsid w:val="4FDBD653"/>
    <w:rsid w:val="50DA46F4"/>
    <w:rsid w:val="515042EF"/>
    <w:rsid w:val="52B2673E"/>
    <w:rsid w:val="538263A4"/>
    <w:rsid w:val="56C86CFA"/>
    <w:rsid w:val="578759AF"/>
    <w:rsid w:val="5797D7FE"/>
    <w:rsid w:val="588D1E1B"/>
    <w:rsid w:val="5E8D1686"/>
    <w:rsid w:val="5F201B93"/>
    <w:rsid w:val="61081819"/>
    <w:rsid w:val="6210104E"/>
    <w:rsid w:val="63374451"/>
    <w:rsid w:val="651E4196"/>
    <w:rsid w:val="66C75156"/>
    <w:rsid w:val="67636B31"/>
    <w:rsid w:val="67946910"/>
    <w:rsid w:val="67C834E2"/>
    <w:rsid w:val="682C2E42"/>
    <w:rsid w:val="68520B5D"/>
    <w:rsid w:val="685A00F1"/>
    <w:rsid w:val="688A0BA2"/>
    <w:rsid w:val="6AAC52A9"/>
    <w:rsid w:val="6B075DE5"/>
    <w:rsid w:val="6C3A5B31"/>
    <w:rsid w:val="6D4D6C29"/>
    <w:rsid w:val="6DA90A44"/>
    <w:rsid w:val="6DC1661E"/>
    <w:rsid w:val="70C77531"/>
    <w:rsid w:val="70C91E08"/>
    <w:rsid w:val="71F8614D"/>
    <w:rsid w:val="725209E5"/>
    <w:rsid w:val="73093199"/>
    <w:rsid w:val="73C77947"/>
    <w:rsid w:val="74B51BD9"/>
    <w:rsid w:val="752E35F1"/>
    <w:rsid w:val="77C540F9"/>
    <w:rsid w:val="78F419F9"/>
    <w:rsid w:val="7A82635A"/>
    <w:rsid w:val="7C027E7B"/>
    <w:rsid w:val="7C6C504F"/>
    <w:rsid w:val="7CF66391"/>
    <w:rsid w:val="7D3FFE6A"/>
    <w:rsid w:val="7DFDE328"/>
    <w:rsid w:val="7E26741D"/>
    <w:rsid w:val="7E3FE781"/>
    <w:rsid w:val="7FDF3E86"/>
    <w:rsid w:val="ABABF026"/>
    <w:rsid w:val="AF97F869"/>
    <w:rsid w:val="B6DBC9BC"/>
    <w:rsid w:val="BBBF7F8C"/>
    <w:rsid w:val="DFEA39CE"/>
    <w:rsid w:val="DFFA8698"/>
    <w:rsid w:val="EBE9BBEE"/>
    <w:rsid w:val="EF773679"/>
    <w:rsid w:val="F3FD2A2F"/>
    <w:rsid w:val="F553B78B"/>
    <w:rsid w:val="F7F89FA9"/>
    <w:rsid w:val="F97DBEB4"/>
    <w:rsid w:val="FF1B7A18"/>
    <w:rsid w:val="FFF3C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style>
  <w:style w:type="paragraph" w:styleId="4">
    <w:name w:val="Balloon Text"/>
    <w:basedOn w:val="1"/>
    <w:link w:val="25"/>
    <w:semiHidden/>
    <w:unhideWhenUsed/>
    <w:qFormat/>
    <w:uiPriority w:val="99"/>
    <w:rPr>
      <w:sz w:val="18"/>
      <w:szCs w:val="18"/>
    </w:rPr>
  </w:style>
  <w:style w:type="paragraph" w:styleId="5">
    <w:name w:val="footer"/>
    <w:basedOn w:val="1"/>
    <w:link w:val="24"/>
    <w:unhideWhenUsed/>
    <w:qFormat/>
    <w:uiPriority w:val="99"/>
    <w:pPr>
      <w:tabs>
        <w:tab w:val="center" w:pos="4153"/>
        <w:tab w:val="right" w:pos="8306"/>
      </w:tabs>
      <w:snapToGrid w:val="0"/>
      <w:jc w:val="left"/>
    </w:pPr>
    <w:rPr>
      <w:sz w:val="18"/>
      <w:szCs w:val="18"/>
    </w:rPr>
  </w:style>
  <w:style w:type="paragraph" w:styleId="6">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2"/>
    <w:rPr>
      <w:rFonts w:ascii="仿宋_GB2312" w:hAnsi="仿宋_GB2312" w:cs="仿宋_GB2312"/>
      <w:szCs w:val="32"/>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3">
    <w:name w:val="Emphasis"/>
    <w:basedOn w:val="11"/>
    <w:qFormat/>
    <w:uiPriority w:val="20"/>
    <w:rPr>
      <w:i/>
    </w:rPr>
  </w:style>
  <w:style w:type="character" w:styleId="14">
    <w:name w:val="Hyperlink"/>
    <w:basedOn w:val="11"/>
    <w:unhideWhenUsed/>
    <w:qFormat/>
    <w:uiPriority w:val="99"/>
    <w:rPr>
      <w:color w:val="0000FF"/>
      <w:u w:val="single"/>
    </w:rPr>
  </w:style>
  <w:style w:type="character" w:customStyle="1" w:styleId="15">
    <w:name w:val="apple-converted-space"/>
    <w:basedOn w:val="11"/>
    <w:qFormat/>
    <w:uiPriority w:val="0"/>
  </w:style>
  <w:style w:type="paragraph" w:customStyle="1" w:styleId="16">
    <w:name w:val="HTML Top of Form"/>
    <w:basedOn w:val="1"/>
    <w:next w:val="1"/>
    <w:link w:val="17"/>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7">
    <w:name w:val="z-窗体顶端 字符"/>
    <w:basedOn w:val="11"/>
    <w:link w:val="16"/>
    <w:semiHidden/>
    <w:qFormat/>
    <w:uiPriority w:val="99"/>
    <w:rPr>
      <w:rFonts w:ascii="Arial" w:hAnsi="Arial" w:eastAsia="宋体" w:cs="Arial"/>
      <w:vanish/>
      <w:kern w:val="0"/>
      <w:sz w:val="16"/>
      <w:szCs w:val="16"/>
    </w:rPr>
  </w:style>
  <w:style w:type="paragraph" w:customStyle="1" w:styleId="18">
    <w:name w:val="HTML Bottom of Form"/>
    <w:basedOn w:val="1"/>
    <w:next w:val="1"/>
    <w:link w:val="19"/>
    <w:semiHidden/>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19">
    <w:name w:val="z-窗体底端 字符"/>
    <w:basedOn w:val="11"/>
    <w:link w:val="18"/>
    <w:semiHidden/>
    <w:qFormat/>
    <w:uiPriority w:val="99"/>
    <w:rPr>
      <w:rFonts w:ascii="Arial" w:hAnsi="Arial" w:eastAsia="宋体" w:cs="Arial"/>
      <w:vanish/>
      <w:kern w:val="0"/>
      <w:sz w:val="16"/>
      <w:szCs w:val="16"/>
    </w:rPr>
  </w:style>
  <w:style w:type="character" w:customStyle="1" w:styleId="20">
    <w:name w:val="da"/>
    <w:basedOn w:val="11"/>
    <w:qFormat/>
    <w:uiPriority w:val="0"/>
  </w:style>
  <w:style w:type="character" w:customStyle="1" w:styleId="21">
    <w:name w:val="zhong"/>
    <w:basedOn w:val="11"/>
    <w:qFormat/>
    <w:uiPriority w:val="0"/>
  </w:style>
  <w:style w:type="character" w:customStyle="1" w:styleId="22">
    <w:name w:val="xiao"/>
    <w:basedOn w:val="11"/>
    <w:qFormat/>
    <w:uiPriority w:val="0"/>
  </w:style>
  <w:style w:type="character" w:customStyle="1" w:styleId="23">
    <w:name w:val="页眉 字符"/>
    <w:basedOn w:val="11"/>
    <w:link w:val="6"/>
    <w:qFormat/>
    <w:uiPriority w:val="99"/>
    <w:rPr>
      <w:sz w:val="18"/>
      <w:szCs w:val="18"/>
    </w:rPr>
  </w:style>
  <w:style w:type="character" w:customStyle="1" w:styleId="24">
    <w:name w:val="页脚 字符"/>
    <w:basedOn w:val="11"/>
    <w:link w:val="5"/>
    <w:qFormat/>
    <w:uiPriority w:val="99"/>
    <w:rPr>
      <w:sz w:val="18"/>
      <w:szCs w:val="18"/>
    </w:rPr>
  </w:style>
  <w:style w:type="character" w:customStyle="1" w:styleId="25">
    <w:name w:val="批注框文本 字符"/>
    <w:basedOn w:val="11"/>
    <w:link w:val="4"/>
    <w:semiHidden/>
    <w:qFormat/>
    <w:uiPriority w:val="99"/>
    <w:rPr>
      <w:sz w:val="18"/>
      <w:szCs w:val="18"/>
    </w:rPr>
  </w:style>
  <w:style w:type="paragraph" w:customStyle="1" w:styleId="26">
    <w:name w:val="Table Paragraph"/>
    <w:basedOn w:val="1"/>
    <w:qFormat/>
    <w:uiPriority w:val="1"/>
    <w:rPr>
      <w:rFonts w:ascii="宋体" w:hAnsi="宋体" w:eastAsia="宋体" w:cs="宋体"/>
      <w:lang w:val="zh-CN" w:eastAsia="zh-CN" w:bidi="zh-CN"/>
    </w:rPr>
  </w:style>
  <w:style w:type="paragraph" w:customStyle="1" w:styleId="27">
    <w:name w:val="文件正文"/>
    <w:basedOn w:val="7"/>
    <w:next w:val="1"/>
    <w:qFormat/>
    <w:uiPriority w:val="0"/>
    <w:pPr>
      <w:spacing w:line="560" w:lineRule="exact"/>
      <w:ind w:firstLine="622" w:firstLineChars="200"/>
    </w:pPr>
    <w:rPr>
      <w:rFonts w:hAnsi="宋体" w:eastAsia="仿宋_GB2312" w:cs="宋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4110</Words>
  <Characters>4217</Characters>
  <Lines>10</Lines>
  <Paragraphs>3</Paragraphs>
  <TotalTime>19</TotalTime>
  <ScaleCrop>false</ScaleCrop>
  <LinksUpToDate>false</LinksUpToDate>
  <CharactersWithSpaces>4651</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2018-05-22T22:36:00Z</dcterms:created>
  <dc:creator>Administrator</dc:creator>
  <cp:lastModifiedBy>吴军鹏</cp:lastModifiedBy>
  <cp:lastPrinted>2022-08-27T00:50:00Z</cp:lastPrinted>
  <dcterms:modified xsi:type="dcterms:W3CDTF">2022-09-22T10:12:33Z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y fmtid="{D5CDD505-2E9C-101B-9397-08002B2CF9AE}" pid="3" name="ICV">
    <vt:lpwstr>7CD332A59338453CBE82862FFEABB4A7</vt:lpwstr>
  </property>
</Properties>
</file>