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highlight w:val="none"/>
          <w:lang w:eastAsia="zh-CN"/>
        </w:rPr>
      </w:pPr>
      <w:r>
        <w:rPr>
          <w:rFonts w:hint="eastAsia" w:ascii="黑体" w:hAnsi="黑体" w:eastAsia="黑体" w:cs="Arial"/>
          <w:color w:val="auto"/>
          <w:kern w:val="0"/>
          <w:szCs w:val="32"/>
          <w:highlight w:val="none"/>
        </w:rPr>
        <w:t>附件</w:t>
      </w:r>
      <w:r>
        <w:rPr>
          <w:rFonts w:hint="eastAsia" w:ascii="黑体" w:hAnsi="黑体" w:eastAsia="黑体" w:cs="Arial"/>
          <w:color w:val="auto"/>
          <w:kern w:val="0"/>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color w:val="auto"/>
          <w:highlight w:val="none"/>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highlight w:val="none"/>
        </w:rPr>
      </w:pPr>
      <w:r>
        <w:rPr>
          <w:rFonts w:hint="eastAsia" w:ascii="黑体" w:hAnsi="黑体" w:eastAsia="黑体" w:cs="黑体"/>
          <w:b w:val="0"/>
          <w:bCs w:val="0"/>
          <w:color w:val="auto"/>
          <w:szCs w:val="32"/>
          <w:highlight w:val="none"/>
        </w:rPr>
        <w:t>一、不合格项目小知识</w:t>
      </w:r>
    </w:p>
    <w:p>
      <w:pPr>
        <w:spacing w:line="560" w:lineRule="exact"/>
        <w:ind w:firstLine="642" w:firstLineChars="200"/>
        <w:rPr>
          <w:rFonts w:hint="eastAsia" w:ascii="楷体" w:hAnsi="楷体" w:eastAsia="楷体" w:cs="楷体"/>
          <w:b/>
          <w:color w:val="auto"/>
          <w:sz w:val="32"/>
          <w:szCs w:val="32"/>
          <w:highlight w:val="none"/>
          <w:lang w:val="zh-CN" w:eastAsia="zh-CN"/>
        </w:rPr>
      </w:pPr>
      <w:r>
        <w:rPr>
          <w:rFonts w:hint="eastAsia" w:ascii="楷体" w:hAnsi="楷体" w:eastAsia="楷体" w:cs="楷体"/>
          <w:b/>
          <w:color w:val="auto"/>
          <w:sz w:val="32"/>
          <w:szCs w:val="32"/>
          <w:highlight w:val="none"/>
          <w:lang w:eastAsia="zh-CN"/>
        </w:rPr>
        <w:t>（</w:t>
      </w:r>
      <w:r>
        <w:rPr>
          <w:rFonts w:hint="eastAsia" w:ascii="楷体" w:hAnsi="楷体" w:eastAsia="楷体" w:cs="楷体"/>
          <w:b/>
          <w:color w:val="auto"/>
          <w:sz w:val="32"/>
          <w:szCs w:val="32"/>
          <w:highlight w:val="none"/>
          <w:lang w:val="en-US" w:eastAsia="zh-CN"/>
        </w:rPr>
        <w:t>一</w:t>
      </w:r>
      <w:r>
        <w:rPr>
          <w:rFonts w:hint="eastAsia" w:ascii="楷体" w:hAnsi="楷体" w:eastAsia="楷体" w:cs="楷体"/>
          <w:b/>
          <w:color w:val="auto"/>
          <w:sz w:val="32"/>
          <w:szCs w:val="32"/>
          <w:highlight w:val="none"/>
          <w:lang w:eastAsia="zh-CN"/>
        </w:rPr>
        <w:t>）</w:t>
      </w:r>
      <w:r>
        <w:rPr>
          <w:rFonts w:hint="eastAsia" w:ascii="楷体" w:hAnsi="楷体" w:eastAsia="楷体" w:cs="楷体"/>
          <w:b/>
          <w:color w:val="auto"/>
          <w:sz w:val="32"/>
          <w:szCs w:val="32"/>
          <w:highlight w:val="none"/>
          <w:lang w:val="zh-CN" w:eastAsia="zh-CN"/>
        </w:rPr>
        <w:t>氨基酸态氮</w:t>
      </w:r>
    </w:p>
    <w:p>
      <w:pPr>
        <w:spacing w:line="560" w:lineRule="exact"/>
        <w:ind w:firstLine="640" w:firstLineChars="200"/>
        <w:rPr>
          <w:color w:val="auto"/>
          <w:highlight w:val="none"/>
        </w:rPr>
      </w:pPr>
      <w:r>
        <w:rPr>
          <w:rFonts w:hint="eastAsia" w:ascii="仿宋_GB2312" w:hAnsi="仿宋" w:eastAsia="仿宋_GB2312" w:cs="仿宋"/>
          <w:color w:val="auto"/>
          <w:kern w:val="2"/>
          <w:sz w:val="32"/>
          <w:szCs w:val="32"/>
          <w:highlight w:val="none"/>
          <w:lang w:val="en-US" w:eastAsia="zh-CN" w:bidi="ar-SA"/>
        </w:rPr>
        <w:t>氨基酸态氮是酱油的特征性品质指标之一。氨基酸态氮含量越高，酱油的质量越好，鲜味越浓。氨基酸态氮不合格，主要影响的是酱油产品的风味。《调味料酒》（SB/T 10416-2007）中规定，</w:t>
      </w:r>
      <w:r>
        <w:rPr>
          <w:rFonts w:hint="eastAsia" w:ascii="仿宋_GB2312" w:hAnsi="仿宋" w:cs="仿宋"/>
          <w:color w:val="auto"/>
          <w:kern w:val="2"/>
          <w:sz w:val="32"/>
          <w:szCs w:val="32"/>
          <w:highlight w:val="none"/>
          <w:lang w:val="en-US" w:eastAsia="zh-CN" w:bidi="ar-SA"/>
        </w:rPr>
        <w:t>调味料酒中</w:t>
      </w:r>
      <w:r>
        <w:rPr>
          <w:rFonts w:hint="eastAsia" w:ascii="仿宋_GB2312" w:hAnsi="仿宋" w:eastAsia="仿宋_GB2312" w:cs="仿宋"/>
          <w:color w:val="auto"/>
          <w:kern w:val="2"/>
          <w:sz w:val="32"/>
          <w:szCs w:val="32"/>
          <w:highlight w:val="none"/>
          <w:lang w:val="en-US" w:eastAsia="zh-CN" w:bidi="ar-SA"/>
        </w:rPr>
        <w:t>的氨基酸态氮含量不低0.</w:t>
      </w:r>
      <w:r>
        <w:rPr>
          <w:rFonts w:hint="eastAsia" w:ascii="仿宋_GB2312" w:hAnsi="仿宋" w:cs="仿宋"/>
          <w:color w:val="auto"/>
          <w:kern w:val="2"/>
          <w:sz w:val="32"/>
          <w:szCs w:val="32"/>
          <w:highlight w:val="none"/>
          <w:lang w:val="en-US" w:eastAsia="zh-CN" w:bidi="ar-SA"/>
        </w:rPr>
        <w:t>2</w:t>
      </w:r>
      <w:r>
        <w:rPr>
          <w:rFonts w:hint="eastAsia" w:ascii="仿宋_GB2312" w:hAnsi="仿宋" w:eastAsia="仿宋_GB2312" w:cs="仿宋"/>
          <w:color w:val="auto"/>
          <w:kern w:val="2"/>
          <w:sz w:val="32"/>
          <w:szCs w:val="32"/>
          <w:highlight w:val="none"/>
          <w:lang w:val="en-US" w:eastAsia="zh-CN" w:bidi="ar-SA"/>
        </w:rPr>
        <w:t>g/L。氨基酸态氮含量不达标原因包括：可能是企业违规标注明示值；也有可能是产品生产工艺不符合标准要求，未达到要求发酵的时间，或产品配方缺陷的问题；还有可能存在个别企业在生产过程中为降低成本而故意掺假的情况。</w:t>
      </w:r>
    </w:p>
    <w:p>
      <w:pPr>
        <w:pStyle w:val="7"/>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楷体" w:hAnsi="楷体" w:eastAsia="楷体" w:cs="楷体"/>
          <w:color w:val="auto"/>
          <w:highlight w:val="none"/>
          <w:lang w:val="en-US" w:eastAsia="zh-CN"/>
        </w:rPr>
      </w:pPr>
      <w:r>
        <w:rPr>
          <w:rFonts w:hint="eastAsia" w:ascii="楷体" w:hAnsi="楷体" w:eastAsia="楷体" w:cs="楷体"/>
          <w:b/>
          <w:color w:val="auto"/>
          <w:sz w:val="32"/>
          <w:szCs w:val="32"/>
          <w:highlight w:val="none"/>
          <w:lang w:eastAsia="zh-CN"/>
        </w:rPr>
        <w:t>（</w:t>
      </w:r>
      <w:r>
        <w:rPr>
          <w:rFonts w:hint="eastAsia" w:ascii="楷体" w:hAnsi="楷体" w:eastAsia="楷体" w:cs="楷体"/>
          <w:b/>
          <w:color w:val="auto"/>
          <w:sz w:val="32"/>
          <w:szCs w:val="32"/>
          <w:highlight w:val="none"/>
          <w:lang w:val="en-US" w:eastAsia="zh-CN"/>
        </w:rPr>
        <w:t>二</w:t>
      </w:r>
      <w:r>
        <w:rPr>
          <w:rFonts w:hint="eastAsia" w:ascii="楷体" w:hAnsi="楷体" w:eastAsia="楷体" w:cs="楷体"/>
          <w:b/>
          <w:color w:val="auto"/>
          <w:sz w:val="32"/>
          <w:szCs w:val="32"/>
          <w:highlight w:val="none"/>
          <w:lang w:eastAsia="zh-CN"/>
        </w:rPr>
        <w:t>）</w:t>
      </w:r>
      <w:r>
        <w:rPr>
          <w:rFonts w:hint="eastAsia" w:ascii="楷体" w:hAnsi="楷体" w:eastAsia="楷体" w:cs="楷体"/>
          <w:color w:val="auto"/>
          <w:highlight w:val="none"/>
          <w:lang w:val="en-US" w:eastAsia="zh-CN"/>
        </w:rPr>
        <w:t>苯甲酸及其钠盐(以苯甲酸计)</w:t>
      </w:r>
    </w:p>
    <w:p>
      <w:pPr>
        <w:rPr>
          <w:rFonts w:hint="eastAsia"/>
          <w:color w:val="auto"/>
          <w:highlight w:val="none"/>
        </w:rPr>
      </w:pPr>
      <w:r>
        <w:rPr>
          <w:rFonts w:hint="eastAsia"/>
          <w:color w:val="auto"/>
          <w:highlight w:val="none"/>
          <w:lang w:val="en-US" w:eastAsia="zh-CN"/>
        </w:rPr>
        <w:t>苯甲酸及其钠盐</w:t>
      </w:r>
      <w:r>
        <w:rPr>
          <w:rFonts w:hint="eastAsia"/>
          <w:color w:val="auto"/>
          <w:highlight w:val="none"/>
        </w:rPr>
        <w:t>是一种可在食品中使用的防腐剂，具有抗细菌作用。其对皮肤有轻度刺激性，蒸气对上呼吸道、眼和皮肤产生刺激。该品在一般情况下接触无明显的危害性，但长期或大量服用苯甲酸会对人体产生危害。《食品安全国家标准食品添加剂使用标准》</w:t>
      </w:r>
      <w:r>
        <w:rPr>
          <w:rFonts w:hint="eastAsia"/>
          <w:color w:val="auto"/>
          <w:highlight w:val="none"/>
          <w:lang w:eastAsia="zh-CN"/>
        </w:rPr>
        <w:t>（</w:t>
      </w:r>
      <w:r>
        <w:rPr>
          <w:rFonts w:hint="eastAsia"/>
          <w:color w:val="auto"/>
          <w:highlight w:val="none"/>
        </w:rPr>
        <w:t>GB 2760-2014</w:t>
      </w:r>
      <w:r>
        <w:rPr>
          <w:rFonts w:hint="eastAsia"/>
          <w:color w:val="auto"/>
          <w:highlight w:val="none"/>
          <w:lang w:eastAsia="zh-CN"/>
        </w:rPr>
        <w:t>）</w:t>
      </w:r>
      <w:r>
        <w:rPr>
          <w:rFonts w:hint="eastAsia"/>
          <w:color w:val="auto"/>
          <w:highlight w:val="none"/>
        </w:rPr>
        <w:t>中规定了</w:t>
      </w:r>
      <w:r>
        <w:rPr>
          <w:rFonts w:hint="eastAsia"/>
          <w:color w:val="auto"/>
          <w:highlight w:val="none"/>
          <w:lang w:val="en-US" w:eastAsia="zh-CN"/>
        </w:rPr>
        <w:t>蔬菜干制品、生湿面制品、肉制品中不得使用苯甲酸及其钠盐</w:t>
      </w:r>
      <w:r>
        <w:rPr>
          <w:rFonts w:hint="eastAsia"/>
          <w:color w:val="auto"/>
          <w:highlight w:val="none"/>
        </w:rPr>
        <w:t>。正常情况下，每日的最大服用量控制在允许的范围之内，不会对人体造成任何危害。但是，为了提高食品的保质期，一些食品生产厂家就会私自提高苯甲酸的含量。</w:t>
      </w:r>
    </w:p>
    <w:p>
      <w:pPr>
        <w:widowControl/>
        <w:jc w:val="both"/>
        <w:rPr>
          <w:rFonts w:hint="eastAsia" w:ascii="仿宋_GB2312" w:hAnsi="仿宋" w:eastAsia="仿宋_GB2312"/>
          <w:color w:val="auto"/>
          <w:sz w:val="32"/>
          <w:szCs w:val="32"/>
          <w:highlight w:val="none"/>
        </w:rPr>
      </w:pPr>
    </w:p>
    <w:p>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楷体" w:hAnsi="楷体" w:eastAsia="楷体" w:cs="楷体"/>
          <w:color w:val="auto"/>
          <w:highlight w:val="none"/>
          <w:lang w:val="en-US" w:eastAsia="zh-CN"/>
        </w:rPr>
      </w:pPr>
      <w:r>
        <w:rPr>
          <w:rFonts w:hint="eastAsia" w:ascii="楷体" w:hAnsi="楷体" w:eastAsia="楷体" w:cs="楷体"/>
          <w:b/>
          <w:color w:val="auto"/>
          <w:sz w:val="32"/>
          <w:szCs w:val="32"/>
          <w:highlight w:val="none"/>
          <w:lang w:val="zh-CN" w:eastAsia="zh-CN"/>
        </w:rPr>
        <w:t>（</w:t>
      </w:r>
      <w:r>
        <w:rPr>
          <w:rFonts w:hint="eastAsia" w:ascii="楷体" w:hAnsi="楷体" w:eastAsia="楷体" w:cs="楷体"/>
          <w:b/>
          <w:color w:val="auto"/>
          <w:sz w:val="32"/>
          <w:szCs w:val="32"/>
          <w:highlight w:val="none"/>
          <w:lang w:val="en-US" w:eastAsia="zh-CN"/>
        </w:rPr>
        <w:t>三</w:t>
      </w:r>
      <w:r>
        <w:rPr>
          <w:rFonts w:hint="eastAsia" w:ascii="楷体" w:hAnsi="楷体" w:eastAsia="楷体" w:cs="楷体"/>
          <w:b/>
          <w:color w:val="auto"/>
          <w:sz w:val="32"/>
          <w:szCs w:val="32"/>
          <w:highlight w:val="none"/>
          <w:lang w:val="zh-CN" w:eastAsia="zh-CN"/>
        </w:rPr>
        <w:t>）</w:t>
      </w:r>
      <w:r>
        <w:rPr>
          <w:rFonts w:hint="eastAsia" w:ascii="楷体" w:hAnsi="楷体" w:eastAsia="楷体" w:cs="楷体"/>
          <w:color w:val="auto"/>
          <w:highlight w:val="none"/>
          <w:lang w:val="en-US" w:eastAsia="zh-CN"/>
        </w:rPr>
        <w:t>不挥发酸</w:t>
      </w:r>
    </w:p>
    <w:p>
      <w:pPr>
        <w:bidi w:val="0"/>
        <w:rPr>
          <w:rFonts w:hint="eastAsia" w:ascii="仿宋_GB2312" w:hAnsi="仿宋" w:eastAsia="仿宋_GB2312" w:cs="仿宋"/>
          <w:color w:val="auto"/>
          <w:kern w:val="2"/>
          <w:sz w:val="32"/>
          <w:szCs w:val="32"/>
          <w:highlight w:val="none"/>
          <w:lang w:val="en-US" w:eastAsia="zh-CN" w:bidi="ar-SA"/>
        </w:rPr>
      </w:pPr>
      <w:r>
        <w:rPr>
          <w:rFonts w:hint="eastAsia"/>
          <w:color w:val="auto"/>
          <w:highlight w:val="none"/>
          <w:lang w:eastAsia="zh-CN"/>
        </w:rPr>
        <w:t>不挥发酸是食醋中总酸的一种，以乳酸为主,可以使食醋的酸味绵长，柔软可口。《酿造食醋》（GB/T 18187-2000）中规定，固态发酵食醋中的不挥发酸（以乳酸计）应不少于0.50g/100mL。不挥发酸含量不足，在一定程度上会影响食醋的口感和风味。造成不</w:t>
      </w:r>
      <w:r>
        <w:rPr>
          <w:rFonts w:hint="default"/>
          <w:color w:val="auto"/>
          <w:highlight w:val="none"/>
          <w:lang w:eastAsia="zh-CN"/>
        </w:rPr>
        <w:t>挥发</w:t>
      </w:r>
      <w:r>
        <w:rPr>
          <w:rFonts w:hint="eastAsia"/>
          <w:color w:val="auto"/>
          <w:highlight w:val="none"/>
          <w:lang w:eastAsia="zh-CN"/>
        </w:rPr>
        <w:t>酸不合格的原因，可能是生产加工过程中发酵工艺控制不当。</w:t>
      </w:r>
    </w:p>
    <w:p>
      <w:pPr>
        <w:spacing w:line="560" w:lineRule="exact"/>
        <w:ind w:firstLine="642" w:firstLineChars="200"/>
        <w:rPr>
          <w:rFonts w:hint="eastAsia" w:ascii="楷体" w:hAnsi="楷体" w:eastAsia="楷体" w:cs="楷体"/>
          <w:b/>
          <w:color w:val="auto"/>
          <w:sz w:val="32"/>
          <w:szCs w:val="32"/>
          <w:highlight w:val="none"/>
          <w:lang w:val="zh-CN" w:eastAsia="zh-CN"/>
        </w:rPr>
      </w:pPr>
      <w:r>
        <w:rPr>
          <w:rFonts w:hint="eastAsia" w:ascii="楷体" w:hAnsi="楷体" w:eastAsia="楷体" w:cs="楷体"/>
          <w:b/>
          <w:color w:val="auto"/>
          <w:sz w:val="32"/>
          <w:szCs w:val="32"/>
          <w:highlight w:val="none"/>
          <w:lang w:val="zh-CN" w:eastAsia="zh-CN"/>
        </w:rPr>
        <w:t>（</w:t>
      </w:r>
      <w:r>
        <w:rPr>
          <w:rFonts w:hint="eastAsia" w:ascii="楷体" w:hAnsi="楷体" w:eastAsia="楷体" w:cs="楷体"/>
          <w:b/>
          <w:color w:val="auto"/>
          <w:sz w:val="32"/>
          <w:szCs w:val="32"/>
          <w:highlight w:val="none"/>
          <w:lang w:val="en-US" w:eastAsia="zh-CN"/>
        </w:rPr>
        <w:t>四</w:t>
      </w:r>
      <w:r>
        <w:rPr>
          <w:rFonts w:hint="eastAsia" w:ascii="楷体" w:hAnsi="楷体" w:eastAsia="楷体" w:cs="楷体"/>
          <w:b/>
          <w:color w:val="auto"/>
          <w:sz w:val="32"/>
          <w:szCs w:val="32"/>
          <w:highlight w:val="none"/>
          <w:lang w:val="zh-CN" w:eastAsia="zh-CN"/>
        </w:rPr>
        <w:t>）茶多酚</w:t>
      </w:r>
    </w:p>
    <w:p>
      <w:pPr>
        <w:spacing w:line="560" w:lineRule="exact"/>
        <w:ind w:firstLine="640" w:firstLineChars="200"/>
        <w:rPr>
          <w:rFonts w:hint="eastAsia" w:ascii="仿宋_GB2312" w:hAnsi="仿宋" w:eastAsia="仿宋_GB2312" w:cs="仿宋"/>
          <w:color w:val="auto"/>
          <w:kern w:val="2"/>
          <w:sz w:val="32"/>
          <w:szCs w:val="32"/>
          <w:highlight w:val="none"/>
          <w:lang w:val="en-US" w:eastAsia="zh-CN" w:bidi="ar-SA"/>
        </w:rPr>
      </w:pPr>
      <w:r>
        <w:rPr>
          <w:rFonts w:hint="eastAsia" w:ascii="楷体" w:hAnsi="楷体" w:eastAsia="楷体" w:cs="楷体"/>
          <w:color w:val="auto"/>
          <w:kern w:val="2"/>
          <w:sz w:val="32"/>
          <w:szCs w:val="32"/>
          <w:highlight w:val="none"/>
          <w:lang w:val="en-US" w:eastAsia="zh-CN" w:bidi="ar-SA"/>
        </w:rPr>
        <w:t>茶多酚是茶叶保健</w:t>
      </w:r>
      <w:r>
        <w:rPr>
          <w:rFonts w:hint="eastAsia" w:ascii="仿宋_GB2312" w:hAnsi="仿宋" w:cs="仿宋"/>
          <w:color w:val="auto"/>
          <w:kern w:val="2"/>
          <w:sz w:val="32"/>
          <w:szCs w:val="32"/>
          <w:highlight w:val="none"/>
          <w:lang w:val="en-US" w:eastAsia="zh-CN" w:bidi="ar-SA"/>
        </w:rPr>
        <w:t>功能的主要作用成分，主要决定茶叶色、香、味效果。摄入茶多酚对人体具有抗氧化、降血脂、抗衰老等益处。《茶饮料》（GB/T 21733-2008）</w:t>
      </w:r>
      <w:r>
        <w:rPr>
          <w:rFonts w:hint="eastAsia" w:ascii="仿宋_GB2312" w:hAnsi="仿宋" w:eastAsia="仿宋_GB2312" w:cs="仿宋"/>
          <w:color w:val="auto"/>
          <w:kern w:val="2"/>
          <w:sz w:val="32"/>
          <w:szCs w:val="32"/>
          <w:highlight w:val="none"/>
          <w:lang w:val="en-US" w:eastAsia="zh-CN" w:bidi="ar-SA"/>
        </w:rPr>
        <w:t>中规定，</w:t>
      </w:r>
      <w:r>
        <w:rPr>
          <w:rFonts w:hint="eastAsia" w:ascii="仿宋_GB2312" w:hAnsi="仿宋" w:cs="仿宋"/>
          <w:color w:val="auto"/>
          <w:kern w:val="2"/>
          <w:sz w:val="32"/>
          <w:szCs w:val="32"/>
          <w:highlight w:val="none"/>
          <w:lang w:val="en-US" w:eastAsia="zh-CN" w:bidi="ar-SA"/>
        </w:rPr>
        <w:t>果汁、果味调味茶饮料</w:t>
      </w:r>
      <w:r>
        <w:rPr>
          <w:rFonts w:hint="eastAsia" w:ascii="仿宋_GB2312" w:hAnsi="仿宋" w:eastAsia="仿宋_GB2312" w:cs="仿宋"/>
          <w:color w:val="auto"/>
          <w:kern w:val="2"/>
          <w:sz w:val="32"/>
          <w:szCs w:val="32"/>
          <w:highlight w:val="none"/>
          <w:lang w:val="en-US" w:eastAsia="zh-CN" w:bidi="ar-SA"/>
        </w:rPr>
        <w:t>中</w:t>
      </w:r>
      <w:r>
        <w:rPr>
          <w:rFonts w:hint="eastAsia" w:ascii="仿宋_GB2312" w:hAnsi="仿宋" w:cs="仿宋"/>
          <w:color w:val="auto"/>
          <w:kern w:val="2"/>
          <w:sz w:val="32"/>
          <w:szCs w:val="32"/>
          <w:highlight w:val="none"/>
          <w:lang w:val="en-US" w:eastAsia="zh-CN" w:bidi="ar-SA"/>
        </w:rPr>
        <w:t>茶多酚</w:t>
      </w:r>
      <w:r>
        <w:rPr>
          <w:rFonts w:hint="eastAsia" w:ascii="仿宋_GB2312" w:hAnsi="仿宋" w:eastAsia="仿宋_GB2312" w:cs="仿宋"/>
          <w:color w:val="auto"/>
          <w:kern w:val="2"/>
          <w:sz w:val="32"/>
          <w:szCs w:val="32"/>
          <w:highlight w:val="none"/>
          <w:lang w:val="en-US" w:eastAsia="zh-CN" w:bidi="ar-SA"/>
        </w:rPr>
        <w:t>的最</w:t>
      </w:r>
      <w:r>
        <w:rPr>
          <w:rFonts w:hint="eastAsia" w:ascii="仿宋_GB2312" w:hAnsi="仿宋" w:cs="仿宋"/>
          <w:color w:val="auto"/>
          <w:kern w:val="2"/>
          <w:sz w:val="32"/>
          <w:szCs w:val="32"/>
          <w:highlight w:val="none"/>
          <w:lang w:val="en-US" w:eastAsia="zh-CN" w:bidi="ar-SA"/>
        </w:rPr>
        <w:t>小限量值</w:t>
      </w:r>
      <w:r>
        <w:rPr>
          <w:rFonts w:hint="eastAsia" w:ascii="仿宋_GB2312" w:hAnsi="仿宋" w:eastAsia="仿宋_GB2312" w:cs="仿宋"/>
          <w:color w:val="auto"/>
          <w:kern w:val="2"/>
          <w:sz w:val="32"/>
          <w:szCs w:val="32"/>
          <w:highlight w:val="none"/>
          <w:lang w:val="en-US" w:eastAsia="zh-CN" w:bidi="ar-SA"/>
        </w:rPr>
        <w:t>为</w:t>
      </w:r>
      <w:r>
        <w:rPr>
          <w:rFonts w:hint="eastAsia" w:ascii="仿宋_GB2312" w:hAnsi="仿宋" w:cs="仿宋"/>
          <w:color w:val="auto"/>
          <w:kern w:val="2"/>
          <w:sz w:val="32"/>
          <w:szCs w:val="32"/>
          <w:highlight w:val="none"/>
          <w:lang w:val="en-US" w:eastAsia="zh-CN" w:bidi="ar-SA"/>
        </w:rPr>
        <w:t>200</w:t>
      </w:r>
      <w:r>
        <w:rPr>
          <w:rFonts w:hint="eastAsia" w:ascii="仿宋_GB2312" w:hAnsi="仿宋" w:eastAsia="仿宋_GB2312" w:cs="仿宋"/>
          <w:color w:val="auto"/>
          <w:kern w:val="2"/>
          <w:sz w:val="32"/>
          <w:szCs w:val="32"/>
          <w:highlight w:val="none"/>
          <w:lang w:val="en-US" w:eastAsia="zh-CN" w:bidi="ar-SA"/>
        </w:rPr>
        <w:t xml:space="preserve"> </w:t>
      </w:r>
      <w:r>
        <w:rPr>
          <w:rFonts w:hint="eastAsia" w:ascii="仿宋_GB2312" w:hAnsi="仿宋" w:cs="仿宋"/>
          <w:color w:val="auto"/>
          <w:kern w:val="2"/>
          <w:sz w:val="32"/>
          <w:szCs w:val="32"/>
          <w:highlight w:val="none"/>
          <w:lang w:val="en-US" w:eastAsia="zh-CN" w:bidi="ar-SA"/>
        </w:rPr>
        <w:t>m</w:t>
      </w:r>
      <w:r>
        <w:rPr>
          <w:rFonts w:hint="eastAsia" w:ascii="仿宋_GB2312" w:hAnsi="仿宋" w:eastAsia="仿宋_GB2312" w:cs="仿宋"/>
          <w:color w:val="auto"/>
          <w:kern w:val="2"/>
          <w:sz w:val="32"/>
          <w:szCs w:val="32"/>
          <w:highlight w:val="none"/>
          <w:lang w:val="en-US" w:eastAsia="zh-CN" w:bidi="ar-SA"/>
        </w:rPr>
        <w:t>g/kg</w:t>
      </w:r>
      <w:r>
        <w:rPr>
          <w:rFonts w:hint="eastAsia" w:ascii="仿宋_GB2312" w:hAnsi="仿宋" w:cs="仿宋"/>
          <w:color w:val="auto"/>
          <w:kern w:val="2"/>
          <w:sz w:val="32"/>
          <w:szCs w:val="32"/>
          <w:highlight w:val="none"/>
          <w:lang w:val="en-US" w:eastAsia="zh-CN" w:bidi="ar-SA"/>
        </w:rPr>
        <w:t>.茶多酚</w:t>
      </w:r>
      <w:r>
        <w:rPr>
          <w:rFonts w:hint="eastAsia" w:ascii="仿宋_GB2312" w:hAnsi="仿宋" w:eastAsia="仿宋_GB2312" w:cs="仿宋"/>
          <w:color w:val="auto"/>
          <w:kern w:val="2"/>
          <w:sz w:val="32"/>
          <w:szCs w:val="32"/>
          <w:highlight w:val="none"/>
          <w:lang w:val="en-US" w:eastAsia="zh-CN" w:bidi="ar-SA"/>
        </w:rPr>
        <w:t>项目不合格原因可能</w:t>
      </w:r>
      <w:r>
        <w:rPr>
          <w:rFonts w:hint="eastAsia" w:ascii="仿宋_GB2312" w:hAnsi="仿宋" w:cs="仿宋"/>
          <w:color w:val="auto"/>
          <w:kern w:val="2"/>
          <w:sz w:val="32"/>
          <w:szCs w:val="32"/>
          <w:highlight w:val="none"/>
          <w:lang w:val="en-US" w:eastAsia="zh-CN" w:bidi="ar-SA"/>
        </w:rPr>
        <w:t>有：原料质量不合格；生产工艺控制不严格不符合要求</w:t>
      </w:r>
      <w:r>
        <w:rPr>
          <w:rFonts w:hint="eastAsia" w:ascii="仿宋_GB2312" w:hAnsi="仿宋" w:eastAsia="仿宋_GB2312" w:cs="仿宋"/>
          <w:color w:val="auto"/>
          <w:kern w:val="2"/>
          <w:sz w:val="32"/>
          <w:szCs w:val="32"/>
          <w:highlight w:val="none"/>
          <w:lang w:val="en-US" w:eastAsia="zh-CN" w:bidi="ar-SA"/>
        </w:rPr>
        <w:t>。</w:t>
      </w:r>
    </w:p>
    <w:p>
      <w:pPr>
        <w:ind w:firstLine="662"/>
        <w:rPr>
          <w:rFonts w:hint="default" w:ascii="楷体_GB2312" w:hAnsi="楷体_GB2312" w:eastAsia="楷体_GB2312" w:cs="楷体_GB2312"/>
          <w:b/>
          <w:bCs/>
          <w:color w:val="auto"/>
          <w:kern w:val="0"/>
          <w:sz w:val="32"/>
          <w:szCs w:val="32"/>
          <w:highlight w:val="none"/>
          <w:lang w:val="en-US" w:eastAsia="zh-CN" w:bidi="ar-SA"/>
        </w:rPr>
      </w:pPr>
      <w:r>
        <w:rPr>
          <w:rFonts w:hint="eastAsia" w:ascii="楷体" w:hAnsi="楷体" w:eastAsia="楷体" w:cs="楷体"/>
          <w:b/>
          <w:bCs w:val="0"/>
          <w:color w:val="auto"/>
          <w:sz w:val="32"/>
          <w:szCs w:val="32"/>
          <w:highlight w:val="none"/>
          <w:lang w:val="zh-CN" w:eastAsia="zh-CN"/>
        </w:rPr>
        <w:t>（</w:t>
      </w:r>
      <w:r>
        <w:rPr>
          <w:rFonts w:hint="eastAsia" w:ascii="楷体" w:hAnsi="楷体" w:eastAsia="楷体" w:cs="楷体"/>
          <w:b/>
          <w:bCs w:val="0"/>
          <w:color w:val="auto"/>
          <w:sz w:val="32"/>
          <w:szCs w:val="32"/>
          <w:highlight w:val="none"/>
          <w:lang w:val="en-US" w:eastAsia="zh-CN"/>
        </w:rPr>
        <w:t>五</w:t>
      </w:r>
      <w:r>
        <w:rPr>
          <w:rFonts w:hint="eastAsia" w:ascii="楷体" w:hAnsi="楷体" w:eastAsia="楷体" w:cs="楷体"/>
          <w:b/>
          <w:bCs w:val="0"/>
          <w:color w:val="auto"/>
          <w:sz w:val="32"/>
          <w:szCs w:val="32"/>
          <w:highlight w:val="none"/>
          <w:lang w:val="zh-CN" w:eastAsia="zh-CN"/>
        </w:rPr>
        <w:t>）玉米赤霉烯酮</w:t>
      </w:r>
      <w:r>
        <w:rPr>
          <w:rFonts w:hint="eastAsia" w:ascii="方正楷体_GB2312" w:hAnsi="方正楷体_GB2312" w:eastAsia="方正楷体_GB2312" w:cs="方正楷体_GB2312"/>
          <w:b/>
          <w:bCs w:val="0"/>
          <w:color w:val="auto"/>
          <w:sz w:val="32"/>
          <w:szCs w:val="32"/>
          <w:highlight w:val="none"/>
          <w:lang w:val="en-US" w:eastAsia="zh-CN"/>
        </w:rPr>
        <w:t xml:space="preserve">  </w:t>
      </w:r>
      <w:r>
        <w:rPr>
          <w:rFonts w:hint="eastAsia" w:ascii="楷体_GB2312" w:hAnsi="楷体_GB2312" w:eastAsia="楷体_GB2312" w:cs="楷体_GB2312"/>
          <w:b/>
          <w:bCs/>
          <w:color w:val="auto"/>
          <w:kern w:val="0"/>
          <w:sz w:val="32"/>
          <w:szCs w:val="32"/>
          <w:highlight w:val="none"/>
          <w:lang w:val="en-US" w:eastAsia="zh-CN" w:bidi="ar-SA"/>
        </w:rPr>
        <w:t xml:space="preserve">        </w:t>
      </w:r>
    </w:p>
    <w:p>
      <w:pPr>
        <w:spacing w:line="560" w:lineRule="exact"/>
        <w:ind w:firstLine="640" w:firstLineChars="200"/>
        <w:rPr>
          <w:rFonts w:hint="eastAsia" w:ascii="仿宋_GB2312" w:hAnsi="仿宋" w:eastAsia="仿宋_GB2312" w:cs="华文中宋"/>
          <w:color w:val="auto"/>
          <w:kern w:val="2"/>
          <w:sz w:val="32"/>
          <w:szCs w:val="32"/>
          <w:highlight w:val="none"/>
          <w:lang w:val="en-US" w:eastAsia="zh-CN" w:bidi="ar-SA"/>
        </w:rPr>
      </w:pPr>
      <w:r>
        <w:rPr>
          <w:rFonts w:hint="eastAsia" w:ascii="仿宋_GB2312" w:hAnsi="仿宋" w:cs="宋体"/>
          <w:color w:val="auto"/>
          <w:kern w:val="0"/>
          <w:sz w:val="32"/>
          <w:szCs w:val="32"/>
          <w:highlight w:val="none"/>
          <w:lang w:eastAsia="zh-CN"/>
        </w:rPr>
        <w:t>玉米赤霉烯酮是玉米赤霉菌的代谢产物。玉米赤霉烯酮主要污染玉米、小麦、大米、大麦、小米和燕麦等谷物。玉米赤霉烯酮具有雌激素样作用，能造成动物急慢性中毒，引起动物繁殖机能异常甚至死亡。人体摄入过量玉米赤霉烯酮会对健康造成一定的危害。《食品安全国家标准 食品中真菌毒素限量》（GB 2761-2017）中规定玉米、玉米面（渣、片）中赤霉烯酮的含量不得大于60μg/kg。造成玉米赤霉烯酮含量超标的原因有：一是原料带入，如玉米等高等植物本身含有，在开花时玉米赤霉烯酮达到峰值；二是储存运输不当：如存储环境不适宜，食品易被霉菌感染。</w:t>
      </w:r>
    </w:p>
    <w:p>
      <w:pPr>
        <w:spacing w:line="560" w:lineRule="exact"/>
        <w:ind w:firstLine="642" w:firstLineChars="200"/>
        <w:rPr>
          <w:rFonts w:hint="eastAsia" w:ascii="楷体" w:hAnsi="楷体" w:eastAsia="楷体" w:cs="楷体"/>
          <w:color w:val="auto"/>
          <w:highlight w:val="none"/>
          <w:lang w:val="en-US" w:eastAsia="zh-CN"/>
        </w:rPr>
      </w:pPr>
      <w:r>
        <w:rPr>
          <w:rFonts w:hint="eastAsia" w:ascii="楷体" w:hAnsi="楷体" w:eastAsia="楷体" w:cs="楷体"/>
          <w:b/>
          <w:bCs w:val="0"/>
          <w:color w:val="auto"/>
          <w:sz w:val="32"/>
          <w:szCs w:val="32"/>
          <w:highlight w:val="none"/>
          <w:lang w:val="en-US" w:eastAsia="zh-CN"/>
        </w:rPr>
        <w:t>（六）蛋白质</w:t>
      </w:r>
    </w:p>
    <w:p>
      <w:pPr>
        <w:spacing w:line="560" w:lineRule="exact"/>
        <w:ind w:firstLine="640" w:firstLineChars="200"/>
        <w:outlineLvl w:val="0"/>
        <w:rPr>
          <w:rFonts w:hint="eastAsia" w:ascii="仿宋_GB2312" w:hAnsi="仿宋" w:eastAsia="仿宋_GB2312" w:cs="Times New Roman"/>
          <w:color w:val="auto"/>
          <w:sz w:val="32"/>
          <w:szCs w:val="32"/>
          <w:highlight w:val="none"/>
          <w:lang w:val="en-US" w:eastAsia="zh-CN"/>
        </w:rPr>
      </w:pPr>
      <w:r>
        <w:rPr>
          <w:rFonts w:hint="default" w:ascii="仿宋_GB2312" w:hAnsi="仿宋" w:eastAsia="仿宋_GB2312" w:cs="Times New Roman"/>
          <w:color w:val="auto"/>
          <w:sz w:val="32"/>
          <w:szCs w:val="32"/>
          <w:highlight w:val="none"/>
          <w:lang w:val="en-US" w:eastAsia="zh-CN"/>
        </w:rPr>
        <w:t>蛋白质是蛋白饮料的一个质量指标</w:t>
      </w:r>
      <w:r>
        <w:rPr>
          <w:rFonts w:hint="eastAsia" w:ascii="仿宋_GB2312" w:hAnsi="仿宋" w:eastAsia="仿宋_GB2312" w:cs="Times New Roman"/>
          <w:color w:val="auto"/>
          <w:sz w:val="32"/>
          <w:szCs w:val="32"/>
          <w:highlight w:val="none"/>
          <w:lang w:val="en-US" w:eastAsia="zh-CN"/>
        </w:rPr>
        <w:t>，</w:t>
      </w:r>
      <w:r>
        <w:rPr>
          <w:rFonts w:hint="eastAsia" w:ascii="仿宋_GB2312" w:hAnsi="仿宋" w:eastAsia="仿宋_GB2312" w:cs="Times New Roman"/>
          <w:color w:val="auto"/>
          <w:sz w:val="32"/>
          <w:szCs w:val="32"/>
          <w:highlight w:val="none"/>
        </w:rPr>
        <w:t>含量不达标主要影响产品的品质</w:t>
      </w:r>
      <w:r>
        <w:rPr>
          <w:rFonts w:hint="default" w:ascii="仿宋_GB2312" w:hAnsi="仿宋" w:eastAsia="仿宋_GB2312" w:cs="Times New Roman"/>
          <w:color w:val="auto"/>
          <w:sz w:val="32"/>
          <w:szCs w:val="32"/>
          <w:highlight w:val="none"/>
          <w:lang w:val="en-US" w:eastAsia="zh-CN"/>
        </w:rPr>
        <w:t>。</w:t>
      </w:r>
      <w:r>
        <w:rPr>
          <w:rFonts w:hint="eastAsia" w:ascii="仿宋_GB2312" w:hAnsi="仿宋" w:eastAsia="仿宋_GB2312" w:cs="Times New Roman"/>
          <w:color w:val="auto"/>
          <w:sz w:val="32"/>
          <w:szCs w:val="32"/>
          <w:highlight w:val="none"/>
        </w:rPr>
        <w:t>《植物蛋白饮料 豆奶和豆奶饮料》</w:t>
      </w:r>
      <w:r>
        <w:rPr>
          <w:rFonts w:hint="default" w:ascii="仿宋_GB2312" w:hAnsi="仿宋" w:eastAsia="仿宋_GB2312" w:cs="Times New Roman"/>
          <w:color w:val="auto"/>
          <w:sz w:val="32"/>
          <w:szCs w:val="32"/>
          <w:highlight w:val="none"/>
          <w:lang w:val="en-US" w:eastAsia="zh-CN"/>
        </w:rPr>
        <w:t>（</w:t>
      </w:r>
      <w:r>
        <w:rPr>
          <w:rFonts w:hint="eastAsia" w:ascii="仿宋_GB2312" w:hAnsi="仿宋" w:eastAsia="仿宋_GB2312" w:cs="Times New Roman"/>
          <w:color w:val="auto"/>
          <w:sz w:val="32"/>
          <w:szCs w:val="32"/>
          <w:highlight w:val="none"/>
        </w:rPr>
        <w:t>GB/T 30885-2014</w:t>
      </w:r>
      <w:r>
        <w:rPr>
          <w:rFonts w:hint="default" w:ascii="仿宋_GB2312" w:hAnsi="仿宋" w:eastAsia="仿宋_GB2312" w:cs="Times New Roman"/>
          <w:color w:val="auto"/>
          <w:sz w:val="32"/>
          <w:szCs w:val="32"/>
          <w:highlight w:val="none"/>
          <w:lang w:val="en-US" w:eastAsia="zh-CN"/>
        </w:rPr>
        <w:t>）规定，蛋白饮料中蛋白质含量应≥1.0 g/100g</w:t>
      </w:r>
      <w:r>
        <w:rPr>
          <w:rFonts w:hint="eastAsia" w:ascii="仿宋_GB2312" w:hAnsi="仿宋" w:eastAsia="仿宋_GB2312" w:cs="Times New Roman"/>
          <w:color w:val="auto"/>
          <w:sz w:val="32"/>
          <w:szCs w:val="32"/>
          <w:highlight w:val="none"/>
          <w:lang w:val="en-US" w:eastAsia="zh-CN"/>
        </w:rPr>
        <w:t>。蛋白质</w:t>
      </w:r>
      <w:r>
        <w:rPr>
          <w:rFonts w:hint="eastAsia" w:ascii="仿宋_GB2312" w:hAnsi="仿宋" w:eastAsia="仿宋_GB2312" w:cs="Times New Roman"/>
          <w:color w:val="auto"/>
          <w:sz w:val="32"/>
          <w:szCs w:val="32"/>
          <w:highlight w:val="none"/>
        </w:rPr>
        <w:t>不合格可能是个别企业为了降低成本，故意标高</w:t>
      </w:r>
      <w:r>
        <w:rPr>
          <w:rFonts w:hint="eastAsia" w:ascii="仿宋_GB2312" w:hAnsi="仿宋" w:eastAsia="仿宋_GB2312" w:cs="Times New Roman"/>
          <w:color w:val="auto"/>
          <w:sz w:val="32"/>
          <w:szCs w:val="32"/>
          <w:highlight w:val="none"/>
          <w:lang w:val="en-US" w:eastAsia="zh-CN"/>
        </w:rPr>
        <w:t>蛋白质含量</w:t>
      </w:r>
      <w:r>
        <w:rPr>
          <w:rFonts w:hint="eastAsia" w:ascii="仿宋_GB2312" w:hAnsi="仿宋" w:eastAsia="仿宋_GB2312" w:cs="Times New Roman"/>
          <w:color w:val="auto"/>
          <w:sz w:val="32"/>
          <w:szCs w:val="32"/>
          <w:highlight w:val="none"/>
        </w:rPr>
        <w:t>，以提高销售价格，欺骗消费者；也不排除生产者的检验器具未准确计量，检验结果出现偏差的情况。</w:t>
      </w:r>
    </w:p>
    <w:p>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楷体" w:hAnsi="楷体" w:eastAsia="楷体" w:cs="楷体"/>
          <w:color w:val="auto"/>
          <w:highlight w:val="none"/>
          <w:lang w:eastAsia="zh-CN"/>
        </w:rPr>
      </w:pPr>
      <w:r>
        <w:rPr>
          <w:rFonts w:hint="eastAsia" w:ascii="楷体" w:hAnsi="楷体" w:eastAsia="楷体" w:cs="楷体"/>
          <w:b/>
          <w:bCs w:val="0"/>
          <w:color w:val="auto"/>
          <w:sz w:val="32"/>
          <w:szCs w:val="32"/>
          <w:highlight w:val="none"/>
          <w:lang w:val="en-US" w:eastAsia="zh-CN"/>
        </w:rPr>
        <w:t>（七）</w:t>
      </w:r>
      <w:r>
        <w:rPr>
          <w:rFonts w:hint="eastAsia" w:ascii="楷体" w:hAnsi="楷体" w:eastAsia="楷体" w:cs="楷体"/>
          <w:color w:val="auto"/>
          <w:highlight w:val="none"/>
          <w:lang w:eastAsia="zh-CN"/>
        </w:rPr>
        <w:t>二氧化硫残留量</w:t>
      </w:r>
    </w:p>
    <w:p>
      <w:pPr>
        <w:spacing w:line="560" w:lineRule="exact"/>
        <w:ind w:firstLine="640" w:firstLineChars="200"/>
        <w:rPr>
          <w:rFonts w:hint="eastAsia" w:ascii="仿宋_GB2312" w:hAnsi="仿宋" w:eastAsia="仿宋_GB2312"/>
          <w:color w:val="auto"/>
          <w:sz w:val="32"/>
          <w:szCs w:val="32"/>
          <w:highlight w:val="none"/>
        </w:rPr>
      </w:pPr>
      <w:r>
        <w:rPr>
          <w:rFonts w:hint="eastAsia"/>
          <w:color w:val="auto"/>
          <w:highlight w:val="none"/>
        </w:rPr>
        <w:t>二氧化硫是有效的漂白剂、防腐剂和抗氧化剂，食品中二氧化硫残留主要原因是厂家在生产过程中使用了亚硫酸盐（含硫磺）对产品进行熏蒸和浸泡，部分生产厂家食品安全知识有限，法律意识淡薄，在生产过程中没有按照国家标准规定进行生产；甚至一些不法商贩在利益驱使下，过度追求产品外观好看并延长保质期，超量或超范围使用亚硫酸盐类添加剂更甚至使用过工业硫磺，并且无后续的二氧化硫清除技术，对二氧化硫产生的危害置之不理</w:t>
      </w:r>
      <w:r>
        <w:rPr>
          <w:rFonts w:hint="eastAsia"/>
          <w:color w:val="auto"/>
          <w:highlight w:val="none"/>
          <w:lang w:eastAsia="zh-CN"/>
        </w:rPr>
        <w:t>。</w:t>
      </w:r>
      <w:r>
        <w:rPr>
          <w:rFonts w:hint="eastAsia" w:ascii="仿宋_GB2312" w:hAnsi="仿宋" w:eastAsia="仿宋_GB2312"/>
          <w:color w:val="auto"/>
          <w:sz w:val="32"/>
          <w:szCs w:val="32"/>
          <w:highlight w:val="none"/>
        </w:rPr>
        <w:t>《食品安全国家标准 食品添加剂使用标准》（GB 2760-2014）中规定，干制蔬菜中二氧化硫残留量应≤0.2g/kg。</w:t>
      </w:r>
      <w:r>
        <w:rPr>
          <w:rFonts w:hint="eastAsia"/>
          <w:color w:val="auto"/>
          <w:highlight w:val="none"/>
        </w:rPr>
        <w:t>人体摄入少量二氧化硫和亚硫酸盐会被体内亚硫酸盐氧化酵素（酶）作用转变成硫酸盐，由尿液排出体外，一般不会对人体健康造成不良影响。但大量摄入二氧化硫超标的食物会出现头晕、呕吐腹泻等，严重时会伤害肝脏、肾脏等。长期过量摄入则可能对人体各系统、器官、组织产生不利影响。</w:t>
      </w:r>
    </w:p>
    <w:p>
      <w:pPr>
        <w:spacing w:line="560" w:lineRule="exact"/>
        <w:ind w:firstLine="642" w:firstLineChars="200"/>
        <w:rPr>
          <w:rFonts w:hint="eastAsia" w:ascii="楷体" w:hAnsi="楷体" w:eastAsia="楷体" w:cs="楷体"/>
          <w:b/>
          <w:color w:val="auto"/>
          <w:sz w:val="32"/>
          <w:szCs w:val="32"/>
          <w:highlight w:val="none"/>
          <w:lang w:val="zh-CN" w:eastAsia="zh-CN"/>
        </w:rPr>
      </w:pPr>
      <w:r>
        <w:rPr>
          <w:rFonts w:hint="eastAsia" w:ascii="楷体" w:hAnsi="楷体" w:eastAsia="楷体" w:cs="楷体"/>
          <w:b/>
          <w:bCs w:val="0"/>
          <w:color w:val="auto"/>
          <w:sz w:val="32"/>
          <w:szCs w:val="32"/>
          <w:highlight w:val="none"/>
          <w:lang w:val="en-US" w:eastAsia="zh-CN"/>
        </w:rPr>
        <w:t>（八）</w:t>
      </w:r>
      <w:r>
        <w:rPr>
          <w:rFonts w:hint="eastAsia" w:ascii="楷体" w:hAnsi="楷体" w:eastAsia="楷体" w:cs="楷体"/>
          <w:b/>
          <w:color w:val="auto"/>
          <w:sz w:val="32"/>
          <w:szCs w:val="32"/>
          <w:highlight w:val="none"/>
          <w:lang w:val="zh-CN" w:eastAsia="zh-CN"/>
        </w:rPr>
        <w:t>苋菜红</w:t>
      </w:r>
    </w:p>
    <w:p>
      <w:pPr>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仿宋"/>
          <w:color w:val="auto"/>
          <w:kern w:val="2"/>
          <w:sz w:val="32"/>
          <w:szCs w:val="32"/>
          <w:highlight w:val="none"/>
          <w:lang w:val="en-US" w:eastAsia="zh-CN" w:bidi="ar-SA"/>
        </w:rPr>
        <w:t>苋菜红是常见合成着色剂，在现代食品业中应用广泛。《食品安全国家标准 食品添加剂使用标准》（GB 2760—2014）中规定，蜜饯凉果中胭脂红、苋菜红的最大使用量为0.05 g/kg 。蜜饯类、凉果类、果脯类、话化类、果糕类的苋菜红项目不合格原因可能是生产厂家未按国家标准规定，在生产加工过程中超范围、超限量使用。合成着色剂没有营养价值，长期过量食用可能对人体健康产生一定影响。</w:t>
      </w:r>
    </w:p>
    <w:p>
      <w:pPr>
        <w:spacing w:line="560" w:lineRule="exact"/>
        <w:ind w:firstLine="642" w:firstLineChars="200"/>
        <w:rPr>
          <w:rFonts w:hint="eastAsia" w:ascii="楷体_GB2312" w:hAnsi="楷体" w:eastAsia="楷体_GB2312" w:cs="仿宋_GB2312"/>
          <w:b/>
          <w:color w:val="auto"/>
          <w:sz w:val="32"/>
          <w:szCs w:val="32"/>
          <w:highlight w:val="none"/>
          <w:lang w:val="zh-CN" w:eastAsia="zh-CN"/>
        </w:rPr>
      </w:pPr>
      <w:r>
        <w:rPr>
          <w:rFonts w:hint="eastAsia" w:ascii="楷体" w:hAnsi="楷体" w:eastAsia="楷体" w:cs="楷体"/>
          <w:b/>
          <w:bCs w:val="0"/>
          <w:color w:val="auto"/>
          <w:sz w:val="32"/>
          <w:szCs w:val="32"/>
          <w:highlight w:val="none"/>
          <w:lang w:val="en-US" w:eastAsia="zh-CN"/>
        </w:rPr>
        <w:t>（九）</w:t>
      </w:r>
      <w:r>
        <w:rPr>
          <w:rFonts w:hint="eastAsia" w:ascii="楷体" w:hAnsi="楷体" w:eastAsia="楷体" w:cs="楷体"/>
          <w:b/>
          <w:color w:val="auto"/>
          <w:sz w:val="32"/>
          <w:szCs w:val="32"/>
          <w:highlight w:val="none"/>
          <w:lang w:val="zh-CN" w:eastAsia="zh-CN"/>
        </w:rPr>
        <w:t>铅</w:t>
      </w:r>
    </w:p>
    <w:p>
      <w:pPr>
        <w:shd w:val="clear" w:color="auto" w:fill="FDFDFD"/>
        <w:rPr>
          <w:rFonts w:ascii="仿宋_GB2312" w:hAnsi="仿宋" w:eastAsia="仿宋_GB2312" w:cs="宋体"/>
          <w:color w:val="auto"/>
          <w:kern w:val="0"/>
          <w:sz w:val="32"/>
          <w:szCs w:val="32"/>
          <w:highlight w:val="none"/>
        </w:rPr>
      </w:pPr>
      <w:r>
        <w:rPr>
          <w:rFonts w:hint="eastAsia" w:ascii="仿宋_GB2312" w:hAnsi="仿宋" w:eastAsia="仿宋_GB2312" w:cs="仿宋"/>
          <w:color w:val="auto"/>
          <w:kern w:val="2"/>
          <w:sz w:val="32"/>
          <w:szCs w:val="32"/>
          <w:highlight w:val="none"/>
          <w:lang w:val="en-US" w:eastAsia="zh-CN" w:bidi="ar-SA"/>
        </w:rPr>
        <w:t>铅是一种对人体有害的金属元素，可通过消化道及呼吸道进入体内，是一种慢性和积累性毒物，进入人体后，少部分会随着身体代谢排出体外，大部分会在体内沉积，危害人体健康，能影响人体神经系统的许多功能，特别是对婴幼儿的智力发育，儿童的学习记忆功能。《食品安全国家标准</w:t>
      </w:r>
      <w:r>
        <w:rPr>
          <w:rFonts w:hint="eastAsia" w:ascii="仿宋_GB2312" w:hAnsi="仿宋" w:cs="仿宋"/>
          <w:color w:val="auto"/>
          <w:kern w:val="2"/>
          <w:sz w:val="32"/>
          <w:szCs w:val="32"/>
          <w:highlight w:val="none"/>
          <w:lang w:val="en-US" w:eastAsia="zh-CN" w:bidi="ar-SA"/>
        </w:rPr>
        <w:t xml:space="preserve"> </w:t>
      </w:r>
      <w:r>
        <w:rPr>
          <w:rFonts w:hint="eastAsia" w:ascii="仿宋_GB2312" w:hAnsi="仿宋" w:eastAsia="仿宋_GB2312" w:cs="仿宋"/>
          <w:color w:val="auto"/>
          <w:kern w:val="2"/>
          <w:sz w:val="32"/>
          <w:szCs w:val="32"/>
          <w:highlight w:val="none"/>
          <w:lang w:val="en-US" w:eastAsia="zh-CN" w:bidi="ar-SA"/>
        </w:rPr>
        <w:t>食品中污染物限量》（GB 2762—2017）中规定，</w:t>
      </w:r>
      <w:r>
        <w:rPr>
          <w:rFonts w:hint="eastAsia" w:ascii="仿宋_GB2312" w:hAnsi="仿宋" w:cs="仿宋"/>
          <w:color w:val="auto"/>
          <w:kern w:val="2"/>
          <w:sz w:val="32"/>
          <w:szCs w:val="32"/>
          <w:highlight w:val="none"/>
          <w:lang w:val="en-US" w:eastAsia="zh-CN" w:bidi="ar-SA"/>
        </w:rPr>
        <w:t>藻类及其制品（螺旋藻及其制品除外）</w:t>
      </w:r>
      <w:r>
        <w:rPr>
          <w:rFonts w:hint="eastAsia" w:ascii="仿宋_GB2312" w:hAnsi="仿宋" w:eastAsia="仿宋_GB2312" w:cs="仿宋"/>
          <w:color w:val="auto"/>
          <w:kern w:val="2"/>
          <w:sz w:val="32"/>
          <w:szCs w:val="32"/>
          <w:highlight w:val="none"/>
          <w:lang w:val="en-US" w:eastAsia="zh-CN" w:bidi="ar-SA"/>
        </w:rPr>
        <w:t>中铅的最大限量值为1.0mg/kg（</w:t>
      </w:r>
      <w:r>
        <w:rPr>
          <w:rFonts w:hint="eastAsia" w:ascii="仿宋_GB2312" w:hAnsi="仿宋" w:cs="仿宋"/>
          <w:color w:val="auto"/>
          <w:kern w:val="2"/>
          <w:sz w:val="32"/>
          <w:szCs w:val="32"/>
          <w:highlight w:val="none"/>
          <w:lang w:val="en-US" w:eastAsia="zh-CN" w:bidi="ar-SA"/>
        </w:rPr>
        <w:t>干重计</w:t>
      </w:r>
      <w:r>
        <w:rPr>
          <w:rFonts w:hint="eastAsia" w:ascii="仿宋_GB2312" w:hAnsi="仿宋" w:eastAsia="仿宋_GB2312" w:cs="仿宋"/>
          <w:color w:val="auto"/>
          <w:kern w:val="2"/>
          <w:sz w:val="32"/>
          <w:szCs w:val="32"/>
          <w:highlight w:val="none"/>
          <w:lang w:val="en-US" w:eastAsia="zh-CN" w:bidi="ar-SA"/>
        </w:rPr>
        <w:t>）。食品中铅超标的原因可能是，企业在生产时未对原料进行严格验收或为降低产品成本而采用劣质原料，由生产原料或辅料带入到产品中；也可能是食品生产加工过程中的加工设备、容器、包装材料中的铅迁移带入。</w:t>
      </w:r>
    </w:p>
    <w:p>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楷体" w:hAnsi="楷体" w:eastAsia="楷体" w:cs="楷体"/>
          <w:color w:val="auto"/>
          <w:highlight w:val="none"/>
          <w:lang w:val="en-US" w:eastAsia="zh-CN"/>
        </w:rPr>
      </w:pPr>
      <w:r>
        <w:rPr>
          <w:rFonts w:hint="eastAsia" w:ascii="楷体" w:hAnsi="楷体" w:eastAsia="楷体" w:cs="楷体"/>
          <w:b/>
          <w:bCs w:val="0"/>
          <w:color w:val="auto"/>
          <w:sz w:val="32"/>
          <w:szCs w:val="32"/>
          <w:highlight w:val="none"/>
          <w:lang w:val="en-US" w:eastAsia="zh-CN"/>
        </w:rPr>
        <w:t>（十）</w:t>
      </w:r>
      <w:r>
        <w:rPr>
          <w:rFonts w:hint="eastAsia" w:ascii="楷体" w:hAnsi="楷体" w:eastAsia="楷体" w:cs="楷体"/>
          <w:color w:val="auto"/>
          <w:highlight w:val="none"/>
          <w:lang w:val="en-US" w:eastAsia="zh-CN"/>
        </w:rPr>
        <w:t>脱氢乙酸及其钠盐(以脱氢乙酸计)</w:t>
      </w:r>
    </w:p>
    <w:p>
      <w:pPr>
        <w:pStyle w:val="11"/>
        <w:shd w:val="clear" w:color="auto" w:fill="FFFFFF"/>
        <w:spacing w:before="0" w:beforeAutospacing="0" w:after="0" w:afterAutospacing="0" w:line="560" w:lineRule="exact"/>
        <w:ind w:firstLine="640" w:firstLineChars="200"/>
        <w:jc w:val="both"/>
        <w:rPr>
          <w:rFonts w:hint="eastAsia" w:ascii="仿宋_GB2312" w:hAnsi="仿宋" w:eastAsia="仿宋_GB2312" w:cs="宋体"/>
          <w:color w:val="auto"/>
          <w:kern w:val="0"/>
          <w:sz w:val="32"/>
          <w:szCs w:val="32"/>
          <w:highlight w:val="none"/>
          <w:lang w:val="zh-CN"/>
        </w:rPr>
      </w:pPr>
      <w:r>
        <w:rPr>
          <w:rFonts w:hint="eastAsia" w:ascii="仿宋_GB2312" w:hAnsi="仿宋" w:eastAsia="仿宋_GB2312"/>
          <w:color w:val="auto"/>
          <w:sz w:val="32"/>
          <w:szCs w:val="32"/>
          <w:highlight w:val="none"/>
        </w:rPr>
        <w:t>脱氢乙酸是一种低毒高效防腐、防霉剂。在酸、碱条件下均有一定的抗菌作用，尤其对霉菌的抑制作用最强。《食品安全国家标准 食品添加剂使用标准》（GB 2760-2014）中规定，</w:t>
      </w:r>
      <w:r>
        <w:rPr>
          <w:rFonts w:hint="eastAsia" w:ascii="仿宋_GB2312" w:hAnsi="仿宋" w:eastAsia="仿宋_GB2312"/>
          <w:color w:val="auto"/>
          <w:sz w:val="32"/>
          <w:szCs w:val="32"/>
          <w:highlight w:val="none"/>
          <w:lang w:val="en-US" w:eastAsia="zh-CN"/>
        </w:rPr>
        <w:t>生湿面制品中不得使用</w:t>
      </w:r>
      <w:r>
        <w:rPr>
          <w:rFonts w:hint="eastAsia" w:ascii="仿宋_GB2312" w:hAnsi="仿宋" w:eastAsia="仿宋_GB2312"/>
          <w:color w:val="auto"/>
          <w:sz w:val="32"/>
          <w:szCs w:val="32"/>
          <w:highlight w:val="none"/>
        </w:rPr>
        <w:t>脱氢乙酸及其钠盐。脱氢乙酸及其钠盐</w:t>
      </w:r>
      <w:r>
        <w:rPr>
          <w:rFonts w:hint="eastAsia" w:ascii="仿宋_GB2312" w:hAnsi="仿宋" w:eastAsia="仿宋_GB2312"/>
          <w:color w:val="auto"/>
          <w:sz w:val="32"/>
          <w:szCs w:val="32"/>
          <w:highlight w:val="none"/>
          <w:lang w:val="zh-CN"/>
        </w:rPr>
        <w:t>项目不合格可能是</w:t>
      </w:r>
      <w:r>
        <w:rPr>
          <w:rFonts w:hint="eastAsia" w:ascii="仿宋_GB2312" w:hAnsi="仿宋" w:eastAsia="仿宋_GB2312"/>
          <w:color w:val="auto"/>
          <w:sz w:val="32"/>
          <w:szCs w:val="32"/>
          <w:highlight w:val="none"/>
        </w:rPr>
        <w:t>生产厂商忽略了原料中的本底，生产过程中再次添加，造成脱氢乙酸使用量超标；</w:t>
      </w:r>
      <w:r>
        <w:rPr>
          <w:rFonts w:hint="eastAsia" w:ascii="仿宋_GB2312" w:hAnsi="仿宋" w:eastAsia="仿宋_GB2312"/>
          <w:color w:val="auto"/>
          <w:sz w:val="32"/>
          <w:szCs w:val="32"/>
          <w:highlight w:val="none"/>
          <w:lang w:val="en-US" w:eastAsia="zh-CN"/>
        </w:rPr>
        <w:t>也可能是</w:t>
      </w:r>
      <w:r>
        <w:rPr>
          <w:rFonts w:hint="eastAsia" w:ascii="仿宋_GB2312" w:hAnsi="仿宋" w:eastAsia="仿宋_GB2312"/>
          <w:color w:val="auto"/>
          <w:sz w:val="32"/>
          <w:szCs w:val="32"/>
          <w:highlight w:val="none"/>
        </w:rPr>
        <w:t>生产者法规意识淡薄，不知道脱氢乙酸使用标准限量，随意添加造成使用超标。</w:t>
      </w:r>
      <w:r>
        <w:rPr>
          <w:rFonts w:hint="eastAsia" w:ascii="仿宋_GB2312" w:hAnsi="仿宋" w:eastAsia="仿宋_GB2312" w:cs="宋体"/>
          <w:color w:val="auto"/>
          <w:kern w:val="0"/>
          <w:sz w:val="32"/>
          <w:szCs w:val="32"/>
          <w:highlight w:val="none"/>
          <w:lang w:val="zh-CN"/>
        </w:rPr>
        <w:t>若长期食用脱氢乙酸含量超标的食品可能会引起生长紊乱和器官的生理变化，过量服用则可能会引起胆结石。</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二、建议</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（一）加强原辅料的把控</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11"/>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加强</w:t>
      </w:r>
      <w:r>
        <w:rPr>
          <w:rFonts w:hint="eastAsia" w:ascii="楷体_GB2312" w:hAnsi="楷体" w:eastAsia="楷体_GB2312"/>
          <w:b/>
          <w:color w:val="auto"/>
          <w:sz w:val="32"/>
          <w:szCs w:val="32"/>
          <w:highlight w:val="none"/>
          <w:lang w:eastAsia="zh-CN"/>
        </w:rPr>
        <w:t>运输、存储环境</w:t>
      </w:r>
      <w:r>
        <w:rPr>
          <w:rFonts w:hint="eastAsia" w:ascii="楷体_GB2312" w:hAnsi="楷体" w:eastAsia="楷体_GB2312"/>
          <w:b/>
          <w:color w:val="auto"/>
          <w:sz w:val="32"/>
          <w:szCs w:val="32"/>
          <w:highlight w:val="none"/>
        </w:rPr>
        <w:t>控制</w:t>
      </w:r>
    </w:p>
    <w:p>
      <w:pPr>
        <w:pStyle w:val="11"/>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食品经营者应保证运输和装卸食品的容器、工具和设备清洁、无害，保证食品的经营环境和储存环境等符合</w:t>
      </w:r>
      <w:bookmarkStart w:id="0" w:name="_GoBack"/>
      <w:bookmarkEnd w:id="0"/>
      <w:r>
        <w:rPr>
          <w:rFonts w:hint="eastAsia" w:ascii="仿宋_GB2312" w:hAnsi="仿宋" w:eastAsia="仿宋_GB2312"/>
          <w:color w:val="auto"/>
          <w:sz w:val="32"/>
          <w:szCs w:val="32"/>
          <w:highlight w:val="none"/>
        </w:rPr>
        <w:t>食品所需的环境，并及时清理变质、超过保质期及其他不符合标准要求的食品；针对特殊贮存要求的食品，食品经营者在运输、贮藏时应当符合食品安全所需要的温度、空间隔离等特殊要求，防止交叉污染。</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highlight w:val="none"/>
        </w:rPr>
      </w:pPr>
      <w:r>
        <w:rPr>
          <w:rFonts w:hint="eastAsia" w:ascii="楷体_GB2312" w:hAnsi="楷体" w:eastAsia="楷体_GB2312"/>
          <w:b/>
          <w:color w:val="auto"/>
          <w:sz w:val="32"/>
          <w:szCs w:val="32"/>
          <w:highlight w:val="none"/>
        </w:rPr>
        <w:t>（</w:t>
      </w:r>
      <w:r>
        <w:rPr>
          <w:rFonts w:hint="eastAsia" w:ascii="楷体_GB2312" w:hAnsi="楷体" w:eastAsia="楷体_GB2312"/>
          <w:b/>
          <w:color w:val="auto"/>
          <w:sz w:val="32"/>
          <w:szCs w:val="32"/>
          <w:highlight w:val="none"/>
          <w:lang w:eastAsia="zh-CN"/>
        </w:rPr>
        <w:t>三</w:t>
      </w:r>
      <w:r>
        <w:rPr>
          <w:rFonts w:hint="eastAsia" w:ascii="楷体_GB2312" w:hAnsi="楷体" w:eastAsia="楷体_GB2312"/>
          <w:b/>
          <w:color w:val="auto"/>
          <w:sz w:val="32"/>
          <w:szCs w:val="32"/>
          <w:highlight w:val="none"/>
        </w:rPr>
        <w:t>）加强食品出厂检验</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highlight w:val="none"/>
        </w:rPr>
      </w:pPr>
      <w:r>
        <w:rPr>
          <w:rFonts w:hint="eastAsia" w:eastAsia="仿宋_GB2312"/>
          <w:color w:val="auto"/>
          <w:sz w:val="32"/>
          <w:szCs w:val="32"/>
          <w:highlight w:val="none"/>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MTM0YmY2ZDU1Zjc3OTJhM2RkNDYzMmZlYjMxNDY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64F5B"/>
    <w:rsid w:val="07486F42"/>
    <w:rsid w:val="07C82C95"/>
    <w:rsid w:val="07E04EFC"/>
    <w:rsid w:val="081209FA"/>
    <w:rsid w:val="081B38E6"/>
    <w:rsid w:val="08AD06EB"/>
    <w:rsid w:val="08F00F9F"/>
    <w:rsid w:val="091C5D20"/>
    <w:rsid w:val="099F35F4"/>
    <w:rsid w:val="0A101FAB"/>
    <w:rsid w:val="0A416AB6"/>
    <w:rsid w:val="0A545255"/>
    <w:rsid w:val="0A7E4D8F"/>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9F51C0"/>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76818BF"/>
    <w:rsid w:val="17C62E78"/>
    <w:rsid w:val="17CA0823"/>
    <w:rsid w:val="17FA5E44"/>
    <w:rsid w:val="181E6360"/>
    <w:rsid w:val="182C56B9"/>
    <w:rsid w:val="18F91C2D"/>
    <w:rsid w:val="18FA3DC4"/>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28376B"/>
    <w:rsid w:val="29292876"/>
    <w:rsid w:val="295771E6"/>
    <w:rsid w:val="29DF09A6"/>
    <w:rsid w:val="2A2E5413"/>
    <w:rsid w:val="2A706ED1"/>
    <w:rsid w:val="2A95365C"/>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0A21CA"/>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824C43"/>
    <w:rsid w:val="398B0B0F"/>
    <w:rsid w:val="39C64A66"/>
    <w:rsid w:val="3AB301FA"/>
    <w:rsid w:val="3B1904CB"/>
    <w:rsid w:val="3B2518DE"/>
    <w:rsid w:val="3B504FA6"/>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AC348D"/>
    <w:rsid w:val="4E0D626A"/>
    <w:rsid w:val="4E183BFE"/>
    <w:rsid w:val="4E403AAD"/>
    <w:rsid w:val="4EAD6BF5"/>
    <w:rsid w:val="4EBC0748"/>
    <w:rsid w:val="4ECB0493"/>
    <w:rsid w:val="4ECC3762"/>
    <w:rsid w:val="4F4940D8"/>
    <w:rsid w:val="4FE23640"/>
    <w:rsid w:val="4FED4605"/>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6FE090D"/>
    <w:rsid w:val="5737759B"/>
    <w:rsid w:val="577D74E9"/>
    <w:rsid w:val="57FE2087"/>
    <w:rsid w:val="586B71C9"/>
    <w:rsid w:val="590154BD"/>
    <w:rsid w:val="59527B6B"/>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CD4C7F"/>
    <w:rsid w:val="5EEC66E6"/>
    <w:rsid w:val="5F093C78"/>
    <w:rsid w:val="5F5A1107"/>
    <w:rsid w:val="5F7E1BB9"/>
    <w:rsid w:val="5F831A12"/>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4EFBC2"/>
    <w:rsid w:val="779A49A3"/>
    <w:rsid w:val="77BF6833"/>
    <w:rsid w:val="77FC16E5"/>
    <w:rsid w:val="78810DF7"/>
    <w:rsid w:val="78BC4EF9"/>
    <w:rsid w:val="78C17088"/>
    <w:rsid w:val="78C82F23"/>
    <w:rsid w:val="78FE0A2F"/>
    <w:rsid w:val="792F0912"/>
    <w:rsid w:val="7A7C11A9"/>
    <w:rsid w:val="7A895DC7"/>
    <w:rsid w:val="7AC47EB7"/>
    <w:rsid w:val="7B4B68E6"/>
    <w:rsid w:val="7B5E04A9"/>
    <w:rsid w:val="7BE41421"/>
    <w:rsid w:val="7C073518"/>
    <w:rsid w:val="7C4079FA"/>
    <w:rsid w:val="7C8F2CF0"/>
    <w:rsid w:val="7CC55E61"/>
    <w:rsid w:val="7F270D2A"/>
    <w:rsid w:val="7F6D60B6"/>
    <w:rsid w:val="7FD46120"/>
    <w:rsid w:val="B1A9B312"/>
    <w:rsid w:val="B5FF17C6"/>
    <w:rsid w:val="FBCB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eastAsia="楷体_GB2312"/>
      <w:b/>
      <w:kern w:val="44"/>
    </w:rPr>
  </w:style>
  <w:style w:type="paragraph" w:styleId="7">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8">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4">
    <w:name w:val="Body Text First Indent"/>
    <w:basedOn w:val="5"/>
    <w:qFormat/>
    <w:uiPriority w:val="0"/>
    <w:pPr>
      <w:ind w:firstLine="420" w:firstLineChars="100"/>
    </w:pPr>
  </w:style>
  <w:style w:type="paragraph" w:styleId="5">
    <w:name w:val="Body Text"/>
    <w:basedOn w:val="1"/>
    <w:qFormat/>
    <w:uiPriority w:val="0"/>
    <w:rPr>
      <w:sz w:val="2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10"/>
    <w:qFormat/>
    <w:uiPriority w:val="0"/>
    <w:rPr>
      <w:rFonts w:ascii="Calibri" w:hAnsi="Calibri" w:eastAsia="仿宋_GB2312"/>
      <w:kern w:val="2"/>
      <w:sz w:val="18"/>
      <w:szCs w:val="18"/>
    </w:rPr>
  </w:style>
  <w:style w:type="character" w:customStyle="1" w:styleId="18">
    <w:name w:val="页脚 字符"/>
    <w:basedOn w:val="13"/>
    <w:link w:val="9"/>
    <w:qFormat/>
    <w:uiPriority w:val="0"/>
    <w:rPr>
      <w:rFonts w:ascii="Calibri" w:hAnsi="Calibri" w:eastAsia="仿宋_GB2312"/>
      <w:kern w:val="2"/>
      <w:sz w:val="18"/>
      <w:szCs w:val="18"/>
    </w:rPr>
  </w:style>
  <w:style w:type="character" w:customStyle="1" w:styleId="19">
    <w:name w:val="标题 2 字符"/>
    <w:basedOn w:val="13"/>
    <w:link w:val="7"/>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8"/>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3610</Words>
  <Characters>3807</Characters>
  <Lines>28</Lines>
  <Paragraphs>8</Paragraphs>
  <TotalTime>24</TotalTime>
  <ScaleCrop>false</ScaleCrop>
  <LinksUpToDate>false</LinksUpToDate>
  <CharactersWithSpaces>3843</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2020-12-19T14:54:00Z</dcterms:created>
  <dc:creator>zhenyongwen</dc:creator>
  <cp:lastModifiedBy>JAY</cp:lastModifiedBy>
  <dcterms:modified xsi:type="dcterms:W3CDTF">2022-11-25T09:35:58Z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E089A067C1FB4435B9B78A6B3905FB1A</vt:lpwstr>
  </property>
  <property fmtid="{D5CDD505-2E9C-101B-9397-08002B2CF9AE}" pid="4" name="commondata">
    <vt:lpwstr>eyJoZGlkIjoiMzFkNWY3MDE3M2RiODhiZTRhOWM0N2VmNTEzZWI5MGUifQ==</vt:lpwstr>
  </property>
</Properties>
</file>