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pageBreakBefore w:val="0"/>
        <w:widowControl w:val="0"/>
        <w:kinsoku/>
        <w:wordWrap/>
        <w:overflowPunct/>
        <w:topLinePunct w:val="0"/>
        <w:autoSpaceDE/>
        <w:autoSpaceDN/>
        <w:bidi w:val="0"/>
        <w:spacing w:line="560" w:lineRule="exact"/>
        <w:textAlignment w:val="auto"/>
        <w:rPr>
          <w:rFonts w:ascii="仿宋_GB2312" w:eastAsia="仿宋_GB2312"/>
          <w:sz w:val="21"/>
          <w:szCs w:val="21"/>
        </w:rPr>
      </w:pPr>
      <w:bookmarkStart w:id="0" w:name="_Hlk82532685"/>
      <w:bookmarkEnd w:id="0"/>
    </w:p>
    <w:p>
      <w:pPr>
        <w:pageBreakBefore w:val="0"/>
        <w:widowControl w:val="0"/>
        <w:kinsoku/>
        <w:wordWrap/>
        <w:overflowPunct/>
        <w:topLinePunct w:val="0"/>
        <w:autoSpaceDE/>
        <w:autoSpaceDN/>
        <w:bidi w:val="0"/>
        <w:spacing w:line="560" w:lineRule="exact"/>
        <w:jc w:val="left"/>
        <w:textAlignment w:val="auto"/>
        <w:rPr>
          <w:rFonts w:hint="default" w:ascii="黑体" w:hAnsi="黑体" w:eastAsia="黑体" w:cs="黑体"/>
          <w:sz w:val="32"/>
          <w:szCs w:val="32"/>
        </w:rPr>
      </w:pPr>
      <w:r>
        <w:rPr>
          <w:rFonts w:hint="eastAsia" w:ascii="黑体" w:hAnsi="黑体" w:eastAsia="黑体" w:cs="黑体"/>
          <w:sz w:val="32"/>
          <w:szCs w:val="32"/>
        </w:rPr>
        <w:t>附件</w:t>
      </w:r>
      <w:r>
        <w:rPr>
          <w:rFonts w:hint="default" w:ascii="黑体" w:hAnsi="黑体" w:eastAsia="黑体" w:cs="黑体"/>
          <w:sz w:val="32"/>
          <w:szCs w:val="32"/>
        </w:rPr>
        <w:t>2</w:t>
      </w:r>
      <w:bookmarkStart w:id="52" w:name="_GoBack"/>
      <w:bookmarkEnd w:id="52"/>
    </w:p>
    <w:p>
      <w:pPr>
        <w:pStyle w:val="2"/>
        <w:pageBreakBefore w:val="0"/>
        <w:widowControl w:val="0"/>
        <w:kinsoku/>
        <w:wordWrap/>
        <w:overflowPunct/>
        <w:topLinePunct w:val="0"/>
        <w:autoSpaceDE/>
        <w:autoSpaceDN/>
        <w:bidi w:val="0"/>
        <w:spacing w:before="0" w:after="0" w:line="560" w:lineRule="exact"/>
        <w:textAlignment w:val="auto"/>
        <w:rPr>
          <w:rFonts w:hint="eastAsia"/>
        </w:rPr>
      </w:pP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深圳市</w:t>
      </w:r>
      <w:r>
        <w:rPr>
          <w:rFonts w:hint="eastAsia" w:ascii="方正小标宋简体" w:hAnsi="方正小标宋简体" w:eastAsia="方正小标宋简体" w:cs="方正小标宋简体"/>
          <w:sz w:val="44"/>
          <w:szCs w:val="44"/>
          <w:lang w:val="en-US" w:eastAsia="zh-CN"/>
        </w:rPr>
        <w:t>大鹏新</w:t>
      </w:r>
      <w:r>
        <w:rPr>
          <w:rFonts w:hint="eastAsia" w:ascii="方正小标宋简体" w:hAnsi="方正小标宋简体" w:eastAsia="方正小标宋简体" w:cs="方正小标宋简体"/>
          <w:sz w:val="44"/>
          <w:szCs w:val="44"/>
        </w:rPr>
        <w:t>区</w:t>
      </w:r>
      <w:r>
        <w:rPr>
          <w:rFonts w:hint="eastAsia" w:ascii="方正小标宋简体" w:hAnsi="方正小标宋简体" w:eastAsia="方正小标宋简体" w:cs="方正小标宋简体"/>
          <w:sz w:val="44"/>
          <w:szCs w:val="44"/>
          <w:lang w:val="en-US" w:eastAsia="zh-CN"/>
        </w:rPr>
        <w:t>医疗健康集团</w:t>
      </w: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2021</w:t>
      </w:r>
      <w:r>
        <w:rPr>
          <w:rFonts w:hint="eastAsia" w:ascii="方正小标宋简体" w:hAnsi="方正小标宋简体" w:eastAsia="方正小标宋简体" w:cs="方正小标宋简体"/>
          <w:sz w:val="44"/>
          <w:szCs w:val="44"/>
        </w:rPr>
        <w:t>年度专项债券</w:t>
      </w: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sz w:val="44"/>
          <w:szCs w:val="44"/>
        </w:rPr>
        <w:t>绩效评价报告</w:t>
      </w:r>
    </w:p>
    <w:p>
      <w:pPr>
        <w:pStyle w:val="2"/>
        <w:pageBreakBefore w:val="0"/>
        <w:widowControl w:val="0"/>
        <w:kinsoku/>
        <w:wordWrap/>
        <w:overflowPunct/>
        <w:topLinePunct w:val="0"/>
        <w:autoSpaceDE/>
        <w:autoSpaceDN/>
        <w:bidi w:val="0"/>
        <w:spacing w:before="0" w:after="0" w:line="560" w:lineRule="exact"/>
        <w:jc w:val="center"/>
        <w:textAlignment w:val="auto"/>
        <w:rPr>
          <w:rFonts w:hint="eastAsia" w:ascii="楷体_GB2312" w:hAnsi="楷体_GB2312" w:eastAsia="楷体_GB2312" w:cs="楷体_GB2312"/>
        </w:rPr>
      </w:pPr>
      <w:r>
        <w:rPr>
          <w:rFonts w:hint="eastAsia" w:ascii="楷体_GB2312" w:hAnsi="楷体_GB2312" w:eastAsia="楷体_GB2312" w:cs="楷体_GB2312"/>
        </w:rPr>
        <w:t>（简版）</w:t>
      </w:r>
    </w:p>
    <w:p>
      <w:pPr>
        <w:pStyle w:val="3"/>
        <w:pageBreakBefore w:val="0"/>
        <w:widowControl w:val="0"/>
        <w:kinsoku/>
        <w:wordWrap/>
        <w:overflowPunct/>
        <w:topLinePunct w:val="0"/>
        <w:autoSpaceDE/>
        <w:autoSpaceDN/>
        <w:bidi w:val="0"/>
        <w:spacing w:line="560" w:lineRule="exact"/>
        <w:ind w:firstLine="640"/>
        <w:textAlignment w:val="auto"/>
        <w:rPr>
          <w:rFonts w:ascii="仿宋_GB2312"/>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rPr>
      </w:pPr>
      <w:r>
        <w:rPr>
          <w:rFonts w:hint="default" w:ascii="仿宋_GB2312" w:hAnsi="仿宋_GB2312" w:cs="仿宋_GB2312"/>
        </w:rPr>
        <w:t>2022年5月-2022年9月期间，</w:t>
      </w:r>
      <w:r>
        <w:rPr>
          <w:rFonts w:hint="eastAsia" w:ascii="仿宋_GB2312" w:hAnsi="仿宋_GB2312" w:eastAsia="仿宋_GB2312" w:cs="仿宋_GB2312"/>
        </w:rPr>
        <w:t>深圳市</w:t>
      </w:r>
      <w:r>
        <w:rPr>
          <w:rFonts w:hint="eastAsia" w:ascii="仿宋_GB2312" w:hAnsi="仿宋_GB2312" w:eastAsia="仿宋_GB2312" w:cs="仿宋_GB2312"/>
          <w:shd w:val="clear" w:color="auto" w:fill="FFFFFF"/>
        </w:rPr>
        <w:t>大鹏新区</w:t>
      </w:r>
      <w:r>
        <w:rPr>
          <w:rFonts w:hint="eastAsia" w:ascii="仿宋_GB2312" w:hAnsi="仿宋_GB2312" w:eastAsia="仿宋_GB2312" w:cs="仿宋_GB2312"/>
          <w:szCs w:val="32"/>
        </w:rPr>
        <w:t>发展和财政局</w:t>
      </w:r>
      <w:r>
        <w:rPr>
          <w:rFonts w:hint="default" w:ascii="仿宋_GB2312" w:hAnsi="仿宋_GB2312" w:cs="仿宋_GB2312"/>
          <w:shd w:val="clear" w:color="auto" w:fill="FFFFFF"/>
        </w:rPr>
        <w:t>组织</w:t>
      </w:r>
      <w:r>
        <w:rPr>
          <w:rFonts w:hint="eastAsia" w:ascii="仿宋_GB2312" w:hAnsi="仿宋_GB2312" w:eastAsia="仿宋_GB2312" w:cs="仿宋_GB2312"/>
          <w:shd w:val="clear" w:color="auto" w:fill="FFFFFF"/>
        </w:rPr>
        <w:t>评价组</w:t>
      </w:r>
      <w:r>
        <w:rPr>
          <w:rFonts w:hint="default" w:ascii="仿宋_GB2312" w:hAnsi="仿宋_GB2312" w:cs="仿宋_GB2312"/>
        </w:rPr>
        <w:t>对</w:t>
      </w:r>
      <w:r>
        <w:rPr>
          <w:rFonts w:hint="eastAsia" w:ascii="仿宋_GB2312" w:hAnsi="仿宋_GB2312" w:eastAsia="仿宋_GB2312" w:cs="仿宋_GB2312"/>
          <w:lang w:val="en-US"/>
        </w:rPr>
        <w:t>深圳市</w:t>
      </w:r>
      <w:r>
        <w:rPr>
          <w:rFonts w:hint="eastAsia" w:ascii="仿宋_GB2312" w:hAnsi="仿宋_GB2312" w:eastAsia="仿宋_GB2312" w:cs="仿宋_GB2312"/>
        </w:rPr>
        <w:t>大鹏新区医疗健康集团（以下简称</w:t>
      </w:r>
      <w:r>
        <w:rPr>
          <w:rFonts w:hint="default" w:ascii="仿宋_GB2312" w:hAnsi="仿宋_GB2312" w:cs="仿宋_GB2312"/>
        </w:rPr>
        <w:t>“</w:t>
      </w:r>
      <w:r>
        <w:rPr>
          <w:rFonts w:hint="eastAsia" w:ascii="仿宋_GB2312" w:hAnsi="仿宋_GB2312" w:eastAsia="仿宋_GB2312" w:cs="仿宋_GB2312"/>
        </w:rPr>
        <w:t>医疗健康集团</w:t>
      </w:r>
      <w:r>
        <w:rPr>
          <w:rFonts w:hint="default" w:ascii="仿宋_GB2312" w:hAnsi="仿宋_GB2312" w:cs="仿宋_GB2312"/>
        </w:rPr>
        <w:t>”</w:t>
      </w:r>
      <w:r>
        <w:rPr>
          <w:rFonts w:hint="eastAsia" w:ascii="仿宋_GB2312" w:hAnsi="仿宋_GB2312" w:eastAsia="仿宋_GB2312" w:cs="仿宋_GB2312"/>
        </w:rPr>
        <w:t>）2021年度</w:t>
      </w:r>
      <w:r>
        <w:rPr>
          <w:rFonts w:hint="eastAsia" w:ascii="仿宋_GB2312" w:hAnsi="仿宋_GB2312" w:eastAsia="仿宋_GB2312" w:cs="仿宋_GB2312"/>
          <w:lang w:val="en-US"/>
        </w:rPr>
        <w:t>专项债</w:t>
      </w:r>
      <w:r>
        <w:rPr>
          <w:rFonts w:hint="default" w:ascii="仿宋_GB2312" w:hAnsi="仿宋_GB2312" w:cs="仿宋_GB2312"/>
        </w:rPr>
        <w:t>券</w:t>
      </w:r>
      <w:r>
        <w:rPr>
          <w:rFonts w:hint="eastAsia" w:ascii="仿宋_GB2312" w:hAnsi="仿宋_GB2312" w:eastAsia="仿宋_GB2312" w:cs="仿宋_GB2312"/>
          <w:lang w:val="en-US"/>
        </w:rPr>
        <w:t>项目</w:t>
      </w:r>
      <w:r>
        <w:rPr>
          <w:rFonts w:hint="eastAsia" w:ascii="仿宋_GB2312" w:hAnsi="仿宋_GB2312" w:eastAsia="仿宋_GB2312" w:cs="仿宋_GB2312"/>
        </w:rPr>
        <w:t>支出效果</w:t>
      </w:r>
      <w:r>
        <w:rPr>
          <w:rFonts w:hint="default" w:ascii="仿宋_GB2312" w:hAnsi="仿宋_GB2312" w:cs="仿宋_GB2312"/>
        </w:rPr>
        <w:t>开展绩效评价</w:t>
      </w:r>
      <w:r>
        <w:rPr>
          <w:rFonts w:hint="eastAsia" w:ascii="仿宋_GB2312" w:hAnsi="仿宋_GB2312" w:eastAsia="仿宋_GB2312" w:cs="仿宋_GB2312"/>
        </w:rPr>
        <w:t>，</w:t>
      </w:r>
      <w:r>
        <w:rPr>
          <w:rFonts w:hint="default" w:ascii="仿宋_GB2312" w:hAnsi="仿宋_GB2312" w:cs="仿宋_GB2312"/>
          <w:szCs w:val="24"/>
        </w:rPr>
        <w:t>绩效评价结果为76.54分，绩效评级为“中”。具体情况如下：</w:t>
      </w:r>
    </w:p>
    <w:p>
      <w:pPr>
        <w:pStyle w:val="2"/>
        <w:pageBreakBefore w:val="0"/>
        <w:widowControl w:val="0"/>
        <w:kinsoku/>
        <w:wordWrap/>
        <w:overflowPunct/>
        <w:topLinePunct w:val="0"/>
        <w:autoSpaceDE/>
        <w:autoSpaceDN/>
        <w:bidi w:val="0"/>
        <w:spacing w:before="0" w:after="0" w:line="560" w:lineRule="exact"/>
        <w:ind w:firstLine="640"/>
        <w:textAlignment w:val="auto"/>
      </w:pPr>
      <w:r>
        <w:rPr>
          <w:rFonts w:hint="eastAsia"/>
        </w:rPr>
        <w:t>一、基本情况</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rPr>
      </w:pPr>
      <w:r>
        <w:rPr>
          <w:rFonts w:hint="eastAsia" w:ascii="仿宋_GB2312" w:hAnsi="仿宋_GB2312" w:eastAsia="仿宋_GB2312" w:cs="仿宋_GB2312"/>
        </w:rPr>
        <w:t>2021年，为切实提高大鹏新区公共医疗卫生服务水平，改善大鹏新区公立医院的医疗设备水平，新区发展和财政局通过发行专项债</w:t>
      </w:r>
      <w:r>
        <w:rPr>
          <w:rFonts w:hint="default" w:ascii="仿宋_GB2312" w:hAnsi="仿宋_GB2312" w:cs="仿宋_GB2312"/>
        </w:rPr>
        <w:t>券</w:t>
      </w:r>
      <w:r>
        <w:rPr>
          <w:rFonts w:hint="eastAsia" w:ascii="仿宋_GB2312" w:hAnsi="仿宋_GB2312" w:eastAsia="仿宋_GB2312" w:cs="仿宋_GB2312"/>
        </w:rPr>
        <w:t>为医疗健康集团的医疗设备购置项目、医疗健康集团信息</w:t>
      </w:r>
      <w:r>
        <w:rPr>
          <w:rFonts w:hint="eastAsia" w:ascii="仿宋_GB2312" w:hAnsi="仿宋_GB2312" w:eastAsia="仿宋_GB2312" w:cs="仿宋_GB2312"/>
          <w:lang w:val="en-US"/>
        </w:rPr>
        <w:t>化建设（二期）</w:t>
      </w:r>
      <w:r>
        <w:rPr>
          <w:rFonts w:hint="eastAsia" w:ascii="仿宋_GB2312" w:hAnsi="仿宋_GB2312" w:eastAsia="仿宋_GB2312" w:cs="仿宋_GB2312"/>
        </w:rPr>
        <w:t>项目（</w:t>
      </w:r>
      <w:r>
        <w:rPr>
          <w:rFonts w:hint="eastAsia" w:ascii="仿宋_GB2312" w:hAnsi="仿宋_GB2312" w:eastAsia="仿宋_GB2312" w:cs="仿宋_GB2312"/>
          <w:lang w:val="en-US"/>
        </w:rPr>
        <w:t>以下简称</w:t>
      </w:r>
      <w:r>
        <w:rPr>
          <w:rFonts w:hint="default" w:ascii="仿宋_GB2312" w:hAnsi="仿宋_GB2312" w:cs="仿宋_GB2312"/>
        </w:rPr>
        <w:t>“</w:t>
      </w:r>
      <w:r>
        <w:rPr>
          <w:rFonts w:hint="eastAsia" w:ascii="仿宋_GB2312" w:hAnsi="仿宋_GB2312" w:eastAsia="仿宋_GB2312" w:cs="仿宋_GB2312"/>
          <w:lang w:val="en-US"/>
        </w:rPr>
        <w:t>2021年度医疗卫生专项债</w:t>
      </w:r>
      <w:r>
        <w:rPr>
          <w:rFonts w:hint="default" w:ascii="仿宋_GB2312" w:hAnsi="仿宋_GB2312" w:cs="仿宋_GB2312"/>
        </w:rPr>
        <w:t>券</w:t>
      </w:r>
      <w:r>
        <w:rPr>
          <w:rFonts w:hint="eastAsia" w:ascii="仿宋_GB2312" w:hAnsi="仿宋_GB2312" w:eastAsia="仿宋_GB2312" w:cs="仿宋_GB2312"/>
          <w:lang w:val="en-US"/>
        </w:rPr>
        <w:t>项目</w:t>
      </w:r>
      <w:r>
        <w:rPr>
          <w:rFonts w:hint="default" w:ascii="仿宋_GB2312" w:hAnsi="仿宋_GB2312" w:cs="仿宋_GB2312"/>
        </w:rPr>
        <w:t>”</w:t>
      </w:r>
      <w:r>
        <w:rPr>
          <w:rFonts w:hint="eastAsia" w:ascii="仿宋_GB2312" w:hAnsi="仿宋_GB2312" w:eastAsia="仿宋_GB2312" w:cs="仿宋_GB2312"/>
          <w:lang w:val="en-US"/>
        </w:rPr>
        <w:t>）</w:t>
      </w:r>
      <w:r>
        <w:rPr>
          <w:rFonts w:hint="eastAsia" w:ascii="仿宋_GB2312" w:hAnsi="仿宋_GB2312" w:eastAsia="仿宋_GB2312" w:cs="仿宋_GB2312"/>
        </w:rPr>
        <w:t>筹集部分建设资金。</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pPr>
      <w:r>
        <w:rPr>
          <w:rFonts w:hint="eastAsia" w:ascii="仿宋_GB2312" w:hAnsi="仿宋_GB2312" w:eastAsia="仿宋_GB2312" w:cs="仿宋_GB2312"/>
          <w:lang w:val="en-US"/>
        </w:rPr>
        <w:t>2021年度医疗卫生</w:t>
      </w:r>
      <w:r>
        <w:rPr>
          <w:rFonts w:hint="eastAsia" w:ascii="仿宋_GB2312" w:hAnsi="仿宋_GB2312" w:eastAsia="仿宋_GB2312" w:cs="仿宋_GB2312"/>
          <w:lang w:val="en-US" w:eastAsia="zh-CN"/>
        </w:rPr>
        <w:t>专项债</w:t>
      </w:r>
      <w:r>
        <w:rPr>
          <w:rFonts w:hint="eastAsia" w:ascii="仿宋_GB2312" w:hAnsi="仿宋_GB2312" w:eastAsia="仿宋_GB2312" w:cs="仿宋_GB2312"/>
          <w:lang w:val="en-US"/>
        </w:rPr>
        <w:t>项目总投资估算</w:t>
      </w:r>
      <w:r>
        <w:rPr>
          <w:rFonts w:hint="eastAsia" w:ascii="仿宋_GB2312" w:hAnsi="仿宋_GB2312" w:eastAsia="仿宋_GB2312" w:cs="仿宋_GB2312"/>
        </w:rPr>
        <w:t>12,933.54万元，</w:t>
      </w:r>
      <w:r>
        <w:rPr>
          <w:rFonts w:hint="eastAsia" w:ascii="仿宋_GB2312" w:hAnsi="仿宋_GB2312" w:eastAsia="仿宋_GB2312" w:cs="仿宋_GB2312"/>
          <w:lang w:val="en-US"/>
        </w:rPr>
        <w:t>通过发行专项债</w:t>
      </w:r>
      <w:r>
        <w:rPr>
          <w:rFonts w:hint="default" w:ascii="仿宋_GB2312" w:hAnsi="仿宋_GB2312" w:cs="仿宋_GB2312"/>
        </w:rPr>
        <w:t>券</w:t>
      </w:r>
      <w:r>
        <w:rPr>
          <w:rFonts w:hint="eastAsia" w:ascii="仿宋_GB2312" w:hAnsi="仿宋_GB2312" w:eastAsia="仿宋_GB2312" w:cs="仿宋_GB2312"/>
          <w:lang w:val="en-US"/>
        </w:rPr>
        <w:t>方式</w:t>
      </w:r>
      <w:r>
        <w:rPr>
          <w:rFonts w:hint="eastAsia" w:ascii="仿宋_GB2312" w:hAnsi="仿宋_GB2312" w:eastAsia="仿宋_GB2312" w:cs="仿宋_GB2312"/>
        </w:rPr>
        <w:t>共筹集</w:t>
      </w:r>
      <w:r>
        <w:rPr>
          <w:rFonts w:hint="eastAsia" w:ascii="仿宋_GB2312" w:hAnsi="仿宋_GB2312" w:eastAsia="仿宋_GB2312" w:cs="仿宋_GB2312"/>
          <w:lang w:val="en-US"/>
        </w:rPr>
        <w:t>资金</w:t>
      </w:r>
      <w:r>
        <w:rPr>
          <w:rFonts w:hint="eastAsia" w:ascii="仿宋_GB2312" w:hAnsi="仿宋_GB2312" w:eastAsia="仿宋_GB2312" w:cs="仿宋_GB2312"/>
        </w:rPr>
        <w:t>9,350</w:t>
      </w:r>
      <w:r>
        <w:rPr>
          <w:rFonts w:hint="eastAsia" w:ascii="仿宋_GB2312" w:hAnsi="仿宋_GB2312" w:eastAsia="仿宋_GB2312" w:cs="仿宋_GB2312"/>
          <w:lang w:val="en-US"/>
        </w:rPr>
        <w:t>.00</w:t>
      </w:r>
      <w:r>
        <w:rPr>
          <w:rFonts w:hint="eastAsia" w:ascii="仿宋_GB2312" w:hAnsi="仿宋_GB2312" w:eastAsia="仿宋_GB2312" w:cs="仿宋_GB2312"/>
        </w:rPr>
        <w:t>万元，</w:t>
      </w:r>
      <w:r>
        <w:rPr>
          <w:rFonts w:hint="eastAsia" w:ascii="仿宋_GB2312" w:hAnsi="仿宋_GB2312" w:eastAsia="仿宋_GB2312" w:cs="仿宋_GB2312"/>
          <w:lang w:val="en-US"/>
        </w:rPr>
        <w:t>项目筹资不足部分由医院运营收入产生的资金进行补充</w:t>
      </w:r>
      <w:r>
        <w:rPr>
          <w:rFonts w:hint="eastAsia" w:ascii="仿宋_GB2312" w:hAnsi="仿宋_GB2312" w:eastAsia="仿宋_GB2312" w:cs="仿宋_GB2312"/>
        </w:rPr>
        <w:t>。2021年度</w:t>
      </w:r>
      <w:r>
        <w:rPr>
          <w:rFonts w:hint="eastAsia" w:ascii="仿宋_GB2312" w:hAnsi="仿宋_GB2312" w:eastAsia="仿宋_GB2312" w:cs="仿宋_GB2312"/>
          <w:lang w:val="en-US"/>
        </w:rPr>
        <w:t>医疗</w:t>
      </w:r>
      <w:r>
        <w:rPr>
          <w:rFonts w:hint="eastAsia" w:ascii="仿宋_GB2312" w:hAnsi="仿宋_GB2312" w:eastAsia="仿宋_GB2312" w:cs="仿宋_GB2312"/>
          <w:lang w:val="en-US" w:eastAsia="zh-CN"/>
        </w:rPr>
        <w:t>卫生</w:t>
      </w:r>
      <w:r>
        <w:rPr>
          <w:rFonts w:hint="eastAsia" w:ascii="仿宋_GB2312" w:hAnsi="仿宋_GB2312" w:eastAsia="仿宋_GB2312" w:cs="仿宋_GB2312"/>
          <w:lang w:val="en-US"/>
        </w:rPr>
        <w:t>专项债</w:t>
      </w:r>
      <w:r>
        <w:rPr>
          <w:rFonts w:hint="default" w:ascii="仿宋_GB2312" w:hAnsi="仿宋_GB2312" w:cs="仿宋_GB2312"/>
        </w:rPr>
        <w:t>券</w:t>
      </w:r>
      <w:r>
        <w:rPr>
          <w:rFonts w:hint="eastAsia" w:ascii="仿宋_GB2312" w:hAnsi="仿宋_GB2312" w:eastAsia="仿宋_GB2312" w:cs="仿宋_GB2312"/>
        </w:rPr>
        <w:t>项目预算安排9,750</w:t>
      </w:r>
      <w:r>
        <w:rPr>
          <w:rFonts w:hint="eastAsia" w:ascii="仿宋_GB2312" w:hAnsi="仿宋_GB2312" w:eastAsia="仿宋_GB2312" w:cs="仿宋_GB2312"/>
          <w:lang w:val="en-US"/>
        </w:rPr>
        <w:t>.00</w:t>
      </w:r>
      <w:r>
        <w:rPr>
          <w:rFonts w:hint="eastAsia" w:ascii="仿宋_GB2312" w:hAnsi="仿宋_GB2312" w:eastAsia="仿宋_GB2312" w:cs="仿宋_GB2312"/>
        </w:rPr>
        <w:t>万元，其中一般公共预算资金400</w:t>
      </w:r>
      <w:r>
        <w:rPr>
          <w:rFonts w:hint="eastAsia" w:ascii="仿宋_GB2312" w:hAnsi="仿宋_GB2312" w:eastAsia="仿宋_GB2312" w:cs="仿宋_GB2312"/>
          <w:lang w:val="en-US"/>
        </w:rPr>
        <w:t>.00</w:t>
      </w:r>
      <w:r>
        <w:rPr>
          <w:rFonts w:hint="eastAsia" w:ascii="仿宋_GB2312" w:hAnsi="仿宋_GB2312" w:eastAsia="仿宋_GB2312" w:cs="仿宋_GB2312"/>
        </w:rPr>
        <w:t>万元，专项债券资金9,350</w:t>
      </w:r>
      <w:r>
        <w:rPr>
          <w:rFonts w:hint="eastAsia" w:ascii="仿宋_GB2312" w:hAnsi="仿宋_GB2312" w:eastAsia="仿宋_GB2312" w:cs="仿宋_GB2312"/>
          <w:lang w:val="en-US"/>
        </w:rPr>
        <w:t>.00</w:t>
      </w:r>
      <w:r>
        <w:rPr>
          <w:rFonts w:hint="eastAsia" w:ascii="仿宋_GB2312" w:hAnsi="仿宋_GB2312" w:eastAsia="仿宋_GB2312" w:cs="仿宋_GB2312"/>
        </w:rPr>
        <w:t>万元。截至2021年底，项目总预算执行数9,737.81万元，总</w:t>
      </w:r>
      <w:r>
        <w:rPr>
          <w:rFonts w:hint="eastAsia" w:ascii="仿宋_GB2312" w:hAnsi="仿宋_GB2312" w:eastAsia="仿宋_GB2312" w:cs="仿宋_GB2312"/>
          <w:lang w:val="en-US"/>
        </w:rPr>
        <w:t>体预算</w:t>
      </w:r>
      <w:r>
        <w:rPr>
          <w:rFonts w:hint="eastAsia" w:ascii="仿宋_GB2312" w:hAnsi="仿宋_GB2312" w:eastAsia="仿宋_GB2312" w:cs="仿宋_GB2312"/>
        </w:rPr>
        <w:t>执行率为99.88%。</w:t>
      </w:r>
    </w:p>
    <w:p>
      <w:pPr>
        <w:pStyle w:val="2"/>
        <w:pageBreakBefore w:val="0"/>
        <w:widowControl w:val="0"/>
        <w:kinsoku/>
        <w:wordWrap/>
        <w:overflowPunct/>
        <w:topLinePunct w:val="0"/>
        <w:autoSpaceDE/>
        <w:autoSpaceDN/>
        <w:bidi w:val="0"/>
        <w:spacing w:before="0" w:after="0" w:line="560" w:lineRule="exact"/>
        <w:ind w:firstLine="640"/>
        <w:textAlignment w:val="auto"/>
        <w:rPr>
          <w:lang w:val="en-US"/>
        </w:rPr>
      </w:pPr>
      <w:bookmarkStart w:id="1" w:name="_Toc84348099"/>
      <w:bookmarkStart w:id="2" w:name="_Toc87476057"/>
      <w:bookmarkStart w:id="3" w:name="_Toc82158396"/>
      <w:bookmarkStart w:id="4" w:name="_Toc84348103"/>
      <w:bookmarkStart w:id="5" w:name="_Toc81498006"/>
      <w:bookmarkStart w:id="6" w:name="_Toc82158399"/>
      <w:r>
        <w:rPr>
          <w:rFonts w:hint="default"/>
        </w:rPr>
        <w:t>二</w:t>
      </w:r>
      <w:r>
        <w:rPr>
          <w:rFonts w:hint="eastAsia"/>
          <w:lang w:val="en-US"/>
        </w:rPr>
        <w:t>、</w:t>
      </w:r>
      <w:bookmarkEnd w:id="1"/>
      <w:bookmarkEnd w:id="2"/>
      <w:bookmarkEnd w:id="3"/>
      <w:r>
        <w:rPr>
          <w:rFonts w:hint="eastAsia"/>
          <w:lang w:val="en-US"/>
        </w:rPr>
        <w:t>主要经验及做法</w:t>
      </w:r>
    </w:p>
    <w:p>
      <w:pPr>
        <w:pStyle w:val="4"/>
        <w:pageBreakBefore w:val="0"/>
        <w:widowControl w:val="0"/>
        <w:kinsoku/>
        <w:wordWrap/>
        <w:overflowPunct/>
        <w:topLinePunct w:val="0"/>
        <w:autoSpaceDE/>
        <w:autoSpaceDN/>
        <w:bidi w:val="0"/>
        <w:spacing w:before="0" w:after="0" w:line="560" w:lineRule="exact"/>
        <w:ind w:firstLine="643" w:firstLineChars="0"/>
        <w:textAlignment w:val="auto"/>
        <w:rPr>
          <w:rFonts w:hint="default"/>
          <w:b w:val="0"/>
          <w:bCs w:val="0"/>
        </w:rPr>
      </w:pPr>
      <w:bookmarkStart w:id="7" w:name="_Toc84348100"/>
      <w:bookmarkStart w:id="8" w:name="_Toc82591978"/>
      <w:bookmarkStart w:id="9" w:name="_Toc87476058"/>
      <w:bookmarkStart w:id="10" w:name="_Toc82591984"/>
      <w:bookmarkStart w:id="11" w:name="_Toc82591980"/>
      <w:bookmarkStart w:id="12" w:name="_Toc81498005"/>
      <w:bookmarkStart w:id="13" w:name="_Toc82158397"/>
      <w:r>
        <w:rPr>
          <w:rFonts w:hint="eastAsia"/>
          <w:b w:val="0"/>
          <w:bCs w:val="0"/>
          <w:lang w:val="en-US"/>
        </w:rPr>
        <w:t>（一）</w:t>
      </w:r>
      <w:bookmarkEnd w:id="7"/>
      <w:bookmarkEnd w:id="8"/>
      <w:bookmarkEnd w:id="9"/>
      <w:r>
        <w:rPr>
          <w:rFonts w:hint="eastAsia" w:ascii="楷体_GB2312" w:hAnsi="楷体_GB2312" w:cs="楷体_GB2312"/>
          <w:b w:val="0"/>
          <w:bCs w:val="0"/>
        </w:rPr>
        <w:t>债券管理高效，拓宽医疗卫生设备领域资金保障渠道</w:t>
      </w:r>
      <w:r>
        <w:rPr>
          <w:rFonts w:hint="default" w:ascii="楷体_GB2312" w:hAnsi="楷体_GB2312" w:cs="楷体_GB2312"/>
          <w:b w:val="0"/>
          <w:bCs w:val="0"/>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lang w:val="en-US"/>
        </w:rPr>
      </w:pPr>
      <w:r>
        <w:rPr>
          <w:rFonts w:hint="eastAsia" w:ascii="仿宋_GB2312"/>
          <w:b w:val="0"/>
          <w:bCs w:val="0"/>
          <w:lang w:val="en-US"/>
        </w:rPr>
        <w:t>一方面，</w:t>
      </w:r>
      <w:r>
        <w:rPr>
          <w:rFonts w:ascii="仿宋_GB2312" w:hAnsi="仿宋_GB2312" w:cs="仿宋_GB2312"/>
          <w:b w:val="0"/>
          <w:bCs w:val="0"/>
        </w:rPr>
        <w:t>债券资金规模大，发行高效且利率低</w:t>
      </w:r>
      <w:r>
        <w:rPr>
          <w:rFonts w:hint="eastAsia" w:ascii="仿宋_GB2312" w:hAnsi="仿宋_GB2312" w:cs="仿宋_GB2312"/>
          <w:b w:val="0"/>
          <w:bCs w:val="0"/>
          <w:lang w:eastAsia="zh-CN"/>
        </w:rPr>
        <w:t>。</w:t>
      </w:r>
      <w:r>
        <w:rPr>
          <w:rFonts w:hint="eastAsia"/>
          <w:b/>
          <w:bCs/>
          <w:highlight w:val="none"/>
          <w:lang w:val="en-US" w:eastAsia="zh-CN"/>
        </w:rPr>
        <w:t>一是</w:t>
      </w:r>
      <w:r>
        <w:rPr>
          <w:rFonts w:hint="eastAsia"/>
          <w:highlight w:val="none"/>
          <w:lang w:val="en-US"/>
        </w:rPr>
        <w:t>债</w:t>
      </w:r>
      <w:r>
        <w:rPr>
          <w:rFonts w:hint="eastAsia"/>
          <w:highlight w:val="none"/>
          <w:lang w:val="en-US" w:eastAsia="zh-CN"/>
        </w:rPr>
        <w:t>券</w:t>
      </w:r>
      <w:r>
        <w:rPr>
          <w:rFonts w:hint="eastAsia"/>
          <w:highlight w:val="none"/>
          <w:lang w:val="en-US"/>
        </w:rPr>
        <w:t>资金规模大，降低了一般公共预算资金压力。</w:t>
      </w:r>
      <w:r>
        <w:rPr>
          <w:rFonts w:hint="eastAsia"/>
          <w:b/>
          <w:bCs/>
          <w:highlight w:val="none"/>
          <w:lang w:val="en-US" w:eastAsia="zh-CN"/>
        </w:rPr>
        <w:t>二是</w:t>
      </w:r>
      <w:r>
        <w:rPr>
          <w:rFonts w:hint="eastAsia"/>
          <w:highlight w:val="none"/>
          <w:lang w:val="en-US" w:eastAsia="zh-CN"/>
        </w:rPr>
        <w:t>债券发行效率高。</w:t>
      </w:r>
      <w:r>
        <w:rPr>
          <w:rFonts w:hint="eastAsia"/>
          <w:highlight w:val="none"/>
          <w:lang w:val="en-US"/>
        </w:rPr>
        <w:t>债</w:t>
      </w:r>
      <w:r>
        <w:rPr>
          <w:rFonts w:hint="eastAsia"/>
          <w:highlight w:val="none"/>
          <w:lang w:val="en-US" w:eastAsia="zh-CN"/>
        </w:rPr>
        <w:t>券</w:t>
      </w:r>
      <w:r>
        <w:rPr>
          <w:rFonts w:hint="eastAsia"/>
          <w:highlight w:val="none"/>
          <w:lang w:val="en-US"/>
        </w:rPr>
        <w:t>资金在半年内筹集完毕，并且在</w:t>
      </w:r>
      <w:r>
        <w:rPr>
          <w:rFonts w:hint="eastAsia" w:ascii="仿宋_GB2312" w:hAnsi="仿宋_GB2312" w:cs="仿宋_GB2312"/>
          <w:highlight w:val="none"/>
          <w:lang w:val="en-US"/>
        </w:rPr>
        <w:t>当年的5月和9月分</w:t>
      </w:r>
      <w:r>
        <w:rPr>
          <w:rFonts w:hint="eastAsia"/>
          <w:highlight w:val="none"/>
          <w:lang w:val="en-US"/>
        </w:rPr>
        <w:t>两批发行，</w:t>
      </w:r>
      <w:r>
        <w:rPr>
          <w:rFonts w:hint="eastAsia"/>
          <w:highlight w:val="none"/>
          <w:lang w:val="en-US" w:eastAsia="zh-CN"/>
        </w:rPr>
        <w:t>发行效率高。</w:t>
      </w:r>
      <w:r>
        <w:rPr>
          <w:rFonts w:hint="eastAsia"/>
          <w:b/>
          <w:bCs/>
          <w:highlight w:val="none"/>
          <w:lang w:val="en-US" w:eastAsia="zh-CN"/>
        </w:rPr>
        <w:t>三是</w:t>
      </w:r>
      <w:r>
        <w:rPr>
          <w:rFonts w:hint="eastAsia"/>
          <w:highlight w:val="none"/>
          <w:lang w:val="en-US" w:eastAsia="zh-CN"/>
        </w:rPr>
        <w:t>举债经济性好。上述两批</w:t>
      </w:r>
      <w:r>
        <w:rPr>
          <w:rFonts w:hint="eastAsia"/>
          <w:highlight w:val="none"/>
          <w:lang w:val="en-US"/>
        </w:rPr>
        <w:t>债券</w:t>
      </w:r>
      <w:r>
        <w:rPr>
          <w:rFonts w:hint="eastAsia"/>
          <w:highlight w:val="none"/>
          <w:lang w:val="en-US" w:eastAsia="zh-CN"/>
        </w:rPr>
        <w:t>发行</w:t>
      </w:r>
      <w:r>
        <w:rPr>
          <w:rFonts w:hint="eastAsia"/>
          <w:highlight w:val="none"/>
          <w:lang w:val="en-US"/>
        </w:rPr>
        <w:t>利率分别</w:t>
      </w:r>
      <w:r>
        <w:rPr>
          <w:rFonts w:hint="eastAsia" w:ascii="仿宋_GB2312" w:hAnsi="仿宋_GB2312" w:cs="仿宋_GB2312"/>
          <w:highlight w:val="none"/>
          <w:lang w:val="en-US"/>
        </w:rPr>
        <w:t>为3.68%和3.51%，</w:t>
      </w:r>
      <w:r>
        <w:rPr>
          <w:rFonts w:hint="eastAsia"/>
          <w:highlight w:val="none"/>
          <w:lang w:val="en-US"/>
        </w:rPr>
        <w:t>处于地方政府债券利率平均水平，举债经济性较高</w:t>
      </w:r>
      <w:r>
        <w:rPr>
          <w:rFonts w:hint="eastAsia" w:ascii="仿宋_GB2312"/>
          <w:lang w:val="en-US"/>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highlight w:val="none"/>
          <w:lang w:val="en-US" w:eastAsia="zh-CN"/>
        </w:rPr>
      </w:pPr>
      <w:r>
        <w:rPr>
          <w:rFonts w:hint="eastAsia" w:ascii="仿宋_GB2312"/>
          <w:b w:val="0"/>
          <w:bCs w:val="0"/>
          <w:lang w:val="en-US"/>
        </w:rPr>
        <w:t>另一方面，</w:t>
      </w:r>
      <w:r>
        <w:rPr>
          <w:rFonts w:ascii="仿宋_GB2312" w:hAnsi="仿宋_GB2312" w:cs="仿宋_GB2312"/>
          <w:b w:val="0"/>
          <w:bCs w:val="0"/>
        </w:rPr>
        <w:t>债券偿还来源可靠</w:t>
      </w:r>
      <w:r>
        <w:rPr>
          <w:rFonts w:hint="eastAsia" w:ascii="仿宋_GB2312"/>
          <w:b w:val="0"/>
          <w:bCs w:val="0"/>
          <w:lang w:val="en-US"/>
        </w:rPr>
        <w:t>。</w:t>
      </w:r>
      <w:r>
        <w:rPr>
          <w:rFonts w:hint="eastAsia"/>
          <w:b w:val="0"/>
          <w:bCs w:val="0"/>
          <w:highlight w:val="none"/>
          <w:lang w:val="en-US" w:eastAsia="zh-CN"/>
        </w:rPr>
        <w:t>债</w:t>
      </w:r>
      <w:r>
        <w:rPr>
          <w:rFonts w:hint="eastAsia"/>
          <w:highlight w:val="none"/>
          <w:lang w:val="en-US" w:eastAsia="zh-CN"/>
        </w:rPr>
        <w:t>券主要以医疗收入作为偿债来源，医疗健康集团总收入呈现增长趋势，偿债来源可靠。</w:t>
      </w:r>
      <w:r>
        <w:rPr>
          <w:rFonts w:hint="eastAsia"/>
          <w:b/>
          <w:bCs/>
          <w:highlight w:val="none"/>
          <w:lang w:val="en-US" w:eastAsia="zh-CN"/>
        </w:rPr>
        <w:t>一是</w:t>
      </w:r>
      <w:r>
        <w:rPr>
          <w:rFonts w:hint="eastAsia"/>
          <w:highlight w:val="none"/>
          <w:lang w:val="en-US" w:eastAsia="zh-CN"/>
        </w:rPr>
        <w:t>收入呈现逐年增长趋势</w:t>
      </w:r>
      <w:r>
        <w:rPr>
          <w:rFonts w:hint="eastAsia" w:ascii="仿宋_GB2312" w:hAnsi="仿宋_GB2312" w:cs="仿宋_GB2312"/>
          <w:highlight w:val="none"/>
          <w:lang w:val="en-US" w:eastAsia="zh-CN"/>
        </w:rPr>
        <w:t>。2016年至2021年6年间，</w:t>
      </w:r>
      <w:r>
        <w:rPr>
          <w:rFonts w:hint="eastAsia"/>
          <w:highlight w:val="none"/>
          <w:lang w:val="en-US" w:eastAsia="zh-CN"/>
        </w:rPr>
        <w:t>医疗健康集团总收入年平均增长率为</w:t>
      </w:r>
      <w:r>
        <w:rPr>
          <w:rFonts w:hint="eastAsia" w:ascii="仿宋_GB2312" w:hAnsi="仿宋_GB2312" w:cs="仿宋_GB2312"/>
          <w:highlight w:val="none"/>
          <w:lang w:val="en-US" w:eastAsia="zh-CN"/>
        </w:rPr>
        <w:t>5.34%。</w:t>
      </w:r>
      <w:r>
        <w:rPr>
          <w:rFonts w:hint="eastAsia"/>
          <w:b/>
          <w:bCs/>
          <w:highlight w:val="none"/>
          <w:lang w:val="en-US" w:eastAsia="zh-CN"/>
        </w:rPr>
        <w:t>二是</w:t>
      </w:r>
      <w:r>
        <w:rPr>
          <w:rFonts w:hint="eastAsia"/>
          <w:highlight w:val="none"/>
          <w:lang w:val="en-US" w:eastAsia="zh-CN"/>
        </w:rPr>
        <w:t>收入能够覆盖债券本息。</w:t>
      </w:r>
      <w:r>
        <w:rPr>
          <w:rFonts w:hint="eastAsia"/>
          <w:b/>
          <w:bCs/>
          <w:highlight w:val="none"/>
          <w:lang w:val="en-US" w:eastAsia="zh-CN"/>
        </w:rPr>
        <w:t>三是</w:t>
      </w:r>
      <w:r>
        <w:rPr>
          <w:rFonts w:hint="eastAsia"/>
          <w:highlight w:val="none"/>
          <w:lang w:val="en-US" w:eastAsia="zh-CN"/>
        </w:rPr>
        <w:t>债券本息占收入比例较低，年平均占</w:t>
      </w:r>
      <w:r>
        <w:rPr>
          <w:rFonts w:hint="eastAsia" w:ascii="仿宋" w:hAnsi="仿宋" w:eastAsia="仿宋" w:cs="仿宋"/>
          <w:highlight w:val="none"/>
          <w:lang w:val="en-US" w:eastAsia="zh-CN"/>
        </w:rPr>
        <w:t>比为1.21%，</w:t>
      </w:r>
      <w:r>
        <w:rPr>
          <w:rFonts w:hint="eastAsia"/>
          <w:highlight w:val="none"/>
          <w:lang w:val="en-US" w:eastAsia="zh-CN"/>
        </w:rPr>
        <w:t>债券偿还可靠性高。</w:t>
      </w:r>
    </w:p>
    <w:p>
      <w:pPr>
        <w:pStyle w:val="4"/>
        <w:pageBreakBefore w:val="0"/>
        <w:widowControl w:val="0"/>
        <w:kinsoku/>
        <w:wordWrap/>
        <w:overflowPunct/>
        <w:topLinePunct w:val="0"/>
        <w:autoSpaceDE/>
        <w:autoSpaceDN/>
        <w:bidi w:val="0"/>
        <w:spacing w:before="0" w:after="0" w:line="560" w:lineRule="exact"/>
        <w:ind w:firstLine="643"/>
        <w:textAlignment w:val="auto"/>
        <w:rPr>
          <w:rFonts w:hint="default"/>
          <w:b w:val="0"/>
          <w:bCs w:val="0"/>
        </w:rPr>
      </w:pPr>
      <w:bookmarkStart w:id="14" w:name="_Toc84348101"/>
      <w:bookmarkStart w:id="15" w:name="_Toc87476059"/>
      <w:r>
        <w:rPr>
          <w:rFonts w:hint="eastAsia"/>
          <w:b w:val="0"/>
          <w:bCs w:val="0"/>
          <w:lang w:val="en-US"/>
        </w:rPr>
        <w:t>（二）</w:t>
      </w:r>
      <w:bookmarkEnd w:id="10"/>
      <w:bookmarkEnd w:id="14"/>
      <w:bookmarkEnd w:id="15"/>
      <w:bookmarkStart w:id="16" w:name="_Toc117462816"/>
      <w:r>
        <w:rPr>
          <w:rFonts w:hint="eastAsia"/>
          <w:b w:val="0"/>
          <w:bCs w:val="0"/>
          <w:lang w:val="en-US"/>
        </w:rPr>
        <w:t>债</w:t>
      </w:r>
      <w:r>
        <w:rPr>
          <w:rFonts w:hint="eastAsia"/>
          <w:b w:val="0"/>
          <w:bCs w:val="0"/>
          <w:szCs w:val="48"/>
          <w:lang w:val="en-US"/>
        </w:rPr>
        <w:t>券</w:t>
      </w:r>
      <w:r>
        <w:rPr>
          <w:rFonts w:hint="eastAsia"/>
          <w:b w:val="0"/>
          <w:bCs w:val="0"/>
          <w:szCs w:val="48"/>
        </w:rPr>
        <w:t>资金保障</w:t>
      </w:r>
      <w:r>
        <w:rPr>
          <w:b w:val="0"/>
          <w:bCs w:val="0"/>
          <w:szCs w:val="48"/>
        </w:rPr>
        <w:t>设备采购计划，</w:t>
      </w:r>
      <w:r>
        <w:rPr>
          <w:rFonts w:hint="eastAsia"/>
          <w:b w:val="0"/>
          <w:bCs w:val="0"/>
          <w:szCs w:val="48"/>
        </w:rPr>
        <w:t>优化新区医疗资源配置</w:t>
      </w:r>
      <w:bookmarkEnd w:id="16"/>
      <w:r>
        <w:rPr>
          <w:rFonts w:hint="default"/>
          <w:b w:val="0"/>
          <w:bCs w:val="0"/>
          <w:szCs w:val="48"/>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cs="仿宋_GB2312"/>
          <w:lang w:val="en-US" w:eastAsia="zh-CN"/>
        </w:rPr>
      </w:pPr>
      <w:r>
        <w:rPr>
          <w:rFonts w:hint="eastAsia" w:ascii="仿宋_GB2312"/>
          <w:b w:val="0"/>
          <w:bCs w:val="0"/>
        </w:rPr>
        <w:t>一方面，完</w:t>
      </w:r>
      <w:r>
        <w:rPr>
          <w:rFonts w:hint="eastAsia"/>
          <w:b w:val="0"/>
          <w:bCs w:val="0"/>
          <w:lang w:val="en-US"/>
        </w:rPr>
        <w:t>成</w:t>
      </w:r>
      <w:r>
        <w:rPr>
          <w:b w:val="0"/>
          <w:bCs w:val="0"/>
        </w:rPr>
        <w:t>设备</w:t>
      </w:r>
      <w:r>
        <w:rPr>
          <w:rFonts w:hint="eastAsia"/>
          <w:b w:val="0"/>
          <w:bCs w:val="0"/>
          <w:lang w:val="en-US"/>
        </w:rPr>
        <w:t>采购</w:t>
      </w:r>
      <w:r>
        <w:rPr>
          <w:b w:val="0"/>
          <w:bCs w:val="0"/>
        </w:rPr>
        <w:t>，</w:t>
      </w:r>
      <w:r>
        <w:rPr>
          <w:b w:val="0"/>
          <w:bCs w:val="0"/>
          <w:lang w:val="en-US"/>
        </w:rPr>
        <w:t>缓解医疗资源配置压力</w:t>
      </w:r>
      <w:r>
        <w:rPr>
          <w:rFonts w:hint="eastAsia" w:ascii="仿宋_GB2312"/>
          <w:b w:val="0"/>
          <w:bCs w:val="0"/>
        </w:rPr>
        <w:t>。</w:t>
      </w:r>
      <w:r>
        <w:rPr>
          <w:rFonts w:hint="eastAsia"/>
          <w:highlight w:val="none"/>
          <w:lang w:val="en-US" w:eastAsia="zh-CN"/>
        </w:rPr>
        <w:t>9,350.00</w:t>
      </w:r>
      <w:r>
        <w:rPr>
          <w:rFonts w:ascii="仿宋_GB2312" w:hAnsi="仿宋_GB2312" w:cs="仿宋_GB2312"/>
          <w:lang w:val="en-US"/>
        </w:rPr>
        <w:t>万元专项债</w:t>
      </w:r>
      <w:r>
        <w:rPr>
          <w:rFonts w:ascii="仿宋_GB2312" w:hAnsi="仿宋_GB2312" w:cs="仿宋_GB2312"/>
        </w:rPr>
        <w:t>券</w:t>
      </w:r>
      <w:r>
        <w:rPr>
          <w:rFonts w:ascii="仿宋_GB2312" w:hAnsi="仿宋_GB2312" w:cs="仿宋_GB2312"/>
          <w:lang w:val="en-US"/>
        </w:rPr>
        <w:t>资金投入，</w:t>
      </w:r>
      <w:r>
        <w:rPr>
          <w:rFonts w:ascii="仿宋_GB2312" w:hAnsi="仿宋_GB2312" w:cs="仿宋_GB2312"/>
        </w:rPr>
        <w:t>推动</w:t>
      </w:r>
      <w:r>
        <w:rPr>
          <w:rFonts w:ascii="仿宋_GB2312" w:hAnsi="仿宋_GB2312" w:cs="仿宋_GB2312"/>
          <w:lang w:val="en-US"/>
        </w:rPr>
        <w:t>新区采购513台医疗设备，保障医疗健康集团完成采购计划，丰富医疗资源配置</w:t>
      </w:r>
      <w:r>
        <w:rPr>
          <w:rFonts w:hint="eastAsia" w:ascii="仿宋_GB2312" w:hAnsi="仿宋_GB2312" w:cs="仿宋_GB231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仿宋_GB2312" w:hAnsi="仿宋_GB2312" w:cs="仿宋_GB2312"/>
          <w:lang w:val="en-US"/>
        </w:rPr>
      </w:pPr>
      <w:r>
        <w:rPr>
          <w:rFonts w:hint="eastAsia" w:ascii="仿宋_GB2312"/>
          <w:b w:val="0"/>
          <w:bCs w:val="0"/>
        </w:rPr>
        <w:t>另一方面，</w:t>
      </w:r>
      <w:r>
        <w:rPr>
          <w:rFonts w:ascii="仿宋_GB2312" w:hAnsi="仿宋_GB2312" w:cs="仿宋_GB2312"/>
          <w:b w:val="0"/>
          <w:bCs w:val="0"/>
          <w:lang w:val="en-US"/>
        </w:rPr>
        <w:t>设备采购有利于医疗资源整合，提高诊疗能力</w:t>
      </w:r>
      <w:r>
        <w:rPr>
          <w:rFonts w:hint="eastAsia" w:ascii="仿宋_GB2312"/>
          <w:b w:val="0"/>
          <w:bCs w:val="0"/>
        </w:rPr>
        <w:t>。</w:t>
      </w:r>
      <w:bookmarkEnd w:id="11"/>
      <w:r>
        <w:rPr>
          <w:rFonts w:hint="eastAsia" w:ascii="仿宋_GB2312" w:hAnsi="仿宋_GB2312" w:cs="仿宋_GB2312"/>
          <w:lang w:val="en-US"/>
        </w:rPr>
        <w:t>医疗设备按需采购有利于后续资源整合，促进医院之间联通与发展。购入的先进设备提高了患者就诊的便捷程度和诊疗结果准确度，推进信息化系统建设进程。</w:t>
      </w:r>
    </w:p>
    <w:p>
      <w:pPr>
        <w:pStyle w:val="4"/>
        <w:keepNext w:val="0"/>
        <w:keepLines w:val="0"/>
        <w:pageBreakBefore w:val="0"/>
        <w:widowControl w:val="0"/>
        <w:kinsoku/>
        <w:wordWrap/>
        <w:overflowPunct/>
        <w:topLinePunct w:val="0"/>
        <w:autoSpaceDE/>
        <w:autoSpaceDN/>
        <w:bidi w:val="0"/>
        <w:spacing w:before="0" w:after="0" w:line="560" w:lineRule="exact"/>
        <w:ind w:firstLine="643" w:firstLineChars="0"/>
        <w:textAlignment w:val="auto"/>
        <w:rPr>
          <w:rFonts w:hint="default" w:ascii="楷体_GB2312" w:hAnsi="楷体_GB2312" w:cs="楷体_GB2312"/>
          <w:b w:val="0"/>
          <w:bCs w:val="0"/>
        </w:rPr>
      </w:pPr>
      <w:bookmarkStart w:id="17" w:name="_Toc84348102"/>
      <w:bookmarkStart w:id="18" w:name="_Toc87476060"/>
      <w:r>
        <w:rPr>
          <w:rFonts w:hint="eastAsia"/>
          <w:b w:val="0"/>
          <w:bCs w:val="0"/>
          <w:lang w:val="en-US"/>
        </w:rPr>
        <w:t>（三）</w:t>
      </w:r>
      <w:bookmarkEnd w:id="17"/>
      <w:bookmarkEnd w:id="18"/>
      <w:r>
        <w:rPr>
          <w:rFonts w:hint="eastAsia" w:ascii="楷体_GB2312" w:hAnsi="楷体_GB2312" w:cs="楷体_GB2312"/>
          <w:b w:val="0"/>
          <w:bCs w:val="0"/>
        </w:rPr>
        <w:t>医疗设备采购获专项债</w:t>
      </w:r>
      <w:r>
        <w:rPr>
          <w:rFonts w:hint="default" w:ascii="楷体_GB2312" w:hAnsi="楷体_GB2312" w:cs="楷体_GB2312"/>
          <w:b w:val="0"/>
          <w:bCs w:val="0"/>
        </w:rPr>
        <w:t>券</w:t>
      </w:r>
      <w:r>
        <w:rPr>
          <w:rFonts w:hint="eastAsia" w:ascii="楷体_GB2312" w:hAnsi="楷体_GB2312" w:cs="楷体_GB2312"/>
          <w:b w:val="0"/>
          <w:bCs w:val="0"/>
        </w:rPr>
        <w:t>保障，医院收入稳步增长</w:t>
      </w:r>
      <w:r>
        <w:rPr>
          <w:rFonts w:hint="default" w:ascii="楷体_GB2312" w:hAnsi="楷体_GB2312" w:cs="楷体_GB2312"/>
          <w:b w:val="0"/>
          <w:bCs w:val="0"/>
        </w:rPr>
        <w:t>。</w:t>
      </w:r>
    </w:p>
    <w:p>
      <w:pPr>
        <w:pStyle w:val="3"/>
        <w:pageBreakBefore w:val="0"/>
        <w:widowControl w:val="0"/>
        <w:kinsoku/>
        <w:wordWrap/>
        <w:overflowPunct/>
        <w:topLinePunct w:val="0"/>
        <w:autoSpaceDE/>
        <w:autoSpaceDN/>
        <w:bidi w:val="0"/>
        <w:spacing w:line="560" w:lineRule="exact"/>
        <w:ind w:firstLine="643"/>
        <w:textAlignment w:val="auto"/>
        <w:rPr>
          <w:rFonts w:hint="eastAsia"/>
          <w:b w:val="0"/>
          <w:bCs w:val="0"/>
        </w:rPr>
      </w:pPr>
      <w:r>
        <w:rPr>
          <w:rFonts w:hint="eastAsia" w:ascii="仿宋_GB2312" w:hAnsi="仿宋_GB2312" w:cs="仿宋_GB2312"/>
          <w:b/>
          <w:bCs/>
          <w:lang w:val="en-US" w:eastAsia="zh-CN"/>
        </w:rPr>
        <w:t>一是</w:t>
      </w:r>
      <w:r>
        <w:rPr>
          <w:rFonts w:ascii="仿宋_GB2312" w:hAnsi="仿宋_GB2312" w:cs="仿宋_GB2312"/>
          <w:b w:val="0"/>
          <w:bCs w:val="0"/>
        </w:rPr>
        <w:t>医院接诊量逐年增加，医院医疗服务能力逐步上升</w:t>
      </w:r>
      <w:r>
        <w:rPr>
          <w:rFonts w:hint="eastAsia" w:ascii="仿宋_GB2312" w:hAnsi="仿宋_GB2312" w:cs="仿宋_GB2312"/>
          <w:b w:val="0"/>
          <w:bCs w:val="0"/>
        </w:rPr>
        <w:t>。</w:t>
      </w:r>
      <w:bookmarkEnd w:id="12"/>
      <w:bookmarkEnd w:id="13"/>
      <w:r>
        <w:rPr>
          <w:rFonts w:hint="eastAsia" w:ascii="仿宋_GB2312" w:hAnsi="仿宋_GB2312" w:cs="仿宋_GB2312"/>
          <w:b w:val="0"/>
          <w:bCs w:val="0"/>
          <w:highlight w:val="none"/>
          <w:lang w:val="en-US" w:eastAsia="zh-CN"/>
        </w:rPr>
        <w:t>2016-2021</w:t>
      </w:r>
      <w:r>
        <w:rPr>
          <w:rFonts w:ascii="仿宋_GB2312" w:hAnsi="仿宋_GB2312" w:cs="仿宋_GB2312"/>
          <w:b w:val="0"/>
          <w:bCs w:val="0"/>
        </w:rPr>
        <w:t>年新区三家</w:t>
      </w:r>
      <w:r>
        <w:rPr>
          <w:rFonts w:hint="eastAsia" w:ascii="仿宋_GB2312" w:hAnsi="仿宋_GB2312" w:cs="仿宋_GB2312"/>
          <w:lang w:val="en-US" w:eastAsia="zh-CN"/>
        </w:rPr>
        <w:t>公立</w:t>
      </w:r>
      <w:r>
        <w:rPr>
          <w:rFonts w:ascii="仿宋_GB2312" w:hAnsi="仿宋_GB2312" w:cs="仿宋_GB2312"/>
        </w:rPr>
        <w:t>医院</w:t>
      </w:r>
      <w:r>
        <w:rPr>
          <w:rFonts w:hint="eastAsia" w:ascii="仿宋_GB2312" w:hAnsi="仿宋_GB2312" w:cs="仿宋_GB2312"/>
          <w:lang w:val="en-US" w:eastAsia="zh-CN"/>
        </w:rPr>
        <w:t>及各</w:t>
      </w:r>
      <w:r>
        <w:rPr>
          <w:rFonts w:ascii="仿宋_GB2312" w:hAnsi="仿宋_GB2312" w:cs="仿宋_GB2312"/>
        </w:rPr>
        <w:t>社康</w:t>
      </w:r>
      <w:r>
        <w:rPr>
          <w:rFonts w:hint="eastAsia" w:ascii="仿宋_GB2312" w:hAnsi="仿宋_GB2312" w:cs="仿宋_GB2312"/>
          <w:lang w:val="en-US" w:eastAsia="zh-CN"/>
        </w:rPr>
        <w:t>中心</w:t>
      </w:r>
      <w:r>
        <w:rPr>
          <w:rFonts w:ascii="仿宋_GB2312" w:hAnsi="仿宋_GB2312" w:cs="仿宋_GB2312"/>
        </w:rPr>
        <w:t>年总医疗就诊人数总体呈上升趋势。</w:t>
      </w:r>
      <w:r>
        <w:rPr>
          <w:rFonts w:hint="eastAsia" w:ascii="仿宋_GB2312" w:hAnsi="仿宋_GB2312" w:cs="仿宋_GB2312"/>
          <w:b/>
          <w:bCs/>
          <w:lang w:val="en-US" w:eastAsia="zh-CN"/>
        </w:rPr>
        <w:t>二是</w:t>
      </w:r>
      <w:r>
        <w:rPr>
          <w:rFonts w:hint="eastAsia" w:ascii="仿宋_GB2312" w:hAnsi="仿宋_GB2312" w:cs="仿宋_GB2312"/>
          <w:b w:val="0"/>
          <w:bCs w:val="0"/>
        </w:rPr>
        <w:t>三级以上的手术数量逐年增加，医院处理难度系数大的手术能力逐年上升。</w:t>
      </w:r>
      <w:r>
        <w:rPr>
          <w:rFonts w:hint="eastAsia" w:ascii="仿宋_GB2312" w:hAnsi="仿宋_GB2312" w:cs="仿宋_GB2312"/>
          <w:b/>
          <w:bCs/>
          <w:lang w:val="en-US" w:eastAsia="zh-CN"/>
        </w:rPr>
        <w:t>三是</w:t>
      </w:r>
      <w:r>
        <w:rPr>
          <w:rFonts w:hint="eastAsia" w:ascii="仿宋_GB2312" w:hAnsi="仿宋_GB2312" w:cs="仿宋_GB2312"/>
          <w:b w:val="0"/>
          <w:bCs w:val="0"/>
        </w:rPr>
        <w:t>医院收入稳步增长，设备检测收入贡献较大。</w:t>
      </w:r>
      <w:r>
        <w:rPr>
          <w:rFonts w:hint="eastAsia" w:ascii="仿宋_GB2312" w:hAnsi="仿宋_GB2312" w:cs="仿宋_GB2312"/>
          <w:b w:val="0"/>
          <w:bCs w:val="0"/>
          <w:lang w:val="en-US"/>
        </w:rPr>
        <w:t>2016-2021年，三家</w:t>
      </w:r>
      <w:r>
        <w:rPr>
          <w:rFonts w:hint="eastAsia" w:ascii="仿宋_GB2312" w:hAnsi="仿宋_GB2312" w:cs="仿宋_GB2312"/>
          <w:b w:val="0"/>
          <w:bCs w:val="0"/>
          <w:lang w:val="en-US" w:eastAsia="zh-CN"/>
        </w:rPr>
        <w:t>公立</w:t>
      </w:r>
      <w:r>
        <w:rPr>
          <w:rFonts w:hint="eastAsia" w:ascii="仿宋_GB2312" w:hAnsi="仿宋_GB2312" w:cs="仿宋_GB2312"/>
          <w:b w:val="0"/>
          <w:bCs w:val="0"/>
          <w:lang w:val="en-US"/>
        </w:rPr>
        <w:t>医院的年总</w:t>
      </w:r>
      <w:r>
        <w:rPr>
          <w:rFonts w:hint="eastAsia" w:ascii="仿宋_GB2312" w:hAnsi="仿宋_GB2312" w:cs="仿宋_GB2312"/>
          <w:b w:val="0"/>
          <w:bCs w:val="0"/>
        </w:rPr>
        <w:t>收入</w:t>
      </w:r>
      <w:r>
        <w:rPr>
          <w:rFonts w:hint="eastAsia" w:ascii="仿宋_GB2312" w:hAnsi="仿宋_GB2312" w:cs="仿宋_GB2312"/>
          <w:b w:val="0"/>
          <w:bCs w:val="0"/>
          <w:lang w:val="en-US"/>
        </w:rPr>
        <w:t>呈</w:t>
      </w:r>
      <w:r>
        <w:rPr>
          <w:rFonts w:hint="eastAsia" w:ascii="仿宋_GB2312" w:hAnsi="仿宋_GB2312" w:cs="仿宋_GB2312"/>
          <w:b w:val="0"/>
          <w:bCs w:val="0"/>
        </w:rPr>
        <w:t>逐年上升</w:t>
      </w:r>
      <w:r>
        <w:rPr>
          <w:rFonts w:hint="eastAsia" w:ascii="仿宋_GB2312" w:hAnsi="仿宋_GB2312" w:cs="仿宋_GB2312"/>
          <w:b w:val="0"/>
          <w:bCs w:val="0"/>
          <w:lang w:val="en-US"/>
        </w:rPr>
        <w:t>趋势</w:t>
      </w:r>
      <w:r>
        <w:rPr>
          <w:rFonts w:hint="eastAsia" w:ascii="仿宋_GB2312" w:hAnsi="仿宋_GB2312" w:cs="仿宋_GB2312"/>
          <w:b w:val="0"/>
          <w:bCs w:val="0"/>
          <w:lang w:eastAsia="zh-CN"/>
        </w:rPr>
        <w:t>，</w:t>
      </w:r>
      <w:r>
        <w:rPr>
          <w:rFonts w:hint="eastAsia" w:ascii="仿宋_GB2312" w:hAnsi="仿宋_GB2312" w:cs="仿宋_GB2312"/>
          <w:b w:val="0"/>
          <w:bCs w:val="0"/>
        </w:rPr>
        <w:t>检</w:t>
      </w:r>
      <w:r>
        <w:rPr>
          <w:rFonts w:hint="eastAsia" w:ascii="仿宋_GB2312" w:hAnsi="仿宋_GB2312" w:cs="仿宋_GB2312"/>
          <w:b w:val="0"/>
          <w:bCs w:val="0"/>
          <w:lang w:val="en-US"/>
        </w:rPr>
        <w:t>测</w:t>
      </w:r>
      <w:r>
        <w:rPr>
          <w:rFonts w:hint="eastAsia" w:ascii="仿宋_GB2312" w:hAnsi="仿宋_GB2312" w:cs="仿宋_GB2312"/>
          <w:b w:val="0"/>
          <w:bCs w:val="0"/>
        </w:rPr>
        <w:t>收入</w:t>
      </w:r>
      <w:r>
        <w:rPr>
          <w:rFonts w:hint="eastAsia" w:ascii="仿宋_GB2312" w:hAnsi="仿宋_GB2312" w:cs="仿宋_GB2312"/>
          <w:b w:val="0"/>
          <w:bCs w:val="0"/>
          <w:lang w:val="en-US"/>
        </w:rPr>
        <w:t>亦</w:t>
      </w:r>
      <w:r>
        <w:rPr>
          <w:rFonts w:hint="eastAsia" w:ascii="仿宋_GB2312" w:hAnsi="仿宋_GB2312" w:cs="仿宋_GB2312"/>
          <w:b w:val="0"/>
          <w:bCs w:val="0"/>
        </w:rPr>
        <w:t>呈</w:t>
      </w:r>
      <w:r>
        <w:rPr>
          <w:rFonts w:hint="eastAsia" w:ascii="仿宋_GB2312" w:hAnsi="仿宋_GB2312" w:cs="仿宋_GB2312"/>
          <w:b w:val="0"/>
          <w:bCs w:val="0"/>
          <w:lang w:val="en-US"/>
        </w:rPr>
        <w:t>逐年</w:t>
      </w:r>
      <w:r>
        <w:rPr>
          <w:rFonts w:hint="eastAsia" w:ascii="仿宋_GB2312" w:hAnsi="仿宋_GB2312" w:cs="仿宋_GB2312"/>
          <w:b w:val="0"/>
          <w:bCs w:val="0"/>
        </w:rPr>
        <w:t>上升趋势。</w:t>
      </w:r>
    </w:p>
    <w:p>
      <w:pPr>
        <w:pStyle w:val="2"/>
        <w:pageBreakBefore w:val="0"/>
        <w:widowControl w:val="0"/>
        <w:kinsoku/>
        <w:wordWrap/>
        <w:overflowPunct/>
        <w:topLinePunct w:val="0"/>
        <w:autoSpaceDE/>
        <w:autoSpaceDN/>
        <w:bidi w:val="0"/>
        <w:spacing w:before="0" w:after="0" w:line="560" w:lineRule="exact"/>
        <w:ind w:firstLine="640"/>
        <w:textAlignment w:val="auto"/>
        <w:rPr>
          <w:lang w:val="en-US"/>
        </w:rPr>
      </w:pPr>
      <w:bookmarkStart w:id="19" w:name="_Toc87476061"/>
      <w:r>
        <w:rPr>
          <w:rFonts w:hint="default"/>
        </w:rPr>
        <w:t>三</w:t>
      </w:r>
      <w:r>
        <w:rPr>
          <w:rFonts w:hint="eastAsia"/>
          <w:lang w:val="en-US"/>
        </w:rPr>
        <w:t>、</w:t>
      </w:r>
      <w:bookmarkEnd w:id="4"/>
      <w:bookmarkEnd w:id="5"/>
      <w:bookmarkEnd w:id="6"/>
      <w:bookmarkEnd w:id="19"/>
      <w:r>
        <w:rPr>
          <w:rFonts w:hint="eastAsia"/>
          <w:lang w:val="en-US"/>
        </w:rPr>
        <w:t>存在问题</w:t>
      </w:r>
    </w:p>
    <w:p>
      <w:pPr>
        <w:pStyle w:val="4"/>
        <w:keepLines w:val="0"/>
        <w:pageBreakBefore w:val="0"/>
        <w:widowControl w:val="0"/>
        <w:kinsoku/>
        <w:wordWrap/>
        <w:overflowPunct/>
        <w:topLinePunct w:val="0"/>
        <w:autoSpaceDE/>
        <w:autoSpaceDN/>
        <w:bidi w:val="0"/>
        <w:spacing w:before="0" w:after="0" w:line="560" w:lineRule="exact"/>
        <w:ind w:firstLine="641" w:firstLineChars="0"/>
        <w:textAlignment w:val="auto"/>
        <w:rPr>
          <w:rFonts w:hint="default" w:ascii="楷体_GB2312" w:hAnsi="楷体_GB2312" w:cs="楷体_GB2312"/>
          <w:b w:val="0"/>
          <w:bCs w:val="0"/>
        </w:rPr>
      </w:pPr>
      <w:bookmarkStart w:id="20" w:name="_Toc84348104"/>
      <w:bookmarkStart w:id="21" w:name="_Toc87476062"/>
      <w:r>
        <w:rPr>
          <w:rFonts w:hint="eastAsia"/>
          <w:b w:val="0"/>
          <w:bCs w:val="0"/>
          <w:lang w:val="en-US"/>
        </w:rPr>
        <w:t>（一）</w:t>
      </w:r>
      <w:bookmarkEnd w:id="20"/>
      <w:bookmarkEnd w:id="21"/>
      <w:r>
        <w:rPr>
          <w:rFonts w:ascii="楷体_GB2312" w:hAnsi="楷体_GB2312" w:cs="楷体_GB2312"/>
          <w:b w:val="0"/>
          <w:bCs w:val="0"/>
        </w:rPr>
        <w:t>部分设备可行性论证不充分。</w:t>
      </w:r>
    </w:p>
    <w:p>
      <w:pPr>
        <w:pStyle w:val="3"/>
        <w:pageBreakBefore w:val="0"/>
        <w:widowControl w:val="0"/>
        <w:kinsoku/>
        <w:wordWrap/>
        <w:overflowPunct/>
        <w:topLinePunct w:val="0"/>
        <w:autoSpaceDE/>
        <w:autoSpaceDN/>
        <w:bidi w:val="0"/>
        <w:spacing w:line="560" w:lineRule="exact"/>
        <w:ind w:firstLine="643"/>
        <w:textAlignment w:val="auto"/>
        <w:rPr>
          <w:rFonts w:hint="eastAsia" w:ascii="仿宋_GB2312" w:hAnsi="仿宋_GB2312" w:cs="仿宋_GB2312"/>
          <w:b w:val="0"/>
          <w:bCs w:val="0"/>
          <w:lang w:val="en-US"/>
        </w:rPr>
      </w:pPr>
      <w:r>
        <w:rPr>
          <w:rFonts w:hint="eastAsia" w:ascii="仿宋_GB2312" w:hAnsi="仿宋_GB2312" w:cs="仿宋_GB2312"/>
          <w:b w:val="0"/>
          <w:bCs w:val="0"/>
        </w:rPr>
        <w:t>1.</w:t>
      </w:r>
      <w:r>
        <w:rPr>
          <w:rFonts w:hint="eastAsia" w:ascii="仿宋_GB2312" w:hAnsi="仿宋_GB2312" w:cs="仿宋_GB2312"/>
          <w:b w:val="0"/>
          <w:bCs w:val="0"/>
          <w:lang w:val="en-US"/>
        </w:rPr>
        <w:t>配套条件建设缓慢，</w:t>
      </w:r>
      <w:r>
        <w:rPr>
          <w:rFonts w:hint="eastAsia" w:ascii="仿宋_GB2312" w:hAnsi="仿宋_GB2312" w:cs="仿宋_GB2312"/>
          <w:b w:val="0"/>
          <w:bCs w:val="0"/>
        </w:rPr>
        <w:t>部分</w:t>
      </w:r>
      <w:r>
        <w:rPr>
          <w:rFonts w:hint="eastAsia" w:ascii="仿宋_GB2312" w:hAnsi="仿宋_GB2312" w:cs="仿宋_GB2312"/>
          <w:b w:val="0"/>
          <w:bCs w:val="0"/>
          <w:lang w:val="en-US"/>
        </w:rPr>
        <w:t>设备未及时投入使用</w:t>
      </w:r>
      <w:r>
        <w:rPr>
          <w:rFonts w:hint="eastAsia" w:ascii="仿宋_GB2312" w:hAnsi="仿宋_GB2312" w:cs="仿宋_GB2312"/>
          <w:b w:val="0"/>
          <w:bCs w:val="0"/>
        </w:rPr>
        <w:t>。</w:t>
      </w:r>
      <w:bookmarkStart w:id="22" w:name="_Toc87476064"/>
      <w:bookmarkStart w:id="23" w:name="_Toc85617629"/>
      <w:bookmarkStart w:id="24" w:name="_Toc85705912"/>
      <w:bookmarkStart w:id="25" w:name="_Toc84347970"/>
      <w:bookmarkStart w:id="26" w:name="_Toc84348234"/>
      <w:bookmarkStart w:id="27" w:name="_Toc85617376"/>
      <w:bookmarkStart w:id="28" w:name="_Toc82794420"/>
      <w:bookmarkStart w:id="29" w:name="_Toc84348106"/>
    </w:p>
    <w:bookmarkEnd w:id="22"/>
    <w:bookmarkEnd w:id="23"/>
    <w:bookmarkEnd w:id="24"/>
    <w:bookmarkEnd w:id="25"/>
    <w:bookmarkEnd w:id="26"/>
    <w:bookmarkEnd w:id="27"/>
    <w:bookmarkEnd w:id="28"/>
    <w:bookmarkEnd w:id="29"/>
    <w:p>
      <w:pPr>
        <w:pStyle w:val="3"/>
        <w:pageBreakBefore w:val="0"/>
        <w:widowControl w:val="0"/>
        <w:kinsoku/>
        <w:wordWrap/>
        <w:overflowPunct/>
        <w:topLinePunct w:val="0"/>
        <w:autoSpaceDE/>
        <w:autoSpaceDN/>
        <w:bidi w:val="0"/>
        <w:spacing w:line="560" w:lineRule="exact"/>
        <w:ind w:firstLine="643"/>
        <w:textAlignment w:val="auto"/>
        <w:rPr>
          <w:rFonts w:hint="eastAsia" w:ascii="仿宋_GB2312" w:hAnsi="仿宋_GB2312" w:cs="仿宋_GB2312"/>
          <w:b w:val="0"/>
          <w:bCs w:val="0"/>
        </w:rPr>
      </w:pPr>
      <w:r>
        <w:rPr>
          <w:rFonts w:hint="eastAsia" w:ascii="仿宋_GB2312" w:hAnsi="仿宋_GB2312" w:cs="仿宋_GB2312"/>
          <w:b w:val="0"/>
          <w:bCs w:val="0"/>
        </w:rPr>
        <w:t>2.</w:t>
      </w:r>
      <w:r>
        <w:rPr>
          <w:rFonts w:hint="eastAsia" w:ascii="仿宋_GB2312" w:hAnsi="仿宋_GB2312" w:cs="仿宋_GB2312"/>
          <w:b w:val="0"/>
          <w:bCs w:val="0"/>
          <w:lang w:val="en-US"/>
        </w:rPr>
        <w:t>可行性分析深度不够，</w:t>
      </w:r>
      <w:r>
        <w:rPr>
          <w:rFonts w:hint="eastAsia" w:ascii="仿宋_GB2312" w:hAnsi="仿宋_GB2312" w:cs="仿宋_GB2312"/>
          <w:b w:val="0"/>
          <w:bCs w:val="0"/>
          <w:lang w:val="en-US" w:eastAsia="zh-CN"/>
        </w:rPr>
        <w:t>部分</w:t>
      </w:r>
      <w:r>
        <w:rPr>
          <w:rFonts w:hint="eastAsia" w:ascii="仿宋_GB2312" w:hAnsi="仿宋_GB2312" w:cs="仿宋_GB2312"/>
          <w:b w:val="0"/>
          <w:bCs w:val="0"/>
          <w:lang w:val="en-US"/>
        </w:rPr>
        <w:t>设备使用率较低</w:t>
      </w:r>
      <w:r>
        <w:rPr>
          <w:rFonts w:hint="eastAsia" w:ascii="仿宋_GB2312" w:hAnsi="仿宋_GB2312" w:cs="仿宋_GB2312"/>
          <w:b w:val="0"/>
          <w:bCs w:val="0"/>
        </w:rPr>
        <w:t>。</w:t>
      </w:r>
      <w:bookmarkStart w:id="30" w:name="_Toc84347971"/>
      <w:bookmarkStart w:id="31" w:name="_Toc87476065"/>
      <w:bookmarkStart w:id="32" w:name="_Toc84348107"/>
      <w:bookmarkStart w:id="33" w:name="_Toc82794421"/>
      <w:bookmarkStart w:id="34" w:name="_Toc85705913"/>
      <w:bookmarkStart w:id="35" w:name="_Toc85617377"/>
      <w:bookmarkStart w:id="36" w:name="_Toc85617630"/>
      <w:bookmarkStart w:id="37" w:name="_Toc84348235"/>
    </w:p>
    <w:p>
      <w:pPr>
        <w:pStyle w:val="3"/>
        <w:pageBreakBefore w:val="0"/>
        <w:widowControl w:val="0"/>
        <w:kinsoku/>
        <w:wordWrap/>
        <w:overflowPunct/>
        <w:topLinePunct w:val="0"/>
        <w:autoSpaceDE/>
        <w:autoSpaceDN/>
        <w:bidi w:val="0"/>
        <w:spacing w:line="560" w:lineRule="exact"/>
        <w:ind w:firstLine="643"/>
        <w:textAlignment w:val="auto"/>
        <w:rPr>
          <w:rFonts w:hint="eastAsia" w:ascii="仿宋_GB2312" w:hAnsi="仿宋_GB2312" w:cs="仿宋_GB2312"/>
          <w:b w:val="0"/>
          <w:bCs w:val="0"/>
        </w:rPr>
      </w:pPr>
      <w:r>
        <w:rPr>
          <w:rFonts w:hint="eastAsia" w:ascii="仿宋_GB2312" w:hAnsi="仿宋_GB2312" w:cs="仿宋_GB2312"/>
          <w:b w:val="0"/>
          <w:bCs w:val="0"/>
        </w:rPr>
        <w:t>3.</w:t>
      </w:r>
      <w:r>
        <w:rPr>
          <w:rFonts w:hint="eastAsia" w:ascii="仿宋_GB2312" w:hAnsi="仿宋_GB2312" w:cs="仿宋_GB2312"/>
          <w:b w:val="0"/>
          <w:bCs w:val="0"/>
          <w:lang w:val="en-US"/>
        </w:rPr>
        <w:t>缺乏</w:t>
      </w:r>
      <w:r>
        <w:rPr>
          <w:rFonts w:hint="eastAsia" w:ascii="仿宋_GB2312" w:hAnsi="仿宋_GB2312" w:cs="仿宋_GB2312"/>
          <w:b w:val="0"/>
          <w:bCs w:val="0"/>
        </w:rPr>
        <w:t>可行性论证，</w:t>
      </w:r>
      <w:r>
        <w:rPr>
          <w:rFonts w:hint="eastAsia" w:ascii="仿宋_GB2312" w:hAnsi="仿宋_GB2312" w:cs="仿宋_GB2312"/>
          <w:b w:val="0"/>
          <w:bCs w:val="0"/>
          <w:lang w:val="en-US" w:eastAsia="zh-CN"/>
        </w:rPr>
        <w:t>部分</w:t>
      </w:r>
      <w:r>
        <w:rPr>
          <w:rFonts w:hint="eastAsia" w:ascii="仿宋_GB2312" w:hAnsi="仿宋_GB2312" w:cs="仿宋_GB2312"/>
          <w:b w:val="0"/>
          <w:bCs w:val="0"/>
        </w:rPr>
        <w:t>设备闲置。</w:t>
      </w:r>
    </w:p>
    <w:p>
      <w:pPr>
        <w:pStyle w:val="3"/>
        <w:pageBreakBefore w:val="0"/>
        <w:widowControl w:val="0"/>
        <w:kinsoku/>
        <w:wordWrap/>
        <w:overflowPunct/>
        <w:topLinePunct w:val="0"/>
        <w:autoSpaceDE/>
        <w:autoSpaceDN/>
        <w:bidi w:val="0"/>
        <w:spacing w:line="560" w:lineRule="exact"/>
        <w:ind w:firstLine="643"/>
        <w:textAlignment w:val="auto"/>
        <w:rPr>
          <w:rFonts w:hint="eastAsia" w:ascii="仿宋_GB2312" w:hAnsi="仿宋_GB2312" w:cs="仿宋_GB2312"/>
          <w:b w:val="0"/>
          <w:bCs w:val="0"/>
          <w:szCs w:val="48"/>
        </w:rPr>
      </w:pPr>
      <w:r>
        <w:rPr>
          <w:rFonts w:hint="eastAsia" w:ascii="仿宋_GB2312" w:hAnsi="仿宋_GB2312" w:cs="仿宋_GB2312"/>
          <w:b w:val="0"/>
          <w:bCs w:val="0"/>
        </w:rPr>
        <w:t>4.经济效益</w:t>
      </w:r>
      <w:r>
        <w:rPr>
          <w:rFonts w:hint="eastAsia" w:ascii="仿宋_GB2312" w:hAnsi="仿宋_GB2312" w:cs="仿宋_GB2312"/>
          <w:b w:val="0"/>
          <w:bCs w:val="0"/>
          <w:lang w:val="en-US"/>
        </w:rPr>
        <w:t>论证不科学</w:t>
      </w:r>
      <w:r>
        <w:rPr>
          <w:rFonts w:hint="eastAsia" w:ascii="仿宋_GB2312" w:hAnsi="仿宋_GB2312" w:cs="仿宋_GB2312"/>
          <w:b w:val="0"/>
          <w:bCs w:val="0"/>
        </w:rPr>
        <w:t>，</w:t>
      </w:r>
      <w:r>
        <w:rPr>
          <w:rFonts w:hint="eastAsia" w:ascii="仿宋_GB2312" w:hAnsi="仿宋_GB2312" w:cs="仿宋_GB2312"/>
          <w:b w:val="0"/>
          <w:bCs w:val="0"/>
          <w:lang w:val="en-US" w:eastAsia="zh-CN"/>
        </w:rPr>
        <w:t>部分</w:t>
      </w:r>
      <w:r>
        <w:rPr>
          <w:rFonts w:hint="eastAsia" w:ascii="仿宋_GB2312" w:hAnsi="仿宋_GB2312" w:cs="仿宋_GB2312"/>
          <w:b w:val="0"/>
          <w:bCs w:val="0"/>
        </w:rPr>
        <w:t>设备收益远低于预期。</w:t>
      </w:r>
    </w:p>
    <w:bookmarkEnd w:id="30"/>
    <w:bookmarkEnd w:id="31"/>
    <w:bookmarkEnd w:id="32"/>
    <w:bookmarkEnd w:id="33"/>
    <w:bookmarkEnd w:id="34"/>
    <w:bookmarkEnd w:id="35"/>
    <w:bookmarkEnd w:id="36"/>
    <w:bookmarkEnd w:id="37"/>
    <w:p>
      <w:pPr>
        <w:pStyle w:val="4"/>
        <w:keepNext w:val="0"/>
        <w:keepLines w:val="0"/>
        <w:pageBreakBefore w:val="0"/>
        <w:widowControl w:val="0"/>
        <w:kinsoku/>
        <w:wordWrap/>
        <w:overflowPunct/>
        <w:topLinePunct w:val="0"/>
        <w:autoSpaceDE/>
        <w:autoSpaceDN/>
        <w:bidi w:val="0"/>
        <w:spacing w:before="0" w:after="0" w:line="560" w:lineRule="exact"/>
        <w:ind w:firstLine="643" w:firstLineChars="0"/>
        <w:textAlignment w:val="auto"/>
        <w:rPr>
          <w:rFonts w:hint="default" w:ascii="楷体_GB2312" w:hAnsi="楷体_GB2312" w:cs="楷体_GB2312"/>
          <w:b w:val="0"/>
          <w:bCs w:val="0"/>
        </w:rPr>
      </w:pPr>
      <w:bookmarkStart w:id="38" w:name="_Toc87476067"/>
      <w:bookmarkStart w:id="39" w:name="_Toc84348109"/>
      <w:r>
        <w:rPr>
          <w:rFonts w:hint="eastAsia"/>
          <w:b w:val="0"/>
          <w:bCs w:val="0"/>
          <w:lang w:val="en-US"/>
        </w:rPr>
        <w:t>（二）</w:t>
      </w:r>
      <w:bookmarkEnd w:id="38"/>
      <w:bookmarkEnd w:id="39"/>
      <w:r>
        <w:rPr>
          <w:rFonts w:hint="eastAsia" w:ascii="楷体_GB2312" w:hAnsi="楷体_GB2312" w:cs="楷体_GB2312"/>
          <w:b w:val="0"/>
          <w:bCs w:val="0"/>
        </w:rPr>
        <w:t>个别医疗设备与实际需求匹配度低</w:t>
      </w:r>
      <w:r>
        <w:rPr>
          <w:rFonts w:hint="default" w:ascii="楷体_GB2312" w:hAnsi="楷体_GB2312" w:cs="楷体_GB2312"/>
          <w:b w:val="0"/>
          <w:bCs w:val="0"/>
        </w:rPr>
        <w:t>。</w:t>
      </w:r>
    </w:p>
    <w:p>
      <w:pPr>
        <w:pStyle w:val="3"/>
        <w:pageBreakBefore w:val="0"/>
        <w:widowControl w:val="0"/>
        <w:kinsoku/>
        <w:wordWrap/>
        <w:overflowPunct/>
        <w:topLinePunct w:val="0"/>
        <w:autoSpaceDE/>
        <w:autoSpaceDN/>
        <w:bidi w:val="0"/>
        <w:spacing w:line="560" w:lineRule="exact"/>
        <w:ind w:firstLine="643"/>
        <w:textAlignment w:val="auto"/>
        <w:rPr>
          <w:b w:val="0"/>
          <w:bCs w:val="0"/>
        </w:rPr>
      </w:pPr>
      <w:r>
        <w:rPr>
          <w:rFonts w:hint="default"/>
          <w:b w:val="0"/>
          <w:bCs w:val="0"/>
        </w:rPr>
        <w:t>1.</w:t>
      </w:r>
      <w:r>
        <w:rPr>
          <w:b w:val="0"/>
          <w:bCs w:val="0"/>
          <w:lang w:val="en-US"/>
        </w:rPr>
        <w:t>为满足示范要求而配置的设备使用率低</w:t>
      </w:r>
      <w:r>
        <w:rPr>
          <w:rFonts w:hint="eastAsia"/>
          <w:b w:val="0"/>
          <w:bCs w:val="0"/>
        </w:rPr>
        <w:t>。</w:t>
      </w:r>
      <w:bookmarkStart w:id="40" w:name="_Hlk121753287"/>
      <w:r>
        <w:rPr>
          <w:rFonts w:hint="eastAsia"/>
          <w:b w:val="0"/>
          <w:bCs w:val="0"/>
          <w:lang w:val="en-US"/>
        </w:rPr>
        <w:t>根据《市卫生健康委关于开展深圳市示范社区健康服务中心评选活动的通知》要求配置</w:t>
      </w:r>
      <w:bookmarkEnd w:id="40"/>
      <w:r>
        <w:rPr>
          <w:rFonts w:hint="eastAsia"/>
          <w:b w:val="0"/>
          <w:bCs w:val="0"/>
          <w:lang w:val="en-US"/>
        </w:rPr>
        <w:t>低频治疗仪</w:t>
      </w:r>
      <w:r>
        <w:rPr>
          <w:rFonts w:hint="eastAsia"/>
          <w:b w:val="0"/>
          <w:bCs w:val="0"/>
          <w:lang w:val="en-US" w:eastAsia="zh-CN"/>
        </w:rPr>
        <w:t>，但设备</w:t>
      </w:r>
      <w:r>
        <w:rPr>
          <w:rFonts w:hint="eastAsia"/>
          <w:b w:val="0"/>
          <w:bCs w:val="0"/>
          <w:lang w:val="en-US"/>
        </w:rPr>
        <w:t>实际月均使用次数</w:t>
      </w:r>
      <w:r>
        <w:rPr>
          <w:rFonts w:hint="default"/>
          <w:b w:val="0"/>
          <w:bCs w:val="0"/>
        </w:rPr>
        <w:t>较少</w:t>
      </w:r>
      <w:r>
        <w:rPr>
          <w:rFonts w:hint="eastAsia" w:ascii="仿宋_GB2312"/>
          <w:b w:val="0"/>
          <w:bCs w:val="0"/>
        </w:rPr>
        <w:t>。</w:t>
      </w:r>
    </w:p>
    <w:p>
      <w:pPr>
        <w:pStyle w:val="3"/>
        <w:pageBreakBefore w:val="0"/>
        <w:widowControl w:val="0"/>
        <w:kinsoku/>
        <w:wordWrap/>
        <w:overflowPunct/>
        <w:topLinePunct w:val="0"/>
        <w:autoSpaceDE/>
        <w:autoSpaceDN/>
        <w:bidi w:val="0"/>
        <w:spacing w:line="560" w:lineRule="exact"/>
        <w:ind w:firstLine="643"/>
        <w:textAlignment w:val="auto"/>
        <w:rPr>
          <w:rFonts w:ascii="仿宋_GB2312" w:hAnsi="仿宋_GB2312" w:cs="仿宋_GB2312"/>
          <w:b w:val="0"/>
          <w:bCs w:val="0"/>
        </w:rPr>
      </w:pPr>
      <w:r>
        <w:rPr>
          <w:rFonts w:hint="default" w:ascii="仿宋_GB2312"/>
          <w:b w:val="0"/>
          <w:bCs w:val="0"/>
        </w:rPr>
        <w:t>2.</w:t>
      </w:r>
      <w:r>
        <w:rPr>
          <w:rFonts w:ascii="仿宋_GB2312" w:hAnsi="仿宋_GB2312" w:cs="仿宋_GB2312"/>
          <w:b w:val="0"/>
          <w:bCs w:val="0"/>
        </w:rPr>
        <w:t>为满足设置标准而配置的设备使用率低</w:t>
      </w:r>
      <w:r>
        <w:rPr>
          <w:rFonts w:hint="eastAsia" w:ascii="仿宋_GB2312" w:hAnsi="仿宋_GB2312" w:cs="仿宋_GB2312"/>
          <w:b w:val="0"/>
          <w:bCs w:val="0"/>
        </w:rPr>
        <w:t>。根据《深圳市社区健康服务机构设置标准》（深卫健规</w:t>
      </w:r>
      <w:r>
        <w:rPr>
          <w:rFonts w:hint="eastAsia"/>
          <w:b w:val="0"/>
          <w:bCs w:val="0"/>
          <w:lang w:val="en-US"/>
        </w:rPr>
        <w:t>〔2021〕3</w:t>
      </w:r>
      <w:r>
        <w:rPr>
          <w:rFonts w:ascii="仿宋_GB2312" w:hAnsi="仿宋_GB2312" w:cs="仿宋_GB2312"/>
          <w:b w:val="0"/>
          <w:bCs w:val="0"/>
        </w:rPr>
        <w:t>号）要求配置</w:t>
      </w:r>
      <w:r>
        <w:rPr>
          <w:rFonts w:hint="eastAsia" w:ascii="仿宋_GB2312" w:hAnsi="仿宋_GB2312" w:cs="仿宋_GB2312"/>
          <w:b w:val="0"/>
          <w:bCs w:val="0"/>
        </w:rPr>
        <w:t>血常规五分类分析仪</w:t>
      </w:r>
      <w:r>
        <w:rPr>
          <w:rFonts w:ascii="仿宋_GB2312" w:hAnsi="仿宋_GB2312" w:cs="仿宋_GB2312"/>
          <w:b w:val="0"/>
          <w:bCs w:val="0"/>
        </w:rPr>
        <w:t>，</w:t>
      </w:r>
      <w:r>
        <w:rPr>
          <w:rFonts w:hint="eastAsia" w:ascii="仿宋_GB2312" w:hAnsi="仿宋_GB2312" w:cs="仿宋_GB2312"/>
          <w:b w:val="0"/>
          <w:bCs w:val="0"/>
          <w:lang w:val="en-US" w:eastAsia="zh-CN"/>
        </w:rPr>
        <w:t>但设备</w:t>
      </w:r>
      <w:r>
        <w:rPr>
          <w:rFonts w:ascii="仿宋_GB2312" w:hAnsi="仿宋_GB2312" w:cs="仿宋_GB2312"/>
          <w:b w:val="0"/>
          <w:bCs w:val="0"/>
        </w:rPr>
        <w:t>实际月均使用次数</w:t>
      </w:r>
      <w:r>
        <w:rPr>
          <w:rFonts w:hint="default" w:ascii="仿宋_GB2312"/>
          <w:b w:val="0"/>
          <w:bCs w:val="0"/>
        </w:rPr>
        <w:t>较少</w:t>
      </w:r>
      <w:r>
        <w:rPr>
          <w:rFonts w:ascii="仿宋_GB2312" w:hAnsi="仿宋_GB2312" w:cs="仿宋_GB2312"/>
          <w:b w:val="0"/>
          <w:bCs w:val="0"/>
        </w:rPr>
        <w:t>。</w:t>
      </w:r>
    </w:p>
    <w:p>
      <w:pPr>
        <w:pStyle w:val="4"/>
        <w:pageBreakBefore w:val="0"/>
        <w:widowControl w:val="0"/>
        <w:kinsoku/>
        <w:wordWrap/>
        <w:overflowPunct/>
        <w:topLinePunct w:val="0"/>
        <w:autoSpaceDE/>
        <w:autoSpaceDN/>
        <w:bidi w:val="0"/>
        <w:spacing w:before="0" w:after="0" w:line="560" w:lineRule="exact"/>
        <w:ind w:firstLine="643"/>
        <w:textAlignment w:val="auto"/>
        <w:rPr>
          <w:rFonts w:hint="default"/>
          <w:b w:val="0"/>
          <w:bCs w:val="0"/>
        </w:rPr>
      </w:pPr>
      <w:bookmarkStart w:id="41" w:name="_Toc87476070"/>
      <w:bookmarkStart w:id="42" w:name="_Toc84348112"/>
      <w:bookmarkStart w:id="43" w:name="_Toc82158402"/>
      <w:r>
        <w:rPr>
          <w:rFonts w:hint="eastAsia"/>
          <w:b w:val="0"/>
          <w:bCs w:val="0"/>
          <w:lang w:val="en-US"/>
        </w:rPr>
        <w:t>（三）</w:t>
      </w:r>
      <w:bookmarkEnd w:id="41"/>
      <w:bookmarkEnd w:id="42"/>
      <w:bookmarkEnd w:id="43"/>
      <w:r>
        <w:rPr>
          <w:rFonts w:hint="eastAsia"/>
          <w:b w:val="0"/>
          <w:bCs w:val="0"/>
          <w:lang w:val="en-US"/>
        </w:rPr>
        <w:t>项目管理存在不足，债务风险预警也有待加强</w:t>
      </w:r>
      <w:r>
        <w:rPr>
          <w:rFonts w:hint="default"/>
          <w:b w:val="0"/>
          <w:bCs w:val="0"/>
        </w:rPr>
        <w:t>。</w:t>
      </w:r>
    </w:p>
    <w:p>
      <w:pPr>
        <w:pStyle w:val="3"/>
        <w:pageBreakBefore w:val="0"/>
        <w:widowControl w:val="0"/>
        <w:numPr>
          <w:ilvl w:val="0"/>
          <w:numId w:val="0"/>
        </w:numPr>
        <w:kinsoku/>
        <w:wordWrap/>
        <w:overflowPunct/>
        <w:topLinePunct w:val="0"/>
        <w:autoSpaceDE/>
        <w:autoSpaceDN/>
        <w:bidi w:val="0"/>
        <w:spacing w:line="560" w:lineRule="exact"/>
        <w:ind w:firstLine="640"/>
        <w:textAlignment w:val="auto"/>
        <w:rPr>
          <w:b w:val="0"/>
          <w:bCs w:val="0"/>
          <w:lang w:val="en-US"/>
        </w:rPr>
      </w:pPr>
      <w:r>
        <w:rPr>
          <w:rFonts w:hint="eastAsia" w:ascii="仿宋_GB2312" w:hAnsi="仿宋_GB2312" w:cs="仿宋_GB2312"/>
          <w:b w:val="0"/>
          <w:bCs w:val="0"/>
        </w:rPr>
        <w:t>1.</w:t>
      </w:r>
      <w:r>
        <w:rPr>
          <w:rFonts w:hint="eastAsia" w:ascii="仿宋_GB2312" w:hAnsi="仿宋_GB2312" w:cs="仿宋_GB2312"/>
          <w:b w:val="0"/>
          <w:bCs w:val="0"/>
          <w:lang w:val="en-US"/>
        </w:rPr>
        <w:t>项目</w:t>
      </w:r>
      <w:r>
        <w:rPr>
          <w:rFonts w:hAnsi="仿宋_GB2312" w:cs="仿宋_GB2312"/>
          <w:b w:val="0"/>
          <w:bCs w:val="0"/>
          <w:lang w:val="en-US"/>
        </w:rPr>
        <w:t>绩效目标设置不合理、不充分</w:t>
      </w:r>
      <w:r>
        <w:rPr>
          <w:rFonts w:hint="eastAsia" w:hAnsi="仿宋_GB2312" w:cs="仿宋_GB2312"/>
          <w:b w:val="0"/>
          <w:bCs w:val="0"/>
          <w:lang w:val="en-US"/>
        </w:rPr>
        <w:t>。</w:t>
      </w:r>
      <w:r>
        <w:rPr>
          <w:b/>
          <w:bCs/>
          <w:lang w:val="en-US"/>
        </w:rPr>
        <w:t>一是</w:t>
      </w:r>
      <w:r>
        <w:rPr>
          <w:b w:val="0"/>
          <w:bCs w:val="0"/>
          <w:lang w:val="en-US"/>
        </w:rPr>
        <w:t>绩效指标设置不充分，未能反映项目的关键性指标。</w:t>
      </w:r>
      <w:r>
        <w:rPr>
          <w:b/>
          <w:bCs/>
          <w:lang w:val="en-US"/>
        </w:rPr>
        <w:t>二是</w:t>
      </w:r>
      <w:r>
        <w:rPr>
          <w:b w:val="0"/>
          <w:bCs w:val="0"/>
          <w:lang w:val="en-US"/>
        </w:rPr>
        <w:t>指标值设置过低。</w:t>
      </w:r>
      <w:r>
        <w:rPr>
          <w:b/>
          <w:bCs/>
          <w:lang w:val="en-US"/>
        </w:rPr>
        <w:t>三是</w:t>
      </w:r>
      <w:r>
        <w:rPr>
          <w:b w:val="0"/>
          <w:bCs w:val="0"/>
          <w:lang w:val="en-US"/>
        </w:rPr>
        <w:t>所有项目均未设置经济效益指标。</w:t>
      </w:r>
      <w:r>
        <w:rPr>
          <w:b/>
          <w:bCs/>
          <w:i w:val="0"/>
          <w:iCs w:val="0"/>
          <w:lang w:val="en-US"/>
        </w:rPr>
        <w:t>四是</w:t>
      </w:r>
      <w:r>
        <w:rPr>
          <w:b w:val="0"/>
          <w:bCs w:val="0"/>
          <w:lang w:val="en-US"/>
        </w:rPr>
        <w:t>项目效益指标值不可衡量。</w:t>
      </w:r>
    </w:p>
    <w:p>
      <w:pPr>
        <w:pStyle w:val="3"/>
        <w:pageBreakBefore w:val="0"/>
        <w:widowControl w:val="0"/>
        <w:kinsoku/>
        <w:wordWrap/>
        <w:overflowPunct/>
        <w:topLinePunct w:val="0"/>
        <w:autoSpaceDE/>
        <w:autoSpaceDN/>
        <w:bidi w:val="0"/>
        <w:spacing w:line="560" w:lineRule="exact"/>
        <w:ind w:firstLine="643"/>
        <w:textAlignment w:val="auto"/>
        <w:rPr>
          <w:rFonts w:ascii="仿宋_GB2312"/>
          <w:b w:val="0"/>
          <w:bCs w:val="0"/>
        </w:rPr>
      </w:pPr>
      <w:r>
        <w:rPr>
          <w:rFonts w:hint="eastAsia" w:ascii="仿宋_GB2312" w:hAnsi="仿宋_GB2312" w:cs="仿宋_GB2312"/>
          <w:b w:val="0"/>
          <w:bCs w:val="0"/>
        </w:rPr>
        <w:t>2.项目</w:t>
      </w:r>
      <w:r>
        <w:rPr>
          <w:b w:val="0"/>
          <w:bCs w:val="0"/>
        </w:rPr>
        <w:t>监管机制不完善</w:t>
      </w:r>
      <w:r>
        <w:rPr>
          <w:rFonts w:hint="eastAsia"/>
          <w:b w:val="0"/>
          <w:bCs w:val="0"/>
        </w:rPr>
        <w:t>。</w:t>
      </w:r>
      <w:r>
        <w:rPr>
          <w:b w:val="0"/>
          <w:bCs w:val="0"/>
          <w:lang w:val="en-US"/>
        </w:rPr>
        <w:t>医疗</w:t>
      </w:r>
      <w:r>
        <w:rPr>
          <w:rFonts w:hint="eastAsia"/>
          <w:b w:val="0"/>
          <w:bCs w:val="0"/>
          <w:lang w:val="en-US"/>
        </w:rPr>
        <w:t>健康</w:t>
      </w:r>
      <w:r>
        <w:rPr>
          <w:b w:val="0"/>
          <w:bCs w:val="0"/>
          <w:lang w:val="en-US"/>
        </w:rPr>
        <w:t>集团</w:t>
      </w:r>
      <w:r>
        <w:rPr>
          <w:rFonts w:hint="eastAsia"/>
          <w:b w:val="0"/>
          <w:bCs w:val="0"/>
          <w:lang w:val="en-US"/>
        </w:rPr>
        <w:t>本级对医疗设备验收、入库、使用、维修保养等环节缺少有力的监管措施，监管机制不完善导致无法及时掌握设备后续使用过程出现的问题信息。</w:t>
      </w:r>
    </w:p>
    <w:p>
      <w:pPr>
        <w:pStyle w:val="2"/>
        <w:pageBreakBefore w:val="0"/>
        <w:widowControl w:val="0"/>
        <w:kinsoku/>
        <w:wordWrap/>
        <w:overflowPunct/>
        <w:topLinePunct w:val="0"/>
        <w:autoSpaceDE/>
        <w:autoSpaceDN/>
        <w:bidi w:val="0"/>
        <w:spacing w:before="0" w:after="0" w:line="560" w:lineRule="exact"/>
        <w:ind w:firstLine="640"/>
        <w:textAlignment w:val="auto"/>
        <w:rPr>
          <w:lang w:val="en-US"/>
        </w:rPr>
      </w:pPr>
      <w:bookmarkStart w:id="44" w:name="_Toc82158403"/>
      <w:bookmarkStart w:id="45" w:name="_Toc84348115"/>
      <w:bookmarkStart w:id="46" w:name="_Toc81498008"/>
      <w:bookmarkStart w:id="47" w:name="_Toc87476073"/>
      <w:r>
        <w:rPr>
          <w:rFonts w:hint="default"/>
        </w:rPr>
        <w:t>四</w:t>
      </w:r>
      <w:r>
        <w:rPr>
          <w:rFonts w:hint="eastAsia"/>
          <w:lang w:val="en-US"/>
        </w:rPr>
        <w:t>、</w:t>
      </w:r>
      <w:r>
        <w:rPr>
          <w:rFonts w:hint="default"/>
        </w:rPr>
        <w:t>改进</w:t>
      </w:r>
      <w:r>
        <w:rPr>
          <w:rFonts w:hint="eastAsia"/>
          <w:lang w:val="en-US"/>
        </w:rPr>
        <w:t>建议</w:t>
      </w:r>
      <w:bookmarkEnd w:id="44"/>
      <w:bookmarkEnd w:id="45"/>
      <w:bookmarkEnd w:id="46"/>
      <w:bookmarkEnd w:id="47"/>
    </w:p>
    <w:p>
      <w:pPr>
        <w:pStyle w:val="4"/>
        <w:pageBreakBefore w:val="0"/>
        <w:widowControl w:val="0"/>
        <w:kinsoku/>
        <w:wordWrap/>
        <w:overflowPunct/>
        <w:topLinePunct w:val="0"/>
        <w:autoSpaceDE/>
        <w:autoSpaceDN/>
        <w:bidi w:val="0"/>
        <w:spacing w:before="0" w:after="0" w:line="560" w:lineRule="exact"/>
        <w:ind w:firstLine="643"/>
        <w:textAlignment w:val="auto"/>
        <w:rPr>
          <w:rFonts w:hint="default"/>
          <w:b w:val="0"/>
          <w:bCs w:val="0"/>
        </w:rPr>
      </w:pPr>
      <w:bookmarkStart w:id="48" w:name="_Toc87476074"/>
      <w:bookmarkStart w:id="49" w:name="_Toc84348116"/>
      <w:r>
        <w:rPr>
          <w:rFonts w:hint="eastAsia"/>
          <w:b w:val="0"/>
          <w:bCs w:val="0"/>
          <w:lang w:val="en-US"/>
        </w:rPr>
        <w:t>（一）</w:t>
      </w:r>
      <w:bookmarkEnd w:id="48"/>
      <w:bookmarkEnd w:id="49"/>
      <w:r>
        <w:rPr>
          <w:rFonts w:hint="eastAsia"/>
          <w:b w:val="0"/>
          <w:bCs w:val="0"/>
        </w:rPr>
        <w:t>加强医疗设备管理，健全资产绩效管理制度</w:t>
      </w:r>
      <w:r>
        <w:rPr>
          <w:rFonts w:hint="default"/>
          <w:b w:val="0"/>
          <w:bCs w:val="0"/>
        </w:rPr>
        <w:t>。</w:t>
      </w:r>
    </w:p>
    <w:p>
      <w:pPr>
        <w:pStyle w:val="3"/>
        <w:pageBreakBefore w:val="0"/>
        <w:widowControl w:val="0"/>
        <w:kinsoku/>
        <w:wordWrap/>
        <w:overflowPunct/>
        <w:topLinePunct w:val="0"/>
        <w:autoSpaceDE/>
        <w:autoSpaceDN/>
        <w:bidi w:val="0"/>
        <w:spacing w:line="560" w:lineRule="exact"/>
        <w:ind w:firstLine="643"/>
        <w:textAlignment w:val="auto"/>
        <w:rPr>
          <w:rFonts w:ascii="仿宋_GB2312"/>
          <w:b w:val="0"/>
          <w:bCs w:val="0"/>
        </w:rPr>
      </w:pPr>
      <w:r>
        <w:rPr>
          <w:rFonts w:hint="eastAsia" w:ascii="仿宋_GB2312"/>
          <w:b/>
          <w:bCs/>
          <w:lang w:val="en-US"/>
        </w:rPr>
        <w:t>一是</w:t>
      </w:r>
      <w:r>
        <w:rPr>
          <w:rFonts w:hint="eastAsia" w:ascii="仿宋_GB2312"/>
          <w:b w:val="0"/>
          <w:bCs w:val="0"/>
          <w:lang w:val="en-US"/>
        </w:rPr>
        <w:t>建</w:t>
      </w:r>
      <w:r>
        <w:rPr>
          <w:rFonts w:ascii="仿宋_GB2312"/>
          <w:b w:val="0"/>
          <w:bCs w:val="0"/>
          <w:lang w:val="en-US"/>
        </w:rPr>
        <w:t>立医疗设备效益分析管理制度</w:t>
      </w:r>
      <w:r>
        <w:rPr>
          <w:rFonts w:hint="eastAsia" w:ascii="仿宋_GB2312"/>
          <w:b w:val="0"/>
          <w:bCs w:val="0"/>
          <w:lang w:val="en-US"/>
        </w:rPr>
        <w:t>。</w:t>
      </w:r>
      <w:r>
        <w:rPr>
          <w:rFonts w:hint="eastAsia"/>
          <w:b/>
          <w:bCs/>
        </w:rPr>
        <w:t>二是</w:t>
      </w:r>
      <w:r>
        <w:rPr>
          <w:b w:val="0"/>
          <w:bCs w:val="0"/>
        </w:rPr>
        <w:t>全面盘查医疗设备资产，建立医疗设备统计台账</w:t>
      </w:r>
      <w:r>
        <w:rPr>
          <w:rFonts w:hint="eastAsia"/>
          <w:b w:val="0"/>
          <w:bCs w:val="0"/>
        </w:rPr>
        <w:t>。</w:t>
      </w:r>
    </w:p>
    <w:p>
      <w:pPr>
        <w:pStyle w:val="4"/>
        <w:pageBreakBefore w:val="0"/>
        <w:widowControl w:val="0"/>
        <w:kinsoku/>
        <w:wordWrap/>
        <w:overflowPunct/>
        <w:topLinePunct w:val="0"/>
        <w:autoSpaceDE/>
        <w:autoSpaceDN/>
        <w:bidi w:val="0"/>
        <w:spacing w:before="0" w:after="0" w:line="560" w:lineRule="exact"/>
        <w:ind w:firstLine="643"/>
        <w:textAlignment w:val="auto"/>
        <w:rPr>
          <w:rFonts w:hint="default"/>
          <w:b w:val="0"/>
          <w:bCs w:val="0"/>
        </w:rPr>
      </w:pPr>
      <w:bookmarkStart w:id="50" w:name="_Toc87476075"/>
      <w:bookmarkStart w:id="51" w:name="_Toc84348117"/>
      <w:r>
        <w:rPr>
          <w:rFonts w:hint="eastAsia"/>
          <w:b w:val="0"/>
          <w:bCs w:val="0"/>
          <w:lang w:val="en-US"/>
        </w:rPr>
        <w:t>（二）</w:t>
      </w:r>
      <w:bookmarkEnd w:id="50"/>
      <w:bookmarkEnd w:id="51"/>
      <w:r>
        <w:rPr>
          <w:rFonts w:hint="eastAsia"/>
          <w:b w:val="0"/>
          <w:bCs w:val="0"/>
          <w:lang w:val="en-US"/>
        </w:rPr>
        <w:t>加强设备全过程管理，建立医疗设备采购管理制度</w:t>
      </w:r>
      <w:r>
        <w:rPr>
          <w:rFonts w:hint="default"/>
          <w:b w:val="0"/>
          <w:bCs w:val="0"/>
        </w:rPr>
        <w:t>。</w:t>
      </w:r>
    </w:p>
    <w:p>
      <w:pPr>
        <w:pStyle w:val="3"/>
        <w:pageBreakBefore w:val="0"/>
        <w:widowControl w:val="0"/>
        <w:kinsoku/>
        <w:wordWrap/>
        <w:overflowPunct/>
        <w:topLinePunct w:val="0"/>
        <w:autoSpaceDE/>
        <w:autoSpaceDN/>
        <w:bidi w:val="0"/>
        <w:spacing w:line="560" w:lineRule="exact"/>
        <w:ind w:firstLine="643"/>
        <w:textAlignment w:val="auto"/>
        <w:rPr>
          <w:rFonts w:hint="eastAsia" w:ascii="仿宋_GB2312"/>
          <w:b w:val="0"/>
          <w:bCs w:val="0"/>
        </w:rPr>
      </w:pPr>
      <w:r>
        <w:rPr>
          <w:rFonts w:hint="eastAsia" w:ascii="仿宋_GB2312"/>
          <w:b/>
          <w:bCs/>
        </w:rPr>
        <w:t>一是</w:t>
      </w:r>
      <w:r>
        <w:rPr>
          <w:b w:val="0"/>
          <w:bCs w:val="0"/>
        </w:rPr>
        <w:t>扎实做好设备采购的可行性分析</w:t>
      </w:r>
      <w:r>
        <w:rPr>
          <w:rFonts w:hint="eastAsia"/>
          <w:b w:val="0"/>
          <w:bCs w:val="0"/>
        </w:rPr>
        <w:t>。</w:t>
      </w:r>
      <w:r>
        <w:rPr>
          <w:rFonts w:hint="eastAsia"/>
          <w:b/>
          <w:bCs/>
          <w:lang w:val="en-US"/>
        </w:rPr>
        <w:t>二是</w:t>
      </w:r>
      <w:r>
        <w:rPr>
          <w:rFonts w:hint="eastAsia"/>
          <w:b w:val="0"/>
          <w:bCs w:val="0"/>
          <w:lang w:val="en-US"/>
        </w:rPr>
        <w:t>建立医疗设备采购管理制度</w:t>
      </w:r>
      <w:r>
        <w:rPr>
          <w:rFonts w:hint="eastAsia"/>
          <w:b w:val="0"/>
          <w:bCs w:val="0"/>
        </w:rPr>
        <w:t>。</w:t>
      </w:r>
      <w:r>
        <w:rPr>
          <w:rFonts w:hint="eastAsia"/>
          <w:b/>
          <w:bCs/>
        </w:rPr>
        <w:t>三是</w:t>
      </w:r>
      <w:r>
        <w:rPr>
          <w:rFonts w:hint="eastAsia"/>
          <w:b w:val="0"/>
          <w:bCs w:val="0"/>
        </w:rPr>
        <w:t>构建医疗设备信息共享库。</w:t>
      </w:r>
    </w:p>
    <w:sectPr>
      <w:footerReference r:id="rId3" w:type="default"/>
      <w:pgSz w:w="11906" w:h="16838"/>
      <w:pgMar w:top="2098" w:right="1474" w:bottom="1984" w:left="1587" w:header="708" w:footer="708"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C059"/>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altName w:val="C059"/>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95045"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95045" cy="1828800"/>
                      </a:xfrm>
                      <a:prstGeom prst="rect">
                        <a:avLst/>
                      </a:prstGeom>
                      <a:noFill/>
                      <a:ln w="6350">
                        <a:noFill/>
                      </a:ln>
                      <a:effectLst/>
                    </wps:spPr>
                    <wps:txbx>
                      <w:txbxContent>
                        <w:p>
                          <w:pPr>
                            <w:pStyle w:val="15"/>
                            <w:jc w:val="center"/>
                            <w:rPr>
                              <w:rFonts w:ascii="宋体" w:hAnsi="宋体" w:eastAsia="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p>
                          <w:pPr>
                            <w:pStyle w:val="10"/>
                            <w:ind w:left="1470" w:right="1470" w:firstLine="640"/>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78.35pt;mso-position-horizontal:outside;mso-position-horizontal-relative:margin;z-index:251659264;mso-width-relative:page;mso-height-relative:page;" filled="f" stroked="f" coordsize="21600,21600" o:gfxdata="UEsFBgAAAAAAAAAAAAAAAAAAAAAAAFBLAwQKAAAAAACHTuJAAAAAAAAAAAAAAAAABAAAAGRycy9Q&#10;SwMEFAAAAAgAh07iQD2wtbbUAAAABQEAAA8AAABkcnMvZG93bnJldi54bWxNjzFPwzAQhXck/oN1&#10;SGzUbiVKFOJ0qKADTKQVYrzGlzg0PkexmxZ+PS4LLCc9vbv3vitWZ9eLicbQedYwnykQxLU3Hbca&#10;dtvnuwxEiMgGe8+k4YsCrMrrqwJz40/8RlMVW5FCOOSowcY45FKG2pLDMPMDcfIaPzqMSY6tNCOe&#10;Urjr5UKppXTYcWqwONDaUn2oji5hvL8qt/lu7Id7wSZUdjttnj61vr2Zq0cQkc7xbxku+OkGysS0&#10;90c2QfQa0iPxd168++UDiL2GRZYpkGUh/9OXP1BLAwQUAAAACACHTuJAEoJPbToCAABmBAAADgAA&#10;AGRycy9lMm9Eb2MueG1srVTNbhMxEL4j8Q6W72Q3gVRplE0VGgUhRbRSQZwdr7e7kv+wne6WB4A3&#10;4NQLd54rz8FnbzZFhUMPXLzjmfE3830e7+KiU5LcCecbows6HuWUCM1N2ejbgn76uHk1o8QHpksm&#10;jRYFvReeXixfvli0di4mpjayFI4ARPt5awtah2DnWeZ5LRTzI2OFRrAyTrGArbvNSsdaoCuZTfL8&#10;LGuNK60zXHgP77oP0iOiew6gqaqGi7XheyV06FGdkCyAkq8b6+kydVtVgoerqvIiEFlQMA1pRRHY&#10;u7hmywWb3zpm64YfW2DPaeEJJ8UajaInqDULjOxd8xeUargz3lRhxI3KeiJJEbAY50+0uamZFYkL&#10;pPb2JLr/f7D8w921I02JSYAkminc+OHH98PDr8PPbwQ+CNRaP0fejUVm6N6aDsmD38MZeXeVU/EL&#10;RgRxYN2f5BVdIBzO8/Np/mZKCUdoPJvMZnmCzx5PW+fDO2EUiUZBHa4vqcrutj6gE6QOKbGYNptG&#10;ynSFUpO2oGevp3k6cIrghNQxV6RhOMJERn3n0QrdrjvS3JnyHiyd6QfFW75p0MqW+XDNHCYDxPB2&#10;whWWShqUNEeLktq4r//yx3xcGKKUtJi0gvove+YEJfK9xlUCMgyGG4zdYOi9ujQY3jFepeXJxAEX&#10;5GBWzqjPeFKrWAUhpjlqFTQM5mXo5x1PkovVKiVh+CwLW31jeYSOAnm72gcImnSOsvRaQPS4wfgl&#10;+Y9PJc73n/uU9fh7WP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PbC1ttQAAAAFAQAADwAAAAAA&#10;AAABACAAAAA4AAAAZHJzL2Rvd25yZXYueG1sUEsBAhQAFAAAAAgAh07iQBKCT206AgAAZgQAAA4A&#10;AAAAAAAAAQAgAAAAOQEAAGRycy9lMm9Eb2MueG1sUEsFBgAAAAAGAAYAWQEAAOUFAAAAAA==&#10;">
              <v:fill on="f" focussize="0,0"/>
              <v:stroke on="f" weight="0.5pt"/>
              <v:imagedata o:title=""/>
              <o:lock v:ext="edit" aspectratio="f"/>
              <v:textbox inset="0mm,0mm,0mm,0mm" style="mso-fit-shape-to-text:t;">
                <w:txbxContent>
                  <w:p>
                    <w:pPr>
                      <w:pStyle w:val="15"/>
                      <w:jc w:val="center"/>
                      <w:rPr>
                        <w:rFonts w:ascii="宋体" w:hAnsi="宋体" w:eastAsia="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p>
                  <w:p>
                    <w:pPr>
                      <w:pStyle w:val="10"/>
                      <w:ind w:left="1470" w:right="1470" w:firstLine="640"/>
                    </w:pPr>
                  </w:p>
                </w:txbxContent>
              </v:textbox>
            </v:shape>
          </w:pict>
        </mc:Fallback>
      </mc:AlternateContent>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zNGU5ZmI3NDgwZjliYmYzY2QzMWRhMmUwMjRhZjcifQ=="/>
  </w:docVars>
  <w:rsids>
    <w:rsidRoot w:val="00543D6F"/>
    <w:rsid w:val="000059DC"/>
    <w:rsid w:val="00006916"/>
    <w:rsid w:val="00012836"/>
    <w:rsid w:val="00012A82"/>
    <w:rsid w:val="00013E75"/>
    <w:rsid w:val="00014E42"/>
    <w:rsid w:val="00020602"/>
    <w:rsid w:val="000216DD"/>
    <w:rsid w:val="000229BF"/>
    <w:rsid w:val="00022CCE"/>
    <w:rsid w:val="00024383"/>
    <w:rsid w:val="00025FB8"/>
    <w:rsid w:val="00031714"/>
    <w:rsid w:val="000363A8"/>
    <w:rsid w:val="000363D0"/>
    <w:rsid w:val="00036A6C"/>
    <w:rsid w:val="00036EED"/>
    <w:rsid w:val="00037B58"/>
    <w:rsid w:val="00040F66"/>
    <w:rsid w:val="0004180A"/>
    <w:rsid w:val="00042AD9"/>
    <w:rsid w:val="00042C33"/>
    <w:rsid w:val="00043A45"/>
    <w:rsid w:val="0004631B"/>
    <w:rsid w:val="00046DC9"/>
    <w:rsid w:val="000472D4"/>
    <w:rsid w:val="000472E1"/>
    <w:rsid w:val="000502B1"/>
    <w:rsid w:val="00050675"/>
    <w:rsid w:val="00051DA7"/>
    <w:rsid w:val="000537CC"/>
    <w:rsid w:val="00054F06"/>
    <w:rsid w:val="00056350"/>
    <w:rsid w:val="00060846"/>
    <w:rsid w:val="0006092F"/>
    <w:rsid w:val="00062733"/>
    <w:rsid w:val="00062E06"/>
    <w:rsid w:val="00065006"/>
    <w:rsid w:val="00065FEE"/>
    <w:rsid w:val="000665FF"/>
    <w:rsid w:val="00066962"/>
    <w:rsid w:val="00066CC5"/>
    <w:rsid w:val="00067841"/>
    <w:rsid w:val="0006791C"/>
    <w:rsid w:val="00070F6D"/>
    <w:rsid w:val="00071033"/>
    <w:rsid w:val="00072096"/>
    <w:rsid w:val="00072FD8"/>
    <w:rsid w:val="00073346"/>
    <w:rsid w:val="00074219"/>
    <w:rsid w:val="000755FE"/>
    <w:rsid w:val="000756FC"/>
    <w:rsid w:val="00076E45"/>
    <w:rsid w:val="00080DCF"/>
    <w:rsid w:val="000814C9"/>
    <w:rsid w:val="00085269"/>
    <w:rsid w:val="0008564F"/>
    <w:rsid w:val="00090534"/>
    <w:rsid w:val="00091E2B"/>
    <w:rsid w:val="00092880"/>
    <w:rsid w:val="00094E96"/>
    <w:rsid w:val="000963B8"/>
    <w:rsid w:val="000966DC"/>
    <w:rsid w:val="000967FF"/>
    <w:rsid w:val="00097315"/>
    <w:rsid w:val="00097B00"/>
    <w:rsid w:val="000A2EA3"/>
    <w:rsid w:val="000A3C1C"/>
    <w:rsid w:val="000B066C"/>
    <w:rsid w:val="000B12B5"/>
    <w:rsid w:val="000B18F6"/>
    <w:rsid w:val="000B25F2"/>
    <w:rsid w:val="000B262B"/>
    <w:rsid w:val="000B429D"/>
    <w:rsid w:val="000B4F8A"/>
    <w:rsid w:val="000B5735"/>
    <w:rsid w:val="000C0C60"/>
    <w:rsid w:val="000C31FD"/>
    <w:rsid w:val="000C3DF7"/>
    <w:rsid w:val="000C4185"/>
    <w:rsid w:val="000C5E49"/>
    <w:rsid w:val="000C5EF7"/>
    <w:rsid w:val="000C7B3E"/>
    <w:rsid w:val="000D024F"/>
    <w:rsid w:val="000D16CA"/>
    <w:rsid w:val="000D2783"/>
    <w:rsid w:val="000D2801"/>
    <w:rsid w:val="000D6179"/>
    <w:rsid w:val="000D63A7"/>
    <w:rsid w:val="000E1C65"/>
    <w:rsid w:val="000E2128"/>
    <w:rsid w:val="000E460F"/>
    <w:rsid w:val="000E491B"/>
    <w:rsid w:val="000E4BB6"/>
    <w:rsid w:val="000E514F"/>
    <w:rsid w:val="000E55AF"/>
    <w:rsid w:val="000E5ECD"/>
    <w:rsid w:val="000E5F97"/>
    <w:rsid w:val="000F0728"/>
    <w:rsid w:val="000F08AE"/>
    <w:rsid w:val="000F122A"/>
    <w:rsid w:val="000F2020"/>
    <w:rsid w:val="000F280C"/>
    <w:rsid w:val="000F2FD1"/>
    <w:rsid w:val="000F3923"/>
    <w:rsid w:val="000F45F6"/>
    <w:rsid w:val="000F4D41"/>
    <w:rsid w:val="000F5700"/>
    <w:rsid w:val="000F605D"/>
    <w:rsid w:val="000F68C2"/>
    <w:rsid w:val="000F744F"/>
    <w:rsid w:val="00101589"/>
    <w:rsid w:val="001021DD"/>
    <w:rsid w:val="001022C8"/>
    <w:rsid w:val="00104C65"/>
    <w:rsid w:val="00105396"/>
    <w:rsid w:val="001078B8"/>
    <w:rsid w:val="00107ACE"/>
    <w:rsid w:val="00110EB1"/>
    <w:rsid w:val="00111628"/>
    <w:rsid w:val="00112859"/>
    <w:rsid w:val="00113515"/>
    <w:rsid w:val="00113C1F"/>
    <w:rsid w:val="0011416F"/>
    <w:rsid w:val="00114717"/>
    <w:rsid w:val="00114D3A"/>
    <w:rsid w:val="0011684F"/>
    <w:rsid w:val="00117920"/>
    <w:rsid w:val="00117B29"/>
    <w:rsid w:val="0012002E"/>
    <w:rsid w:val="00120123"/>
    <w:rsid w:val="00121CC1"/>
    <w:rsid w:val="00122001"/>
    <w:rsid w:val="00123878"/>
    <w:rsid w:val="00124DAD"/>
    <w:rsid w:val="0012622F"/>
    <w:rsid w:val="0012674F"/>
    <w:rsid w:val="001268CE"/>
    <w:rsid w:val="00126F84"/>
    <w:rsid w:val="00126FA7"/>
    <w:rsid w:val="00132896"/>
    <w:rsid w:val="00133612"/>
    <w:rsid w:val="00134CEB"/>
    <w:rsid w:val="00136A3C"/>
    <w:rsid w:val="00141442"/>
    <w:rsid w:val="00141555"/>
    <w:rsid w:val="00142337"/>
    <w:rsid w:val="00142A1B"/>
    <w:rsid w:val="00142F76"/>
    <w:rsid w:val="00145269"/>
    <w:rsid w:val="00145991"/>
    <w:rsid w:val="001521C3"/>
    <w:rsid w:val="001559EE"/>
    <w:rsid w:val="00156778"/>
    <w:rsid w:val="001612AA"/>
    <w:rsid w:val="001618F9"/>
    <w:rsid w:val="00163135"/>
    <w:rsid w:val="00163336"/>
    <w:rsid w:val="00164627"/>
    <w:rsid w:val="00165485"/>
    <w:rsid w:val="0016692A"/>
    <w:rsid w:val="00167D16"/>
    <w:rsid w:val="001703E2"/>
    <w:rsid w:val="00170453"/>
    <w:rsid w:val="00170DE9"/>
    <w:rsid w:val="001716B7"/>
    <w:rsid w:val="00172BD6"/>
    <w:rsid w:val="0018181F"/>
    <w:rsid w:val="00181C2A"/>
    <w:rsid w:val="00181EE1"/>
    <w:rsid w:val="001858C7"/>
    <w:rsid w:val="00185994"/>
    <w:rsid w:val="00187022"/>
    <w:rsid w:val="001921FA"/>
    <w:rsid w:val="00192212"/>
    <w:rsid w:val="0019251A"/>
    <w:rsid w:val="00192D02"/>
    <w:rsid w:val="00192E39"/>
    <w:rsid w:val="001936FF"/>
    <w:rsid w:val="00194203"/>
    <w:rsid w:val="00194F63"/>
    <w:rsid w:val="0019509B"/>
    <w:rsid w:val="0019557A"/>
    <w:rsid w:val="00197D70"/>
    <w:rsid w:val="001A07A3"/>
    <w:rsid w:val="001A0829"/>
    <w:rsid w:val="001A10A1"/>
    <w:rsid w:val="001A1CAE"/>
    <w:rsid w:val="001A3912"/>
    <w:rsid w:val="001A39FE"/>
    <w:rsid w:val="001A4A4F"/>
    <w:rsid w:val="001A5A71"/>
    <w:rsid w:val="001A5BCC"/>
    <w:rsid w:val="001A6DD1"/>
    <w:rsid w:val="001B0205"/>
    <w:rsid w:val="001B1033"/>
    <w:rsid w:val="001B1163"/>
    <w:rsid w:val="001B1393"/>
    <w:rsid w:val="001B3F0A"/>
    <w:rsid w:val="001B6ABE"/>
    <w:rsid w:val="001B7AB0"/>
    <w:rsid w:val="001C5C18"/>
    <w:rsid w:val="001C7C7B"/>
    <w:rsid w:val="001D3804"/>
    <w:rsid w:val="001D4344"/>
    <w:rsid w:val="001E1B45"/>
    <w:rsid w:val="001E405A"/>
    <w:rsid w:val="001E6201"/>
    <w:rsid w:val="001E64A6"/>
    <w:rsid w:val="001E65E8"/>
    <w:rsid w:val="001E7EF4"/>
    <w:rsid w:val="001F0071"/>
    <w:rsid w:val="001F36C7"/>
    <w:rsid w:val="001F3BDC"/>
    <w:rsid w:val="001F51B6"/>
    <w:rsid w:val="001F552E"/>
    <w:rsid w:val="001F572D"/>
    <w:rsid w:val="001F579E"/>
    <w:rsid w:val="001F5E77"/>
    <w:rsid w:val="001F6C30"/>
    <w:rsid w:val="001F7CBD"/>
    <w:rsid w:val="002004CB"/>
    <w:rsid w:val="00200A52"/>
    <w:rsid w:val="00202A48"/>
    <w:rsid w:val="002033DF"/>
    <w:rsid w:val="00203B38"/>
    <w:rsid w:val="00204982"/>
    <w:rsid w:val="00205261"/>
    <w:rsid w:val="00205308"/>
    <w:rsid w:val="00205B13"/>
    <w:rsid w:val="002073DD"/>
    <w:rsid w:val="00210168"/>
    <w:rsid w:val="00210368"/>
    <w:rsid w:val="00210F48"/>
    <w:rsid w:val="0021111B"/>
    <w:rsid w:val="00214E94"/>
    <w:rsid w:val="00216E93"/>
    <w:rsid w:val="00217887"/>
    <w:rsid w:val="00220684"/>
    <w:rsid w:val="0022142F"/>
    <w:rsid w:val="00222601"/>
    <w:rsid w:val="00222E6C"/>
    <w:rsid w:val="00225A85"/>
    <w:rsid w:val="00225EAC"/>
    <w:rsid w:val="00226EC7"/>
    <w:rsid w:val="00226F28"/>
    <w:rsid w:val="0022717E"/>
    <w:rsid w:val="002303B5"/>
    <w:rsid w:val="002312BB"/>
    <w:rsid w:val="00232240"/>
    <w:rsid w:val="002332A5"/>
    <w:rsid w:val="0023409A"/>
    <w:rsid w:val="00235072"/>
    <w:rsid w:val="00237FDD"/>
    <w:rsid w:val="00240572"/>
    <w:rsid w:val="00241846"/>
    <w:rsid w:val="002420DC"/>
    <w:rsid w:val="002431F9"/>
    <w:rsid w:val="00243E74"/>
    <w:rsid w:val="002460C2"/>
    <w:rsid w:val="0024761A"/>
    <w:rsid w:val="00247BFD"/>
    <w:rsid w:val="00247ECB"/>
    <w:rsid w:val="00251273"/>
    <w:rsid w:val="002518A0"/>
    <w:rsid w:val="00251BDB"/>
    <w:rsid w:val="00253920"/>
    <w:rsid w:val="00254339"/>
    <w:rsid w:val="002558D8"/>
    <w:rsid w:val="00256F93"/>
    <w:rsid w:val="002572E8"/>
    <w:rsid w:val="0025741F"/>
    <w:rsid w:val="00260168"/>
    <w:rsid w:val="00260726"/>
    <w:rsid w:val="002623DC"/>
    <w:rsid w:val="00264871"/>
    <w:rsid w:val="0026565F"/>
    <w:rsid w:val="00265795"/>
    <w:rsid w:val="00266BF2"/>
    <w:rsid w:val="00266E57"/>
    <w:rsid w:val="002706AF"/>
    <w:rsid w:val="00271B22"/>
    <w:rsid w:val="00272180"/>
    <w:rsid w:val="00272ADC"/>
    <w:rsid w:val="00275CD1"/>
    <w:rsid w:val="00276E5C"/>
    <w:rsid w:val="0027724D"/>
    <w:rsid w:val="0028079D"/>
    <w:rsid w:val="002847EE"/>
    <w:rsid w:val="00285928"/>
    <w:rsid w:val="002861B3"/>
    <w:rsid w:val="00286C5F"/>
    <w:rsid w:val="00286EF0"/>
    <w:rsid w:val="00291C3B"/>
    <w:rsid w:val="00293904"/>
    <w:rsid w:val="00294875"/>
    <w:rsid w:val="00294FDB"/>
    <w:rsid w:val="002966C6"/>
    <w:rsid w:val="00296AC0"/>
    <w:rsid w:val="00296C33"/>
    <w:rsid w:val="002A2374"/>
    <w:rsid w:val="002A3DE9"/>
    <w:rsid w:val="002A52AF"/>
    <w:rsid w:val="002A7523"/>
    <w:rsid w:val="002B13B3"/>
    <w:rsid w:val="002B18B9"/>
    <w:rsid w:val="002B2073"/>
    <w:rsid w:val="002B33F6"/>
    <w:rsid w:val="002B48EE"/>
    <w:rsid w:val="002B609B"/>
    <w:rsid w:val="002B6693"/>
    <w:rsid w:val="002B77A9"/>
    <w:rsid w:val="002B7B22"/>
    <w:rsid w:val="002C020A"/>
    <w:rsid w:val="002C1F33"/>
    <w:rsid w:val="002C325A"/>
    <w:rsid w:val="002C643F"/>
    <w:rsid w:val="002C7AE5"/>
    <w:rsid w:val="002D1762"/>
    <w:rsid w:val="002D2270"/>
    <w:rsid w:val="002D33BA"/>
    <w:rsid w:val="002D38EE"/>
    <w:rsid w:val="002D4092"/>
    <w:rsid w:val="002D47F8"/>
    <w:rsid w:val="002D64A6"/>
    <w:rsid w:val="002E0391"/>
    <w:rsid w:val="002E19E1"/>
    <w:rsid w:val="002E1D4E"/>
    <w:rsid w:val="002E4D1C"/>
    <w:rsid w:val="002E5E5A"/>
    <w:rsid w:val="002E628A"/>
    <w:rsid w:val="002E6A08"/>
    <w:rsid w:val="002E7926"/>
    <w:rsid w:val="002F0284"/>
    <w:rsid w:val="002F12C7"/>
    <w:rsid w:val="002F1EEC"/>
    <w:rsid w:val="002F469B"/>
    <w:rsid w:val="002F4CF0"/>
    <w:rsid w:val="002F78BD"/>
    <w:rsid w:val="003007C5"/>
    <w:rsid w:val="00301052"/>
    <w:rsid w:val="00303ADC"/>
    <w:rsid w:val="00303EA6"/>
    <w:rsid w:val="00305B1C"/>
    <w:rsid w:val="00306514"/>
    <w:rsid w:val="00306EC6"/>
    <w:rsid w:val="003073AB"/>
    <w:rsid w:val="00312E43"/>
    <w:rsid w:val="00313915"/>
    <w:rsid w:val="00313A9D"/>
    <w:rsid w:val="00314615"/>
    <w:rsid w:val="0031788F"/>
    <w:rsid w:val="00320E6D"/>
    <w:rsid w:val="00321125"/>
    <w:rsid w:val="0032257F"/>
    <w:rsid w:val="00322794"/>
    <w:rsid w:val="003235D2"/>
    <w:rsid w:val="0033171E"/>
    <w:rsid w:val="00333796"/>
    <w:rsid w:val="00336490"/>
    <w:rsid w:val="00336525"/>
    <w:rsid w:val="00337A99"/>
    <w:rsid w:val="00337ABC"/>
    <w:rsid w:val="00340B76"/>
    <w:rsid w:val="00342A0D"/>
    <w:rsid w:val="00342A35"/>
    <w:rsid w:val="00343887"/>
    <w:rsid w:val="0034542B"/>
    <w:rsid w:val="00346563"/>
    <w:rsid w:val="003469B1"/>
    <w:rsid w:val="00347457"/>
    <w:rsid w:val="0034788B"/>
    <w:rsid w:val="00351F25"/>
    <w:rsid w:val="003567CF"/>
    <w:rsid w:val="003567F0"/>
    <w:rsid w:val="003569F1"/>
    <w:rsid w:val="00363877"/>
    <w:rsid w:val="00364118"/>
    <w:rsid w:val="0036421F"/>
    <w:rsid w:val="00367B76"/>
    <w:rsid w:val="003705F9"/>
    <w:rsid w:val="00370822"/>
    <w:rsid w:val="003727A2"/>
    <w:rsid w:val="00374BAE"/>
    <w:rsid w:val="003750B6"/>
    <w:rsid w:val="0037655A"/>
    <w:rsid w:val="00376944"/>
    <w:rsid w:val="0037765B"/>
    <w:rsid w:val="003801B9"/>
    <w:rsid w:val="0038024D"/>
    <w:rsid w:val="00382A35"/>
    <w:rsid w:val="0038429C"/>
    <w:rsid w:val="0038528A"/>
    <w:rsid w:val="0038673B"/>
    <w:rsid w:val="00387F48"/>
    <w:rsid w:val="00391E48"/>
    <w:rsid w:val="00392169"/>
    <w:rsid w:val="003979B9"/>
    <w:rsid w:val="003A0451"/>
    <w:rsid w:val="003A2BB5"/>
    <w:rsid w:val="003A6A13"/>
    <w:rsid w:val="003A7B09"/>
    <w:rsid w:val="003B0BE3"/>
    <w:rsid w:val="003B19C8"/>
    <w:rsid w:val="003B1D6C"/>
    <w:rsid w:val="003B52ED"/>
    <w:rsid w:val="003B65E4"/>
    <w:rsid w:val="003B7CA4"/>
    <w:rsid w:val="003C19CC"/>
    <w:rsid w:val="003C1B18"/>
    <w:rsid w:val="003C2B70"/>
    <w:rsid w:val="003C5B7C"/>
    <w:rsid w:val="003D04BE"/>
    <w:rsid w:val="003D2673"/>
    <w:rsid w:val="003D29E7"/>
    <w:rsid w:val="003D2CF5"/>
    <w:rsid w:val="003D36F4"/>
    <w:rsid w:val="003D4884"/>
    <w:rsid w:val="003D50CC"/>
    <w:rsid w:val="003D70FA"/>
    <w:rsid w:val="003D7E7B"/>
    <w:rsid w:val="003E113B"/>
    <w:rsid w:val="003E27DE"/>
    <w:rsid w:val="003E2909"/>
    <w:rsid w:val="003E7434"/>
    <w:rsid w:val="003F02BE"/>
    <w:rsid w:val="003F0E32"/>
    <w:rsid w:val="003F1EF7"/>
    <w:rsid w:val="003F29B7"/>
    <w:rsid w:val="003F2D39"/>
    <w:rsid w:val="003F4465"/>
    <w:rsid w:val="003F7420"/>
    <w:rsid w:val="00400C08"/>
    <w:rsid w:val="004011C7"/>
    <w:rsid w:val="004015D6"/>
    <w:rsid w:val="004025C2"/>
    <w:rsid w:val="00403662"/>
    <w:rsid w:val="00407027"/>
    <w:rsid w:val="004073E2"/>
    <w:rsid w:val="00410F7D"/>
    <w:rsid w:val="004113DA"/>
    <w:rsid w:val="004118D5"/>
    <w:rsid w:val="004141B4"/>
    <w:rsid w:val="00415DCA"/>
    <w:rsid w:val="004211A8"/>
    <w:rsid w:val="00422FEE"/>
    <w:rsid w:val="00424C13"/>
    <w:rsid w:val="0042565D"/>
    <w:rsid w:val="004258FB"/>
    <w:rsid w:val="00426D33"/>
    <w:rsid w:val="00427EE2"/>
    <w:rsid w:val="0043129E"/>
    <w:rsid w:val="00431EA5"/>
    <w:rsid w:val="00433A3D"/>
    <w:rsid w:val="004340B6"/>
    <w:rsid w:val="00434CE8"/>
    <w:rsid w:val="00436AD7"/>
    <w:rsid w:val="00440B39"/>
    <w:rsid w:val="00441D32"/>
    <w:rsid w:val="004436CB"/>
    <w:rsid w:val="004439E3"/>
    <w:rsid w:val="004446C0"/>
    <w:rsid w:val="00447158"/>
    <w:rsid w:val="004474B4"/>
    <w:rsid w:val="004542FD"/>
    <w:rsid w:val="00455DA5"/>
    <w:rsid w:val="004566EB"/>
    <w:rsid w:val="00457770"/>
    <w:rsid w:val="00460A10"/>
    <w:rsid w:val="00460B6B"/>
    <w:rsid w:val="00462451"/>
    <w:rsid w:val="0046259D"/>
    <w:rsid w:val="00463693"/>
    <w:rsid w:val="00464499"/>
    <w:rsid w:val="00465BC5"/>
    <w:rsid w:val="00467CDF"/>
    <w:rsid w:val="004701FE"/>
    <w:rsid w:val="00470519"/>
    <w:rsid w:val="00470CDC"/>
    <w:rsid w:val="00470D87"/>
    <w:rsid w:val="00470FDB"/>
    <w:rsid w:val="00473034"/>
    <w:rsid w:val="0047333B"/>
    <w:rsid w:val="00474E0D"/>
    <w:rsid w:val="00475551"/>
    <w:rsid w:val="004757BA"/>
    <w:rsid w:val="004765D8"/>
    <w:rsid w:val="00481669"/>
    <w:rsid w:val="004820A2"/>
    <w:rsid w:val="004828E3"/>
    <w:rsid w:val="004839B0"/>
    <w:rsid w:val="00483DED"/>
    <w:rsid w:val="0048665D"/>
    <w:rsid w:val="004914FE"/>
    <w:rsid w:val="00493619"/>
    <w:rsid w:val="00493A49"/>
    <w:rsid w:val="0049489D"/>
    <w:rsid w:val="004964C1"/>
    <w:rsid w:val="004976D9"/>
    <w:rsid w:val="004A03E1"/>
    <w:rsid w:val="004A13E8"/>
    <w:rsid w:val="004A4084"/>
    <w:rsid w:val="004A4133"/>
    <w:rsid w:val="004A48A0"/>
    <w:rsid w:val="004A4B7D"/>
    <w:rsid w:val="004A54F8"/>
    <w:rsid w:val="004B2C36"/>
    <w:rsid w:val="004B306F"/>
    <w:rsid w:val="004B4882"/>
    <w:rsid w:val="004B72A0"/>
    <w:rsid w:val="004C0EE5"/>
    <w:rsid w:val="004C1E55"/>
    <w:rsid w:val="004C273B"/>
    <w:rsid w:val="004C3A9D"/>
    <w:rsid w:val="004C3AD7"/>
    <w:rsid w:val="004C4722"/>
    <w:rsid w:val="004C65F2"/>
    <w:rsid w:val="004C7B1B"/>
    <w:rsid w:val="004D1C90"/>
    <w:rsid w:val="004D2C4C"/>
    <w:rsid w:val="004D2DD1"/>
    <w:rsid w:val="004D2EA8"/>
    <w:rsid w:val="004D77AA"/>
    <w:rsid w:val="004E1620"/>
    <w:rsid w:val="004E1A3D"/>
    <w:rsid w:val="004E2E8E"/>
    <w:rsid w:val="004E3474"/>
    <w:rsid w:val="004E363C"/>
    <w:rsid w:val="004E3A86"/>
    <w:rsid w:val="004E3B32"/>
    <w:rsid w:val="004E45FE"/>
    <w:rsid w:val="004E54C3"/>
    <w:rsid w:val="004E65BA"/>
    <w:rsid w:val="004E7A53"/>
    <w:rsid w:val="004E7E73"/>
    <w:rsid w:val="004F02AA"/>
    <w:rsid w:val="004F0CD9"/>
    <w:rsid w:val="004F4552"/>
    <w:rsid w:val="004F4579"/>
    <w:rsid w:val="004F74D8"/>
    <w:rsid w:val="00501017"/>
    <w:rsid w:val="00501DA5"/>
    <w:rsid w:val="005026D6"/>
    <w:rsid w:val="00504559"/>
    <w:rsid w:val="00507C46"/>
    <w:rsid w:val="00510047"/>
    <w:rsid w:val="005108DF"/>
    <w:rsid w:val="00510FC0"/>
    <w:rsid w:val="0051293F"/>
    <w:rsid w:val="00513F6F"/>
    <w:rsid w:val="00514B74"/>
    <w:rsid w:val="00514E68"/>
    <w:rsid w:val="00515400"/>
    <w:rsid w:val="0051588C"/>
    <w:rsid w:val="0051746A"/>
    <w:rsid w:val="00517A8D"/>
    <w:rsid w:val="00517F1D"/>
    <w:rsid w:val="005205C8"/>
    <w:rsid w:val="00520759"/>
    <w:rsid w:val="0052127F"/>
    <w:rsid w:val="00521A6C"/>
    <w:rsid w:val="00524D24"/>
    <w:rsid w:val="00525B62"/>
    <w:rsid w:val="005266EE"/>
    <w:rsid w:val="0052748B"/>
    <w:rsid w:val="00531703"/>
    <w:rsid w:val="0053337E"/>
    <w:rsid w:val="005342C2"/>
    <w:rsid w:val="00534790"/>
    <w:rsid w:val="00536727"/>
    <w:rsid w:val="00540BB2"/>
    <w:rsid w:val="0054381D"/>
    <w:rsid w:val="00543D6F"/>
    <w:rsid w:val="00544049"/>
    <w:rsid w:val="00544971"/>
    <w:rsid w:val="00544CC0"/>
    <w:rsid w:val="00547A9F"/>
    <w:rsid w:val="0055025A"/>
    <w:rsid w:val="005503EF"/>
    <w:rsid w:val="00550BFD"/>
    <w:rsid w:val="00552545"/>
    <w:rsid w:val="005525EE"/>
    <w:rsid w:val="0055271A"/>
    <w:rsid w:val="00552829"/>
    <w:rsid w:val="00553252"/>
    <w:rsid w:val="0055353C"/>
    <w:rsid w:val="00553692"/>
    <w:rsid w:val="00554D8D"/>
    <w:rsid w:val="00555B46"/>
    <w:rsid w:val="00555BCD"/>
    <w:rsid w:val="00556964"/>
    <w:rsid w:val="00557C93"/>
    <w:rsid w:val="005602B9"/>
    <w:rsid w:val="00560D50"/>
    <w:rsid w:val="005642E3"/>
    <w:rsid w:val="005651AB"/>
    <w:rsid w:val="00565806"/>
    <w:rsid w:val="00567280"/>
    <w:rsid w:val="005679A3"/>
    <w:rsid w:val="00571B4F"/>
    <w:rsid w:val="00571C8E"/>
    <w:rsid w:val="00572331"/>
    <w:rsid w:val="00572BEC"/>
    <w:rsid w:val="0057354C"/>
    <w:rsid w:val="005749DE"/>
    <w:rsid w:val="00577199"/>
    <w:rsid w:val="00580CE5"/>
    <w:rsid w:val="00581538"/>
    <w:rsid w:val="00582799"/>
    <w:rsid w:val="005831CA"/>
    <w:rsid w:val="0058361E"/>
    <w:rsid w:val="00590D88"/>
    <w:rsid w:val="00591D83"/>
    <w:rsid w:val="00591F69"/>
    <w:rsid w:val="005921F5"/>
    <w:rsid w:val="005956F4"/>
    <w:rsid w:val="00595793"/>
    <w:rsid w:val="0059612A"/>
    <w:rsid w:val="00597A3A"/>
    <w:rsid w:val="005A0117"/>
    <w:rsid w:val="005A0EEB"/>
    <w:rsid w:val="005A3CA4"/>
    <w:rsid w:val="005A4B00"/>
    <w:rsid w:val="005A6133"/>
    <w:rsid w:val="005A72AC"/>
    <w:rsid w:val="005A73BB"/>
    <w:rsid w:val="005A7485"/>
    <w:rsid w:val="005B18B6"/>
    <w:rsid w:val="005B1E3E"/>
    <w:rsid w:val="005B241E"/>
    <w:rsid w:val="005B33BE"/>
    <w:rsid w:val="005B3DB9"/>
    <w:rsid w:val="005B6325"/>
    <w:rsid w:val="005B6809"/>
    <w:rsid w:val="005B6B0F"/>
    <w:rsid w:val="005B715B"/>
    <w:rsid w:val="005B72E0"/>
    <w:rsid w:val="005B7C6D"/>
    <w:rsid w:val="005C17E3"/>
    <w:rsid w:val="005C7C0E"/>
    <w:rsid w:val="005D0808"/>
    <w:rsid w:val="005D17E2"/>
    <w:rsid w:val="005D58C1"/>
    <w:rsid w:val="005D7155"/>
    <w:rsid w:val="005D7A33"/>
    <w:rsid w:val="005D7AA5"/>
    <w:rsid w:val="005E03F5"/>
    <w:rsid w:val="005E1C17"/>
    <w:rsid w:val="005E20C2"/>
    <w:rsid w:val="005E4A90"/>
    <w:rsid w:val="005E6343"/>
    <w:rsid w:val="005E6CDF"/>
    <w:rsid w:val="005E7C9E"/>
    <w:rsid w:val="005F165D"/>
    <w:rsid w:val="005F2591"/>
    <w:rsid w:val="005F3763"/>
    <w:rsid w:val="005F3C90"/>
    <w:rsid w:val="005F5320"/>
    <w:rsid w:val="00600C15"/>
    <w:rsid w:val="006015A6"/>
    <w:rsid w:val="00602013"/>
    <w:rsid w:val="00602BFC"/>
    <w:rsid w:val="00604991"/>
    <w:rsid w:val="0060659D"/>
    <w:rsid w:val="00607676"/>
    <w:rsid w:val="006109E9"/>
    <w:rsid w:val="00611B92"/>
    <w:rsid w:val="00612C46"/>
    <w:rsid w:val="00613854"/>
    <w:rsid w:val="00616FD0"/>
    <w:rsid w:val="00620F78"/>
    <w:rsid w:val="00622516"/>
    <w:rsid w:val="00622E2A"/>
    <w:rsid w:val="00627F15"/>
    <w:rsid w:val="006303E2"/>
    <w:rsid w:val="00631C66"/>
    <w:rsid w:val="00631E86"/>
    <w:rsid w:val="006354B4"/>
    <w:rsid w:val="00635A40"/>
    <w:rsid w:val="00636671"/>
    <w:rsid w:val="0063775B"/>
    <w:rsid w:val="00640A47"/>
    <w:rsid w:val="006411CA"/>
    <w:rsid w:val="00642590"/>
    <w:rsid w:val="00642596"/>
    <w:rsid w:val="00643913"/>
    <w:rsid w:val="00644D3B"/>
    <w:rsid w:val="006455A8"/>
    <w:rsid w:val="00645D82"/>
    <w:rsid w:val="006462F0"/>
    <w:rsid w:val="00646F07"/>
    <w:rsid w:val="00650452"/>
    <w:rsid w:val="00653369"/>
    <w:rsid w:val="006535A4"/>
    <w:rsid w:val="0065470E"/>
    <w:rsid w:val="006561ED"/>
    <w:rsid w:val="00656CB8"/>
    <w:rsid w:val="00657034"/>
    <w:rsid w:val="006606CD"/>
    <w:rsid w:val="00660848"/>
    <w:rsid w:val="006613FC"/>
    <w:rsid w:val="0066189A"/>
    <w:rsid w:val="006628F0"/>
    <w:rsid w:val="00662B4B"/>
    <w:rsid w:val="00665A43"/>
    <w:rsid w:val="00666130"/>
    <w:rsid w:val="00671730"/>
    <w:rsid w:val="00672D00"/>
    <w:rsid w:val="0067496A"/>
    <w:rsid w:val="006752B0"/>
    <w:rsid w:val="006758B2"/>
    <w:rsid w:val="00677323"/>
    <w:rsid w:val="00680CBC"/>
    <w:rsid w:val="00683B35"/>
    <w:rsid w:val="00683BF8"/>
    <w:rsid w:val="00683F71"/>
    <w:rsid w:val="00684F1D"/>
    <w:rsid w:val="0068519F"/>
    <w:rsid w:val="00685D94"/>
    <w:rsid w:val="006865BC"/>
    <w:rsid w:val="006908C3"/>
    <w:rsid w:val="006924A0"/>
    <w:rsid w:val="0069333F"/>
    <w:rsid w:val="00693A97"/>
    <w:rsid w:val="00696277"/>
    <w:rsid w:val="006976B6"/>
    <w:rsid w:val="00697EA7"/>
    <w:rsid w:val="006A3821"/>
    <w:rsid w:val="006A4E2B"/>
    <w:rsid w:val="006A69D2"/>
    <w:rsid w:val="006B101F"/>
    <w:rsid w:val="006B237E"/>
    <w:rsid w:val="006B3379"/>
    <w:rsid w:val="006B45F8"/>
    <w:rsid w:val="006B4AF0"/>
    <w:rsid w:val="006B66DC"/>
    <w:rsid w:val="006B6BB8"/>
    <w:rsid w:val="006C026A"/>
    <w:rsid w:val="006C1DC1"/>
    <w:rsid w:val="006C2C7A"/>
    <w:rsid w:val="006C3B2D"/>
    <w:rsid w:val="006C6B9D"/>
    <w:rsid w:val="006C7923"/>
    <w:rsid w:val="006D1136"/>
    <w:rsid w:val="006D3AD2"/>
    <w:rsid w:val="006D6DC5"/>
    <w:rsid w:val="006D6F63"/>
    <w:rsid w:val="006D7363"/>
    <w:rsid w:val="006D7B0C"/>
    <w:rsid w:val="006E1D62"/>
    <w:rsid w:val="006E2159"/>
    <w:rsid w:val="006E2270"/>
    <w:rsid w:val="006E2813"/>
    <w:rsid w:val="006E2D4E"/>
    <w:rsid w:val="006E3922"/>
    <w:rsid w:val="006E49D3"/>
    <w:rsid w:val="006E4B88"/>
    <w:rsid w:val="006F264E"/>
    <w:rsid w:val="006F4AF2"/>
    <w:rsid w:val="006F5139"/>
    <w:rsid w:val="006F77B0"/>
    <w:rsid w:val="00700894"/>
    <w:rsid w:val="007022E7"/>
    <w:rsid w:val="00703F33"/>
    <w:rsid w:val="00704CFC"/>
    <w:rsid w:val="00705AE7"/>
    <w:rsid w:val="007119CA"/>
    <w:rsid w:val="00712227"/>
    <w:rsid w:val="00712A11"/>
    <w:rsid w:val="0071466B"/>
    <w:rsid w:val="00715A19"/>
    <w:rsid w:val="00715EEB"/>
    <w:rsid w:val="00716239"/>
    <w:rsid w:val="00717335"/>
    <w:rsid w:val="00717653"/>
    <w:rsid w:val="007208DC"/>
    <w:rsid w:val="00722C52"/>
    <w:rsid w:val="007268CD"/>
    <w:rsid w:val="00726CB7"/>
    <w:rsid w:val="00727768"/>
    <w:rsid w:val="00731D3F"/>
    <w:rsid w:val="00733344"/>
    <w:rsid w:val="007340DB"/>
    <w:rsid w:val="00734ED3"/>
    <w:rsid w:val="00735218"/>
    <w:rsid w:val="00735873"/>
    <w:rsid w:val="007363BF"/>
    <w:rsid w:val="007363D5"/>
    <w:rsid w:val="00736F54"/>
    <w:rsid w:val="00740C6B"/>
    <w:rsid w:val="0074124E"/>
    <w:rsid w:val="00741651"/>
    <w:rsid w:val="0074372F"/>
    <w:rsid w:val="0074760C"/>
    <w:rsid w:val="007476F2"/>
    <w:rsid w:val="0074772C"/>
    <w:rsid w:val="00750081"/>
    <w:rsid w:val="00750970"/>
    <w:rsid w:val="007511D6"/>
    <w:rsid w:val="00751BAA"/>
    <w:rsid w:val="007526D0"/>
    <w:rsid w:val="00754552"/>
    <w:rsid w:val="00754888"/>
    <w:rsid w:val="007555BE"/>
    <w:rsid w:val="00756893"/>
    <w:rsid w:val="007579B4"/>
    <w:rsid w:val="007616E7"/>
    <w:rsid w:val="007626FB"/>
    <w:rsid w:val="00762930"/>
    <w:rsid w:val="007659A6"/>
    <w:rsid w:val="00765EF1"/>
    <w:rsid w:val="00765FD7"/>
    <w:rsid w:val="0076619B"/>
    <w:rsid w:val="007668ED"/>
    <w:rsid w:val="00775806"/>
    <w:rsid w:val="00775F1C"/>
    <w:rsid w:val="00776949"/>
    <w:rsid w:val="007803C9"/>
    <w:rsid w:val="007806D3"/>
    <w:rsid w:val="00780E56"/>
    <w:rsid w:val="00792501"/>
    <w:rsid w:val="00792C7F"/>
    <w:rsid w:val="0079365B"/>
    <w:rsid w:val="00795205"/>
    <w:rsid w:val="0079755E"/>
    <w:rsid w:val="00797803"/>
    <w:rsid w:val="00797FD6"/>
    <w:rsid w:val="007A03C1"/>
    <w:rsid w:val="007A0A31"/>
    <w:rsid w:val="007A1D15"/>
    <w:rsid w:val="007A2156"/>
    <w:rsid w:val="007A297D"/>
    <w:rsid w:val="007A458F"/>
    <w:rsid w:val="007A4EE6"/>
    <w:rsid w:val="007A6C32"/>
    <w:rsid w:val="007A6CB6"/>
    <w:rsid w:val="007B03B3"/>
    <w:rsid w:val="007B065E"/>
    <w:rsid w:val="007B137B"/>
    <w:rsid w:val="007B2062"/>
    <w:rsid w:val="007B3312"/>
    <w:rsid w:val="007B4294"/>
    <w:rsid w:val="007C0508"/>
    <w:rsid w:val="007C16A4"/>
    <w:rsid w:val="007C3653"/>
    <w:rsid w:val="007C6B47"/>
    <w:rsid w:val="007C7604"/>
    <w:rsid w:val="007C7D01"/>
    <w:rsid w:val="007D126A"/>
    <w:rsid w:val="007D182B"/>
    <w:rsid w:val="007D4CC1"/>
    <w:rsid w:val="007D60A4"/>
    <w:rsid w:val="007D6B45"/>
    <w:rsid w:val="007E01FA"/>
    <w:rsid w:val="007E035E"/>
    <w:rsid w:val="007E0A35"/>
    <w:rsid w:val="007E2CBD"/>
    <w:rsid w:val="007E3737"/>
    <w:rsid w:val="007E3C35"/>
    <w:rsid w:val="007E6861"/>
    <w:rsid w:val="007E79C4"/>
    <w:rsid w:val="007F0406"/>
    <w:rsid w:val="007F04C1"/>
    <w:rsid w:val="007F0597"/>
    <w:rsid w:val="007F0AED"/>
    <w:rsid w:val="007F2F29"/>
    <w:rsid w:val="007F4002"/>
    <w:rsid w:val="007F791C"/>
    <w:rsid w:val="00801852"/>
    <w:rsid w:val="008049FA"/>
    <w:rsid w:val="00805F80"/>
    <w:rsid w:val="00806681"/>
    <w:rsid w:val="00806ECD"/>
    <w:rsid w:val="008075D9"/>
    <w:rsid w:val="00807899"/>
    <w:rsid w:val="00811A75"/>
    <w:rsid w:val="00811BFA"/>
    <w:rsid w:val="0081215F"/>
    <w:rsid w:val="00813A22"/>
    <w:rsid w:val="0081438C"/>
    <w:rsid w:val="008177F8"/>
    <w:rsid w:val="0082093B"/>
    <w:rsid w:val="00820E2B"/>
    <w:rsid w:val="00826A5B"/>
    <w:rsid w:val="0082712B"/>
    <w:rsid w:val="008276DA"/>
    <w:rsid w:val="008317B2"/>
    <w:rsid w:val="0083699F"/>
    <w:rsid w:val="00836D4A"/>
    <w:rsid w:val="008426A2"/>
    <w:rsid w:val="00843784"/>
    <w:rsid w:val="00851085"/>
    <w:rsid w:val="00852605"/>
    <w:rsid w:val="00860DBF"/>
    <w:rsid w:val="00861696"/>
    <w:rsid w:val="008624E7"/>
    <w:rsid w:val="00864E3B"/>
    <w:rsid w:val="00864E52"/>
    <w:rsid w:val="00865CA1"/>
    <w:rsid w:val="00867D82"/>
    <w:rsid w:val="0087020D"/>
    <w:rsid w:val="00871677"/>
    <w:rsid w:val="008717AA"/>
    <w:rsid w:val="0087381B"/>
    <w:rsid w:val="00877221"/>
    <w:rsid w:val="008807D9"/>
    <w:rsid w:val="00880958"/>
    <w:rsid w:val="00881193"/>
    <w:rsid w:val="008812C8"/>
    <w:rsid w:val="00883736"/>
    <w:rsid w:val="00884C71"/>
    <w:rsid w:val="008864DC"/>
    <w:rsid w:val="00886904"/>
    <w:rsid w:val="00887F21"/>
    <w:rsid w:val="00891C87"/>
    <w:rsid w:val="008946B1"/>
    <w:rsid w:val="00895C3A"/>
    <w:rsid w:val="00895C8B"/>
    <w:rsid w:val="008965A6"/>
    <w:rsid w:val="008965F2"/>
    <w:rsid w:val="0089674E"/>
    <w:rsid w:val="00896BCA"/>
    <w:rsid w:val="0089744C"/>
    <w:rsid w:val="008A1CBF"/>
    <w:rsid w:val="008A3AF9"/>
    <w:rsid w:val="008A482D"/>
    <w:rsid w:val="008A5D90"/>
    <w:rsid w:val="008A619D"/>
    <w:rsid w:val="008B0205"/>
    <w:rsid w:val="008B2E2A"/>
    <w:rsid w:val="008B4D13"/>
    <w:rsid w:val="008B4E48"/>
    <w:rsid w:val="008B5926"/>
    <w:rsid w:val="008B5BDF"/>
    <w:rsid w:val="008C09FE"/>
    <w:rsid w:val="008C1CB2"/>
    <w:rsid w:val="008C2F29"/>
    <w:rsid w:val="008C3330"/>
    <w:rsid w:val="008C37AF"/>
    <w:rsid w:val="008C66F2"/>
    <w:rsid w:val="008C737B"/>
    <w:rsid w:val="008D01BA"/>
    <w:rsid w:val="008D04F1"/>
    <w:rsid w:val="008D1687"/>
    <w:rsid w:val="008D1E56"/>
    <w:rsid w:val="008D3FB9"/>
    <w:rsid w:val="008D408E"/>
    <w:rsid w:val="008D58EF"/>
    <w:rsid w:val="008D7CAD"/>
    <w:rsid w:val="008E1F2B"/>
    <w:rsid w:val="008E22A8"/>
    <w:rsid w:val="008E7363"/>
    <w:rsid w:val="008E74BA"/>
    <w:rsid w:val="008E77E1"/>
    <w:rsid w:val="008F1142"/>
    <w:rsid w:val="008F25E0"/>
    <w:rsid w:val="008F3874"/>
    <w:rsid w:val="008F447C"/>
    <w:rsid w:val="008F5C88"/>
    <w:rsid w:val="008F5F15"/>
    <w:rsid w:val="008F7F67"/>
    <w:rsid w:val="008F7FDE"/>
    <w:rsid w:val="00901D25"/>
    <w:rsid w:val="00903304"/>
    <w:rsid w:val="009064A7"/>
    <w:rsid w:val="009111AA"/>
    <w:rsid w:val="00912CF8"/>
    <w:rsid w:val="0091388C"/>
    <w:rsid w:val="00916075"/>
    <w:rsid w:val="009160F5"/>
    <w:rsid w:val="009169F1"/>
    <w:rsid w:val="00916F80"/>
    <w:rsid w:val="00920270"/>
    <w:rsid w:val="00920F78"/>
    <w:rsid w:val="00922742"/>
    <w:rsid w:val="00922DC0"/>
    <w:rsid w:val="00922F00"/>
    <w:rsid w:val="009233CA"/>
    <w:rsid w:val="009248F1"/>
    <w:rsid w:val="00927CBA"/>
    <w:rsid w:val="00930AE1"/>
    <w:rsid w:val="00930C7A"/>
    <w:rsid w:val="00933B99"/>
    <w:rsid w:val="00933D65"/>
    <w:rsid w:val="0093478A"/>
    <w:rsid w:val="009364BB"/>
    <w:rsid w:val="00937675"/>
    <w:rsid w:val="0094357F"/>
    <w:rsid w:val="00943607"/>
    <w:rsid w:val="00943AF6"/>
    <w:rsid w:val="009441B3"/>
    <w:rsid w:val="009453CA"/>
    <w:rsid w:val="0094710B"/>
    <w:rsid w:val="0095044F"/>
    <w:rsid w:val="00950AB8"/>
    <w:rsid w:val="00950BFA"/>
    <w:rsid w:val="009526BA"/>
    <w:rsid w:val="00952AC2"/>
    <w:rsid w:val="00952F50"/>
    <w:rsid w:val="0095389B"/>
    <w:rsid w:val="009544B7"/>
    <w:rsid w:val="00957094"/>
    <w:rsid w:val="00961D0A"/>
    <w:rsid w:val="009665AA"/>
    <w:rsid w:val="00970021"/>
    <w:rsid w:val="00970448"/>
    <w:rsid w:val="00971A82"/>
    <w:rsid w:val="00971B17"/>
    <w:rsid w:val="0097475C"/>
    <w:rsid w:val="00974DD7"/>
    <w:rsid w:val="00974F4E"/>
    <w:rsid w:val="009753CA"/>
    <w:rsid w:val="00977BBB"/>
    <w:rsid w:val="00977E8E"/>
    <w:rsid w:val="0098052F"/>
    <w:rsid w:val="009807C7"/>
    <w:rsid w:val="00984F43"/>
    <w:rsid w:val="009857A9"/>
    <w:rsid w:val="0098659B"/>
    <w:rsid w:val="00991668"/>
    <w:rsid w:val="00992314"/>
    <w:rsid w:val="00992603"/>
    <w:rsid w:val="009959F7"/>
    <w:rsid w:val="00996A78"/>
    <w:rsid w:val="00997B9A"/>
    <w:rsid w:val="009A0E3B"/>
    <w:rsid w:val="009A1F1F"/>
    <w:rsid w:val="009A2169"/>
    <w:rsid w:val="009A3118"/>
    <w:rsid w:val="009A4207"/>
    <w:rsid w:val="009A4C26"/>
    <w:rsid w:val="009A7075"/>
    <w:rsid w:val="009B2C7E"/>
    <w:rsid w:val="009B346B"/>
    <w:rsid w:val="009B41F6"/>
    <w:rsid w:val="009B5C68"/>
    <w:rsid w:val="009B5CD1"/>
    <w:rsid w:val="009B6D3E"/>
    <w:rsid w:val="009C0909"/>
    <w:rsid w:val="009C285A"/>
    <w:rsid w:val="009C3FB1"/>
    <w:rsid w:val="009C683A"/>
    <w:rsid w:val="009D0AD7"/>
    <w:rsid w:val="009D3611"/>
    <w:rsid w:val="009D74FE"/>
    <w:rsid w:val="009D7819"/>
    <w:rsid w:val="009E1E18"/>
    <w:rsid w:val="009E5970"/>
    <w:rsid w:val="009E6190"/>
    <w:rsid w:val="009E6D37"/>
    <w:rsid w:val="009E7AE7"/>
    <w:rsid w:val="009E7CC9"/>
    <w:rsid w:val="009E7D18"/>
    <w:rsid w:val="009F02DA"/>
    <w:rsid w:val="009F277D"/>
    <w:rsid w:val="009F37A2"/>
    <w:rsid w:val="009F3895"/>
    <w:rsid w:val="009F3A0A"/>
    <w:rsid w:val="009F598B"/>
    <w:rsid w:val="009F7D81"/>
    <w:rsid w:val="00A00202"/>
    <w:rsid w:val="00A00BA5"/>
    <w:rsid w:val="00A01265"/>
    <w:rsid w:val="00A031AB"/>
    <w:rsid w:val="00A044A3"/>
    <w:rsid w:val="00A05420"/>
    <w:rsid w:val="00A05CEE"/>
    <w:rsid w:val="00A07501"/>
    <w:rsid w:val="00A108F3"/>
    <w:rsid w:val="00A10EF6"/>
    <w:rsid w:val="00A12350"/>
    <w:rsid w:val="00A13C9E"/>
    <w:rsid w:val="00A142BE"/>
    <w:rsid w:val="00A1544A"/>
    <w:rsid w:val="00A155DC"/>
    <w:rsid w:val="00A15A46"/>
    <w:rsid w:val="00A16197"/>
    <w:rsid w:val="00A20963"/>
    <w:rsid w:val="00A22D01"/>
    <w:rsid w:val="00A23AE7"/>
    <w:rsid w:val="00A302AA"/>
    <w:rsid w:val="00A32D9C"/>
    <w:rsid w:val="00A34CF5"/>
    <w:rsid w:val="00A3767E"/>
    <w:rsid w:val="00A42092"/>
    <w:rsid w:val="00A42CE6"/>
    <w:rsid w:val="00A458A5"/>
    <w:rsid w:val="00A45CEF"/>
    <w:rsid w:val="00A46E25"/>
    <w:rsid w:val="00A47A89"/>
    <w:rsid w:val="00A50136"/>
    <w:rsid w:val="00A501AC"/>
    <w:rsid w:val="00A509E9"/>
    <w:rsid w:val="00A53305"/>
    <w:rsid w:val="00A55200"/>
    <w:rsid w:val="00A556B5"/>
    <w:rsid w:val="00A55FE4"/>
    <w:rsid w:val="00A5710E"/>
    <w:rsid w:val="00A5795F"/>
    <w:rsid w:val="00A57F81"/>
    <w:rsid w:val="00A60C92"/>
    <w:rsid w:val="00A60E10"/>
    <w:rsid w:val="00A61FCC"/>
    <w:rsid w:val="00A62092"/>
    <w:rsid w:val="00A6235B"/>
    <w:rsid w:val="00A62E72"/>
    <w:rsid w:val="00A62F53"/>
    <w:rsid w:val="00A63426"/>
    <w:rsid w:val="00A65400"/>
    <w:rsid w:val="00A6542B"/>
    <w:rsid w:val="00A66A0F"/>
    <w:rsid w:val="00A66B28"/>
    <w:rsid w:val="00A66F90"/>
    <w:rsid w:val="00A701C1"/>
    <w:rsid w:val="00A72463"/>
    <w:rsid w:val="00A7299E"/>
    <w:rsid w:val="00A73024"/>
    <w:rsid w:val="00A741D1"/>
    <w:rsid w:val="00A74334"/>
    <w:rsid w:val="00A755FB"/>
    <w:rsid w:val="00A76D9D"/>
    <w:rsid w:val="00A773A2"/>
    <w:rsid w:val="00A812D5"/>
    <w:rsid w:val="00A81438"/>
    <w:rsid w:val="00A816C3"/>
    <w:rsid w:val="00A849E6"/>
    <w:rsid w:val="00A872BC"/>
    <w:rsid w:val="00A87391"/>
    <w:rsid w:val="00A90E18"/>
    <w:rsid w:val="00A9388C"/>
    <w:rsid w:val="00A93A8B"/>
    <w:rsid w:val="00A942B3"/>
    <w:rsid w:val="00A95633"/>
    <w:rsid w:val="00A95B3F"/>
    <w:rsid w:val="00A96F34"/>
    <w:rsid w:val="00A976D2"/>
    <w:rsid w:val="00A97AD5"/>
    <w:rsid w:val="00AA2343"/>
    <w:rsid w:val="00AA5E7B"/>
    <w:rsid w:val="00AA6FEB"/>
    <w:rsid w:val="00AA72AC"/>
    <w:rsid w:val="00AA7E6E"/>
    <w:rsid w:val="00AB21E1"/>
    <w:rsid w:val="00AB2361"/>
    <w:rsid w:val="00AB259B"/>
    <w:rsid w:val="00AB352E"/>
    <w:rsid w:val="00AB5BD0"/>
    <w:rsid w:val="00AB60C2"/>
    <w:rsid w:val="00AB6EE0"/>
    <w:rsid w:val="00AC1593"/>
    <w:rsid w:val="00AC23CC"/>
    <w:rsid w:val="00AC332B"/>
    <w:rsid w:val="00AC3876"/>
    <w:rsid w:val="00AC5689"/>
    <w:rsid w:val="00AC59DF"/>
    <w:rsid w:val="00AC5CA7"/>
    <w:rsid w:val="00AC6C8B"/>
    <w:rsid w:val="00AC7E55"/>
    <w:rsid w:val="00AD19D5"/>
    <w:rsid w:val="00AD2FBD"/>
    <w:rsid w:val="00AD61B7"/>
    <w:rsid w:val="00AD7E87"/>
    <w:rsid w:val="00AE2B00"/>
    <w:rsid w:val="00AE2DDC"/>
    <w:rsid w:val="00AE574D"/>
    <w:rsid w:val="00AF03F7"/>
    <w:rsid w:val="00AF3CF4"/>
    <w:rsid w:val="00AF4C2C"/>
    <w:rsid w:val="00AF4E2A"/>
    <w:rsid w:val="00AF60EE"/>
    <w:rsid w:val="00B00D9F"/>
    <w:rsid w:val="00B0195B"/>
    <w:rsid w:val="00B022DF"/>
    <w:rsid w:val="00B03CBB"/>
    <w:rsid w:val="00B03CC6"/>
    <w:rsid w:val="00B04FA6"/>
    <w:rsid w:val="00B04FB8"/>
    <w:rsid w:val="00B074F2"/>
    <w:rsid w:val="00B123F9"/>
    <w:rsid w:val="00B14242"/>
    <w:rsid w:val="00B15DC9"/>
    <w:rsid w:val="00B1741A"/>
    <w:rsid w:val="00B17E1B"/>
    <w:rsid w:val="00B17F66"/>
    <w:rsid w:val="00B20B01"/>
    <w:rsid w:val="00B24E8B"/>
    <w:rsid w:val="00B253F5"/>
    <w:rsid w:val="00B25494"/>
    <w:rsid w:val="00B26F11"/>
    <w:rsid w:val="00B33364"/>
    <w:rsid w:val="00B37340"/>
    <w:rsid w:val="00B379F8"/>
    <w:rsid w:val="00B40D70"/>
    <w:rsid w:val="00B47AB3"/>
    <w:rsid w:val="00B47B2F"/>
    <w:rsid w:val="00B500D3"/>
    <w:rsid w:val="00B5053D"/>
    <w:rsid w:val="00B50988"/>
    <w:rsid w:val="00B5419E"/>
    <w:rsid w:val="00B55D9E"/>
    <w:rsid w:val="00B56E5A"/>
    <w:rsid w:val="00B57AC4"/>
    <w:rsid w:val="00B57FE0"/>
    <w:rsid w:val="00B630DF"/>
    <w:rsid w:val="00B646FD"/>
    <w:rsid w:val="00B65DAD"/>
    <w:rsid w:val="00B66F65"/>
    <w:rsid w:val="00B67E92"/>
    <w:rsid w:val="00B72591"/>
    <w:rsid w:val="00B733B6"/>
    <w:rsid w:val="00B82A0F"/>
    <w:rsid w:val="00B836A2"/>
    <w:rsid w:val="00B83F45"/>
    <w:rsid w:val="00B8486D"/>
    <w:rsid w:val="00B87A2F"/>
    <w:rsid w:val="00B87F8A"/>
    <w:rsid w:val="00B9061A"/>
    <w:rsid w:val="00B92440"/>
    <w:rsid w:val="00B93E62"/>
    <w:rsid w:val="00B951A8"/>
    <w:rsid w:val="00B9697C"/>
    <w:rsid w:val="00B96DA1"/>
    <w:rsid w:val="00B976A7"/>
    <w:rsid w:val="00BA0AAE"/>
    <w:rsid w:val="00BA0E39"/>
    <w:rsid w:val="00BA1145"/>
    <w:rsid w:val="00BA12EE"/>
    <w:rsid w:val="00BA1C47"/>
    <w:rsid w:val="00BA2370"/>
    <w:rsid w:val="00BA3B59"/>
    <w:rsid w:val="00BA4B08"/>
    <w:rsid w:val="00BA57BC"/>
    <w:rsid w:val="00BA66EB"/>
    <w:rsid w:val="00BA69FA"/>
    <w:rsid w:val="00BA6C8A"/>
    <w:rsid w:val="00BA760C"/>
    <w:rsid w:val="00BA7D73"/>
    <w:rsid w:val="00BB081F"/>
    <w:rsid w:val="00BB1335"/>
    <w:rsid w:val="00BB134F"/>
    <w:rsid w:val="00BB1B4A"/>
    <w:rsid w:val="00BB208C"/>
    <w:rsid w:val="00BB2C8A"/>
    <w:rsid w:val="00BB2FB7"/>
    <w:rsid w:val="00BB3661"/>
    <w:rsid w:val="00BB4C50"/>
    <w:rsid w:val="00BB4F9E"/>
    <w:rsid w:val="00BB5BA1"/>
    <w:rsid w:val="00BB622A"/>
    <w:rsid w:val="00BB669A"/>
    <w:rsid w:val="00BB7F02"/>
    <w:rsid w:val="00BC15D3"/>
    <w:rsid w:val="00BC4451"/>
    <w:rsid w:val="00BC7701"/>
    <w:rsid w:val="00BD0694"/>
    <w:rsid w:val="00BD131C"/>
    <w:rsid w:val="00BD15DA"/>
    <w:rsid w:val="00BD1A52"/>
    <w:rsid w:val="00BD274C"/>
    <w:rsid w:val="00BD40B6"/>
    <w:rsid w:val="00BD60F9"/>
    <w:rsid w:val="00BE0570"/>
    <w:rsid w:val="00BE1269"/>
    <w:rsid w:val="00BE20A6"/>
    <w:rsid w:val="00BF0521"/>
    <w:rsid w:val="00BF151B"/>
    <w:rsid w:val="00BF1553"/>
    <w:rsid w:val="00C01B99"/>
    <w:rsid w:val="00C03A8F"/>
    <w:rsid w:val="00C05608"/>
    <w:rsid w:val="00C06024"/>
    <w:rsid w:val="00C063CC"/>
    <w:rsid w:val="00C0649F"/>
    <w:rsid w:val="00C06B02"/>
    <w:rsid w:val="00C06C02"/>
    <w:rsid w:val="00C103C1"/>
    <w:rsid w:val="00C10469"/>
    <w:rsid w:val="00C10D50"/>
    <w:rsid w:val="00C10DBB"/>
    <w:rsid w:val="00C1159D"/>
    <w:rsid w:val="00C1289A"/>
    <w:rsid w:val="00C161A0"/>
    <w:rsid w:val="00C163C2"/>
    <w:rsid w:val="00C20378"/>
    <w:rsid w:val="00C2086F"/>
    <w:rsid w:val="00C213B1"/>
    <w:rsid w:val="00C213E8"/>
    <w:rsid w:val="00C21A47"/>
    <w:rsid w:val="00C230CC"/>
    <w:rsid w:val="00C27699"/>
    <w:rsid w:val="00C30D6E"/>
    <w:rsid w:val="00C31DFA"/>
    <w:rsid w:val="00C32075"/>
    <w:rsid w:val="00C333FC"/>
    <w:rsid w:val="00C3469B"/>
    <w:rsid w:val="00C354A3"/>
    <w:rsid w:val="00C40242"/>
    <w:rsid w:val="00C40EAC"/>
    <w:rsid w:val="00C41B9B"/>
    <w:rsid w:val="00C44552"/>
    <w:rsid w:val="00C45DA4"/>
    <w:rsid w:val="00C463A1"/>
    <w:rsid w:val="00C4665A"/>
    <w:rsid w:val="00C571FC"/>
    <w:rsid w:val="00C62DD6"/>
    <w:rsid w:val="00C62E82"/>
    <w:rsid w:val="00C6312E"/>
    <w:rsid w:val="00C63283"/>
    <w:rsid w:val="00C63F56"/>
    <w:rsid w:val="00C64E1A"/>
    <w:rsid w:val="00C67347"/>
    <w:rsid w:val="00C70DF0"/>
    <w:rsid w:val="00C7183F"/>
    <w:rsid w:val="00C71BC5"/>
    <w:rsid w:val="00C71F17"/>
    <w:rsid w:val="00C728B1"/>
    <w:rsid w:val="00C73C33"/>
    <w:rsid w:val="00C7423C"/>
    <w:rsid w:val="00C76859"/>
    <w:rsid w:val="00C77253"/>
    <w:rsid w:val="00C803E7"/>
    <w:rsid w:val="00C83734"/>
    <w:rsid w:val="00C855FE"/>
    <w:rsid w:val="00C86506"/>
    <w:rsid w:val="00C8711D"/>
    <w:rsid w:val="00C87154"/>
    <w:rsid w:val="00C87ADE"/>
    <w:rsid w:val="00C9073F"/>
    <w:rsid w:val="00C909E4"/>
    <w:rsid w:val="00C912CD"/>
    <w:rsid w:val="00C928F4"/>
    <w:rsid w:val="00C92DE6"/>
    <w:rsid w:val="00C931D8"/>
    <w:rsid w:val="00C95104"/>
    <w:rsid w:val="00C95607"/>
    <w:rsid w:val="00C97EE6"/>
    <w:rsid w:val="00CA0E4F"/>
    <w:rsid w:val="00CA2C4F"/>
    <w:rsid w:val="00CA543B"/>
    <w:rsid w:val="00CA5920"/>
    <w:rsid w:val="00CA59BA"/>
    <w:rsid w:val="00CA6723"/>
    <w:rsid w:val="00CA7181"/>
    <w:rsid w:val="00CA72C5"/>
    <w:rsid w:val="00CA74CD"/>
    <w:rsid w:val="00CB0C82"/>
    <w:rsid w:val="00CB0E34"/>
    <w:rsid w:val="00CB1771"/>
    <w:rsid w:val="00CB1DC7"/>
    <w:rsid w:val="00CB23D4"/>
    <w:rsid w:val="00CB247D"/>
    <w:rsid w:val="00CB3AEA"/>
    <w:rsid w:val="00CB4A3F"/>
    <w:rsid w:val="00CB5A94"/>
    <w:rsid w:val="00CB5E2B"/>
    <w:rsid w:val="00CC08E2"/>
    <w:rsid w:val="00CC16B2"/>
    <w:rsid w:val="00CC21A2"/>
    <w:rsid w:val="00CC2F32"/>
    <w:rsid w:val="00CC5899"/>
    <w:rsid w:val="00CC69AA"/>
    <w:rsid w:val="00CD0E9D"/>
    <w:rsid w:val="00CD14B7"/>
    <w:rsid w:val="00CE125B"/>
    <w:rsid w:val="00CE1A7F"/>
    <w:rsid w:val="00CE357E"/>
    <w:rsid w:val="00CE40D0"/>
    <w:rsid w:val="00CE4C5C"/>
    <w:rsid w:val="00CE6555"/>
    <w:rsid w:val="00CE674F"/>
    <w:rsid w:val="00CE7025"/>
    <w:rsid w:val="00CF009A"/>
    <w:rsid w:val="00CF1D2E"/>
    <w:rsid w:val="00CF1F2E"/>
    <w:rsid w:val="00CF4D54"/>
    <w:rsid w:val="00CF6660"/>
    <w:rsid w:val="00CF7C4A"/>
    <w:rsid w:val="00D011E5"/>
    <w:rsid w:val="00D014DA"/>
    <w:rsid w:val="00D044AF"/>
    <w:rsid w:val="00D04690"/>
    <w:rsid w:val="00D05560"/>
    <w:rsid w:val="00D05D6B"/>
    <w:rsid w:val="00D06638"/>
    <w:rsid w:val="00D10878"/>
    <w:rsid w:val="00D1167D"/>
    <w:rsid w:val="00D12902"/>
    <w:rsid w:val="00D13918"/>
    <w:rsid w:val="00D200F8"/>
    <w:rsid w:val="00D20BE6"/>
    <w:rsid w:val="00D20F31"/>
    <w:rsid w:val="00D2166C"/>
    <w:rsid w:val="00D2359C"/>
    <w:rsid w:val="00D2372E"/>
    <w:rsid w:val="00D246A6"/>
    <w:rsid w:val="00D2506D"/>
    <w:rsid w:val="00D27C4E"/>
    <w:rsid w:val="00D30E95"/>
    <w:rsid w:val="00D319BC"/>
    <w:rsid w:val="00D31F25"/>
    <w:rsid w:val="00D33910"/>
    <w:rsid w:val="00D34AFE"/>
    <w:rsid w:val="00D34C79"/>
    <w:rsid w:val="00D35A84"/>
    <w:rsid w:val="00D361EA"/>
    <w:rsid w:val="00D365E6"/>
    <w:rsid w:val="00D366BA"/>
    <w:rsid w:val="00D366EB"/>
    <w:rsid w:val="00D41989"/>
    <w:rsid w:val="00D42339"/>
    <w:rsid w:val="00D42CC3"/>
    <w:rsid w:val="00D437A5"/>
    <w:rsid w:val="00D44A7B"/>
    <w:rsid w:val="00D459A8"/>
    <w:rsid w:val="00D5084E"/>
    <w:rsid w:val="00D51E9D"/>
    <w:rsid w:val="00D52F17"/>
    <w:rsid w:val="00D53863"/>
    <w:rsid w:val="00D54A8D"/>
    <w:rsid w:val="00D60884"/>
    <w:rsid w:val="00D61ACC"/>
    <w:rsid w:val="00D6209C"/>
    <w:rsid w:val="00D63458"/>
    <w:rsid w:val="00D63AB2"/>
    <w:rsid w:val="00D650C3"/>
    <w:rsid w:val="00D65663"/>
    <w:rsid w:val="00D67060"/>
    <w:rsid w:val="00D674F2"/>
    <w:rsid w:val="00D67F1F"/>
    <w:rsid w:val="00D71A81"/>
    <w:rsid w:val="00D73283"/>
    <w:rsid w:val="00D73809"/>
    <w:rsid w:val="00D77879"/>
    <w:rsid w:val="00D81446"/>
    <w:rsid w:val="00D81C17"/>
    <w:rsid w:val="00D81F55"/>
    <w:rsid w:val="00D826F0"/>
    <w:rsid w:val="00D82B73"/>
    <w:rsid w:val="00D8375B"/>
    <w:rsid w:val="00D8400D"/>
    <w:rsid w:val="00D84E78"/>
    <w:rsid w:val="00D85C34"/>
    <w:rsid w:val="00D86472"/>
    <w:rsid w:val="00D8779A"/>
    <w:rsid w:val="00D87B0E"/>
    <w:rsid w:val="00D87EF7"/>
    <w:rsid w:val="00D91ABC"/>
    <w:rsid w:val="00D92670"/>
    <w:rsid w:val="00D940B8"/>
    <w:rsid w:val="00D95A42"/>
    <w:rsid w:val="00D96181"/>
    <w:rsid w:val="00D9696B"/>
    <w:rsid w:val="00DA4030"/>
    <w:rsid w:val="00DA5203"/>
    <w:rsid w:val="00DA5447"/>
    <w:rsid w:val="00DA5D12"/>
    <w:rsid w:val="00DA6D77"/>
    <w:rsid w:val="00DB042E"/>
    <w:rsid w:val="00DB0D5A"/>
    <w:rsid w:val="00DB5744"/>
    <w:rsid w:val="00DB5FB5"/>
    <w:rsid w:val="00DC1BCB"/>
    <w:rsid w:val="00DC1C53"/>
    <w:rsid w:val="00DC272F"/>
    <w:rsid w:val="00DC44D8"/>
    <w:rsid w:val="00DC6A30"/>
    <w:rsid w:val="00DD1149"/>
    <w:rsid w:val="00DD2F65"/>
    <w:rsid w:val="00DD2FAF"/>
    <w:rsid w:val="00DD4EFD"/>
    <w:rsid w:val="00DD59F5"/>
    <w:rsid w:val="00DD5C41"/>
    <w:rsid w:val="00DE314F"/>
    <w:rsid w:val="00DE3B4B"/>
    <w:rsid w:val="00DE646D"/>
    <w:rsid w:val="00DE7821"/>
    <w:rsid w:val="00DE79FE"/>
    <w:rsid w:val="00DF03DB"/>
    <w:rsid w:val="00DF11B0"/>
    <w:rsid w:val="00DF2A6F"/>
    <w:rsid w:val="00DF36F5"/>
    <w:rsid w:val="00DF46BB"/>
    <w:rsid w:val="00DF52A4"/>
    <w:rsid w:val="00DF708E"/>
    <w:rsid w:val="00E00754"/>
    <w:rsid w:val="00E01A79"/>
    <w:rsid w:val="00E020ED"/>
    <w:rsid w:val="00E02F84"/>
    <w:rsid w:val="00E041DE"/>
    <w:rsid w:val="00E0513B"/>
    <w:rsid w:val="00E059CE"/>
    <w:rsid w:val="00E0647C"/>
    <w:rsid w:val="00E06D38"/>
    <w:rsid w:val="00E12D3F"/>
    <w:rsid w:val="00E135EB"/>
    <w:rsid w:val="00E15A93"/>
    <w:rsid w:val="00E163A3"/>
    <w:rsid w:val="00E17EAA"/>
    <w:rsid w:val="00E20559"/>
    <w:rsid w:val="00E21465"/>
    <w:rsid w:val="00E21552"/>
    <w:rsid w:val="00E215A0"/>
    <w:rsid w:val="00E21B8F"/>
    <w:rsid w:val="00E22D3B"/>
    <w:rsid w:val="00E24AD5"/>
    <w:rsid w:val="00E24B57"/>
    <w:rsid w:val="00E26C14"/>
    <w:rsid w:val="00E3092C"/>
    <w:rsid w:val="00E31822"/>
    <w:rsid w:val="00E32296"/>
    <w:rsid w:val="00E3596B"/>
    <w:rsid w:val="00E415CA"/>
    <w:rsid w:val="00E46099"/>
    <w:rsid w:val="00E4765A"/>
    <w:rsid w:val="00E508B9"/>
    <w:rsid w:val="00E513AA"/>
    <w:rsid w:val="00E51453"/>
    <w:rsid w:val="00E515CF"/>
    <w:rsid w:val="00E517B1"/>
    <w:rsid w:val="00E53D02"/>
    <w:rsid w:val="00E53D50"/>
    <w:rsid w:val="00E54F88"/>
    <w:rsid w:val="00E55A41"/>
    <w:rsid w:val="00E55ADE"/>
    <w:rsid w:val="00E56894"/>
    <w:rsid w:val="00E57410"/>
    <w:rsid w:val="00E577BC"/>
    <w:rsid w:val="00E607CD"/>
    <w:rsid w:val="00E63C7B"/>
    <w:rsid w:val="00E6554B"/>
    <w:rsid w:val="00E66368"/>
    <w:rsid w:val="00E6719F"/>
    <w:rsid w:val="00E7273E"/>
    <w:rsid w:val="00E7779A"/>
    <w:rsid w:val="00E8006E"/>
    <w:rsid w:val="00E82928"/>
    <w:rsid w:val="00E82CBE"/>
    <w:rsid w:val="00E82D81"/>
    <w:rsid w:val="00E837EF"/>
    <w:rsid w:val="00E83ABE"/>
    <w:rsid w:val="00E83C89"/>
    <w:rsid w:val="00E84BCE"/>
    <w:rsid w:val="00E86B16"/>
    <w:rsid w:val="00E87CCF"/>
    <w:rsid w:val="00E900C2"/>
    <w:rsid w:val="00E914E8"/>
    <w:rsid w:val="00E9152E"/>
    <w:rsid w:val="00E920C2"/>
    <w:rsid w:val="00E9404C"/>
    <w:rsid w:val="00E940BA"/>
    <w:rsid w:val="00E94606"/>
    <w:rsid w:val="00E94AF7"/>
    <w:rsid w:val="00E9660D"/>
    <w:rsid w:val="00E9701B"/>
    <w:rsid w:val="00E971F5"/>
    <w:rsid w:val="00E973EE"/>
    <w:rsid w:val="00E976D1"/>
    <w:rsid w:val="00E97F39"/>
    <w:rsid w:val="00EA0769"/>
    <w:rsid w:val="00EA0C18"/>
    <w:rsid w:val="00EA5347"/>
    <w:rsid w:val="00EA5DAF"/>
    <w:rsid w:val="00EA77DD"/>
    <w:rsid w:val="00EB0189"/>
    <w:rsid w:val="00EB1F67"/>
    <w:rsid w:val="00EB2425"/>
    <w:rsid w:val="00EB528E"/>
    <w:rsid w:val="00EB56F1"/>
    <w:rsid w:val="00EC1201"/>
    <w:rsid w:val="00EC2822"/>
    <w:rsid w:val="00EC3477"/>
    <w:rsid w:val="00EC35D3"/>
    <w:rsid w:val="00EC4921"/>
    <w:rsid w:val="00EC50D1"/>
    <w:rsid w:val="00EC611C"/>
    <w:rsid w:val="00EC6E1F"/>
    <w:rsid w:val="00ED06C8"/>
    <w:rsid w:val="00ED129B"/>
    <w:rsid w:val="00ED152E"/>
    <w:rsid w:val="00ED1CA8"/>
    <w:rsid w:val="00ED210F"/>
    <w:rsid w:val="00ED396C"/>
    <w:rsid w:val="00ED4456"/>
    <w:rsid w:val="00ED451E"/>
    <w:rsid w:val="00ED5C6D"/>
    <w:rsid w:val="00EE05EA"/>
    <w:rsid w:val="00EE2AEA"/>
    <w:rsid w:val="00EE36CF"/>
    <w:rsid w:val="00EE53C5"/>
    <w:rsid w:val="00EE5701"/>
    <w:rsid w:val="00EE5EC1"/>
    <w:rsid w:val="00EE6DEC"/>
    <w:rsid w:val="00EE6F8E"/>
    <w:rsid w:val="00EF1020"/>
    <w:rsid w:val="00EF1291"/>
    <w:rsid w:val="00EF16D0"/>
    <w:rsid w:val="00EF2209"/>
    <w:rsid w:val="00EF275A"/>
    <w:rsid w:val="00EF316A"/>
    <w:rsid w:val="00EF46BC"/>
    <w:rsid w:val="00EF5C99"/>
    <w:rsid w:val="00EF7606"/>
    <w:rsid w:val="00F00607"/>
    <w:rsid w:val="00F00744"/>
    <w:rsid w:val="00F014E3"/>
    <w:rsid w:val="00F01A62"/>
    <w:rsid w:val="00F03205"/>
    <w:rsid w:val="00F03E7C"/>
    <w:rsid w:val="00F05F3D"/>
    <w:rsid w:val="00F0635D"/>
    <w:rsid w:val="00F07024"/>
    <w:rsid w:val="00F0728C"/>
    <w:rsid w:val="00F07AB4"/>
    <w:rsid w:val="00F112EE"/>
    <w:rsid w:val="00F152E1"/>
    <w:rsid w:val="00F15541"/>
    <w:rsid w:val="00F16723"/>
    <w:rsid w:val="00F21A36"/>
    <w:rsid w:val="00F25B84"/>
    <w:rsid w:val="00F25D41"/>
    <w:rsid w:val="00F2703E"/>
    <w:rsid w:val="00F27DF2"/>
    <w:rsid w:val="00F31E14"/>
    <w:rsid w:val="00F31E6F"/>
    <w:rsid w:val="00F32A08"/>
    <w:rsid w:val="00F32D4F"/>
    <w:rsid w:val="00F34D2B"/>
    <w:rsid w:val="00F4436C"/>
    <w:rsid w:val="00F4514C"/>
    <w:rsid w:val="00F4534D"/>
    <w:rsid w:val="00F4567D"/>
    <w:rsid w:val="00F45DBA"/>
    <w:rsid w:val="00F46DDC"/>
    <w:rsid w:val="00F513C4"/>
    <w:rsid w:val="00F51F73"/>
    <w:rsid w:val="00F5227B"/>
    <w:rsid w:val="00F523CB"/>
    <w:rsid w:val="00F535E8"/>
    <w:rsid w:val="00F5394D"/>
    <w:rsid w:val="00F60EB9"/>
    <w:rsid w:val="00F637E6"/>
    <w:rsid w:val="00F65340"/>
    <w:rsid w:val="00F665F9"/>
    <w:rsid w:val="00F678B9"/>
    <w:rsid w:val="00F70AC1"/>
    <w:rsid w:val="00F71FBB"/>
    <w:rsid w:val="00F7356A"/>
    <w:rsid w:val="00F773D7"/>
    <w:rsid w:val="00F7764B"/>
    <w:rsid w:val="00F81B9A"/>
    <w:rsid w:val="00F828D8"/>
    <w:rsid w:val="00F828EA"/>
    <w:rsid w:val="00F836FC"/>
    <w:rsid w:val="00F84348"/>
    <w:rsid w:val="00F904AF"/>
    <w:rsid w:val="00F9135D"/>
    <w:rsid w:val="00F93E2F"/>
    <w:rsid w:val="00F943AA"/>
    <w:rsid w:val="00F9449A"/>
    <w:rsid w:val="00F9531A"/>
    <w:rsid w:val="00F95F18"/>
    <w:rsid w:val="00F96DE9"/>
    <w:rsid w:val="00F97375"/>
    <w:rsid w:val="00F97805"/>
    <w:rsid w:val="00FA068E"/>
    <w:rsid w:val="00FA0A5D"/>
    <w:rsid w:val="00FA2434"/>
    <w:rsid w:val="00FA3D92"/>
    <w:rsid w:val="00FA5F74"/>
    <w:rsid w:val="00FB3CB5"/>
    <w:rsid w:val="00FB4BEC"/>
    <w:rsid w:val="00FB5156"/>
    <w:rsid w:val="00FB534B"/>
    <w:rsid w:val="00FB5778"/>
    <w:rsid w:val="00FB5849"/>
    <w:rsid w:val="00FB5A63"/>
    <w:rsid w:val="00FB5DA6"/>
    <w:rsid w:val="00FB60E8"/>
    <w:rsid w:val="00FB61C8"/>
    <w:rsid w:val="00FB6744"/>
    <w:rsid w:val="00FB7BB8"/>
    <w:rsid w:val="00FC1091"/>
    <w:rsid w:val="00FC2231"/>
    <w:rsid w:val="00FC2332"/>
    <w:rsid w:val="00FC2AE3"/>
    <w:rsid w:val="00FC61F0"/>
    <w:rsid w:val="00FD177D"/>
    <w:rsid w:val="00FD1B00"/>
    <w:rsid w:val="00FD5CE3"/>
    <w:rsid w:val="00FD7FEE"/>
    <w:rsid w:val="00FE023B"/>
    <w:rsid w:val="00FE04F5"/>
    <w:rsid w:val="00FE0B19"/>
    <w:rsid w:val="00FE23A4"/>
    <w:rsid w:val="00FE34CD"/>
    <w:rsid w:val="00FE3D15"/>
    <w:rsid w:val="00FF2722"/>
    <w:rsid w:val="00FF2FDC"/>
    <w:rsid w:val="00FF6CDC"/>
    <w:rsid w:val="00FF7839"/>
    <w:rsid w:val="02D526AB"/>
    <w:rsid w:val="0A8936F9"/>
    <w:rsid w:val="0B410EE6"/>
    <w:rsid w:val="0C3C38B5"/>
    <w:rsid w:val="0D9B13BD"/>
    <w:rsid w:val="10122F2F"/>
    <w:rsid w:val="116D0F4A"/>
    <w:rsid w:val="12637E02"/>
    <w:rsid w:val="12B47656"/>
    <w:rsid w:val="139A1D5D"/>
    <w:rsid w:val="173C76E8"/>
    <w:rsid w:val="19DF4768"/>
    <w:rsid w:val="1B111F88"/>
    <w:rsid w:val="1B902665"/>
    <w:rsid w:val="1BED524A"/>
    <w:rsid w:val="1C25287F"/>
    <w:rsid w:val="1D7E7FE5"/>
    <w:rsid w:val="1DD97081"/>
    <w:rsid w:val="204C7EC7"/>
    <w:rsid w:val="20C470C7"/>
    <w:rsid w:val="21D9632F"/>
    <w:rsid w:val="24CA6E0D"/>
    <w:rsid w:val="2541298A"/>
    <w:rsid w:val="260A325E"/>
    <w:rsid w:val="26346A39"/>
    <w:rsid w:val="270D7DC1"/>
    <w:rsid w:val="27F868CE"/>
    <w:rsid w:val="28BD3F84"/>
    <w:rsid w:val="2A2870C6"/>
    <w:rsid w:val="2C552D38"/>
    <w:rsid w:val="2D0B6221"/>
    <w:rsid w:val="2D747B1E"/>
    <w:rsid w:val="2F130A02"/>
    <w:rsid w:val="2F560B53"/>
    <w:rsid w:val="2F784439"/>
    <w:rsid w:val="30C460AC"/>
    <w:rsid w:val="33266C79"/>
    <w:rsid w:val="33602867"/>
    <w:rsid w:val="34E707FB"/>
    <w:rsid w:val="379B7D90"/>
    <w:rsid w:val="3A3579E6"/>
    <w:rsid w:val="3B1A70F8"/>
    <w:rsid w:val="3EB47238"/>
    <w:rsid w:val="4237214A"/>
    <w:rsid w:val="43793CA6"/>
    <w:rsid w:val="442F5BE6"/>
    <w:rsid w:val="45F04081"/>
    <w:rsid w:val="486B037F"/>
    <w:rsid w:val="48EE646E"/>
    <w:rsid w:val="4B2A5A5D"/>
    <w:rsid w:val="4C8F110B"/>
    <w:rsid w:val="4C930C66"/>
    <w:rsid w:val="4DC76CDF"/>
    <w:rsid w:val="4E9D4176"/>
    <w:rsid w:val="4FA6508E"/>
    <w:rsid w:val="4FFDAAB6"/>
    <w:rsid w:val="510D2F21"/>
    <w:rsid w:val="51901D27"/>
    <w:rsid w:val="523A336B"/>
    <w:rsid w:val="5268172A"/>
    <w:rsid w:val="555109F7"/>
    <w:rsid w:val="57025B34"/>
    <w:rsid w:val="574E08AE"/>
    <w:rsid w:val="57ED7B93"/>
    <w:rsid w:val="59D4140D"/>
    <w:rsid w:val="5AF708D5"/>
    <w:rsid w:val="5B44673B"/>
    <w:rsid w:val="5B6E4F49"/>
    <w:rsid w:val="5BEF276B"/>
    <w:rsid w:val="5C9851CD"/>
    <w:rsid w:val="600B670B"/>
    <w:rsid w:val="64A00408"/>
    <w:rsid w:val="6511568C"/>
    <w:rsid w:val="67D16512"/>
    <w:rsid w:val="68C26CAE"/>
    <w:rsid w:val="6A00636F"/>
    <w:rsid w:val="6A085728"/>
    <w:rsid w:val="6DD04B36"/>
    <w:rsid w:val="6F2B1E06"/>
    <w:rsid w:val="70215AD4"/>
    <w:rsid w:val="721F3FF0"/>
    <w:rsid w:val="73375D69"/>
    <w:rsid w:val="7471283A"/>
    <w:rsid w:val="75524E99"/>
    <w:rsid w:val="779B54DC"/>
    <w:rsid w:val="78450281"/>
    <w:rsid w:val="78805029"/>
    <w:rsid w:val="7C4511A4"/>
    <w:rsid w:val="7D027FB2"/>
    <w:rsid w:val="7DFE00F8"/>
    <w:rsid w:val="7F7B325F"/>
    <w:rsid w:val="7F975973"/>
    <w:rsid w:val="E7F262C7"/>
    <w:rsid w:val="EAFCA3EE"/>
    <w:rsid w:val="EFD6F807"/>
    <w:rsid w:val="FBF99B1C"/>
    <w:rsid w:val="FFB5B8E9"/>
    <w:rsid w:val="FFEF0C83"/>
    <w:rsid w:val="FFFD51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2" w:semiHidden="0" w:name="heading 3"/>
    <w:lsdException w:qFormat="1" w:unhideWhenUsed="0" w:uiPriority="3"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1"/>
    <w:basedOn w:val="3"/>
    <w:next w:val="3"/>
    <w:link w:val="33"/>
    <w:qFormat/>
    <w:uiPriority w:val="0"/>
    <w:pPr>
      <w:adjustRightInd w:val="0"/>
      <w:snapToGrid w:val="0"/>
      <w:spacing w:before="120" w:after="60" w:line="500" w:lineRule="exact"/>
      <w:ind w:firstLine="200" w:firstLineChars="200"/>
      <w:outlineLvl w:val="0"/>
    </w:pPr>
    <w:rPr>
      <w:rFonts w:ascii="Times New Roman" w:hAnsi="Times New Roman" w:eastAsia="黑体" w:cs="Times New Roman"/>
      <w:bCs/>
      <w:kern w:val="44"/>
      <w:sz w:val="32"/>
      <w:szCs w:val="44"/>
      <w:lang w:val="zh-CN"/>
    </w:rPr>
  </w:style>
  <w:style w:type="paragraph" w:styleId="4">
    <w:name w:val="heading 2"/>
    <w:basedOn w:val="1"/>
    <w:next w:val="1"/>
    <w:link w:val="34"/>
    <w:qFormat/>
    <w:uiPriority w:val="1"/>
    <w:pPr>
      <w:keepNext/>
      <w:keepLines/>
      <w:adjustRightInd w:val="0"/>
      <w:snapToGrid w:val="0"/>
      <w:spacing w:before="120" w:after="60" w:line="460" w:lineRule="exact"/>
      <w:ind w:firstLine="200" w:firstLineChars="200"/>
      <w:outlineLvl w:val="1"/>
    </w:pPr>
    <w:rPr>
      <w:rFonts w:ascii="Times New Roman" w:hAnsi="Times New Roman" w:eastAsia="楷体_GB2312" w:cs="Times New Roman"/>
      <w:b/>
      <w:bCs/>
      <w:kern w:val="0"/>
      <w:sz w:val="32"/>
      <w:szCs w:val="32"/>
      <w:lang w:val="zh-CN"/>
    </w:rPr>
  </w:style>
  <w:style w:type="paragraph" w:styleId="5">
    <w:name w:val="heading 3"/>
    <w:basedOn w:val="3"/>
    <w:next w:val="3"/>
    <w:link w:val="35"/>
    <w:qFormat/>
    <w:uiPriority w:val="2"/>
    <w:pPr>
      <w:keepNext/>
      <w:keepLines/>
      <w:spacing w:before="120" w:after="60" w:line="460" w:lineRule="exact"/>
      <w:outlineLvl w:val="2"/>
    </w:pPr>
    <w:rPr>
      <w:b/>
      <w:bCs/>
      <w:szCs w:val="32"/>
    </w:rPr>
  </w:style>
  <w:style w:type="paragraph" w:styleId="6">
    <w:name w:val="heading 4"/>
    <w:basedOn w:val="3"/>
    <w:next w:val="1"/>
    <w:link w:val="36"/>
    <w:qFormat/>
    <w:uiPriority w:val="3"/>
    <w:pPr>
      <w:keepNext/>
      <w:keepLines/>
      <w:spacing w:before="120" w:after="60"/>
      <w:outlineLvl w:val="3"/>
    </w:pPr>
    <w:rPr>
      <w:b/>
      <w:bCs/>
    </w:rPr>
  </w:style>
  <w:style w:type="paragraph" w:styleId="7">
    <w:name w:val="heading 5"/>
    <w:basedOn w:val="3"/>
    <w:next w:val="3"/>
    <w:link w:val="37"/>
    <w:qFormat/>
    <w:uiPriority w:val="9"/>
    <w:pPr>
      <w:keepNext/>
      <w:keepLines/>
      <w:spacing w:before="120" w:after="60"/>
      <w:ind w:firstLine="0" w:firstLineChars="0"/>
      <w:outlineLvl w:val="4"/>
    </w:pPr>
    <w:rPr>
      <w:b/>
      <w:bCs/>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3">
    <w:name w:val="星耀正文"/>
    <w:basedOn w:val="1"/>
    <w:link w:val="32"/>
    <w:qFormat/>
    <w:uiPriority w:val="3"/>
    <w:pPr>
      <w:spacing w:line="600" w:lineRule="exact"/>
      <w:ind w:firstLine="200" w:firstLineChars="200"/>
    </w:pPr>
    <w:rPr>
      <w:rFonts w:ascii="Times New Roman" w:hAnsi="Times New Roman" w:eastAsia="仿宋_GB2312" w:cs="Times New Roman"/>
      <w:kern w:val="0"/>
      <w:sz w:val="32"/>
      <w:szCs w:val="28"/>
      <w:lang w:val="zh-CN"/>
    </w:rPr>
  </w:style>
  <w:style w:type="paragraph" w:styleId="8">
    <w:name w:val="toc 7"/>
    <w:basedOn w:val="1"/>
    <w:next w:val="1"/>
    <w:unhideWhenUsed/>
    <w:qFormat/>
    <w:uiPriority w:val="39"/>
    <w:pPr>
      <w:ind w:left="1260"/>
      <w:jc w:val="left"/>
    </w:pPr>
    <w:rPr>
      <w:rFonts w:eastAsia="等线"/>
      <w:sz w:val="18"/>
      <w:szCs w:val="18"/>
    </w:rPr>
  </w:style>
  <w:style w:type="paragraph" w:styleId="9">
    <w:name w:val="annotation text"/>
    <w:basedOn w:val="1"/>
    <w:link w:val="38"/>
    <w:unhideWhenUsed/>
    <w:qFormat/>
    <w:uiPriority w:val="99"/>
    <w:pPr>
      <w:jc w:val="left"/>
    </w:pPr>
  </w:style>
  <w:style w:type="paragraph" w:styleId="10">
    <w:name w:val="Block Text"/>
    <w:unhideWhenUsed/>
    <w:qFormat/>
    <w:uiPriority w:val="0"/>
    <w:pPr>
      <w:widowControl w:val="0"/>
      <w:adjustRightInd w:val="0"/>
      <w:snapToGrid w:val="0"/>
      <w:spacing w:after="120" w:line="560" w:lineRule="exact"/>
      <w:ind w:left="1440" w:leftChars="700" w:right="1440" w:rightChars="700" w:firstLine="200" w:firstLineChars="200"/>
      <w:jc w:val="both"/>
    </w:pPr>
    <w:rPr>
      <w:rFonts w:ascii="Calibri" w:hAnsi="Calibri" w:eastAsia="仿宋_GB2312" w:cs="Times New Roman"/>
      <w:kern w:val="2"/>
      <w:sz w:val="32"/>
      <w:szCs w:val="22"/>
      <w:lang w:val="en-US" w:eastAsia="zh-CN" w:bidi="ar-SA"/>
    </w:rPr>
  </w:style>
  <w:style w:type="paragraph" w:styleId="11">
    <w:name w:val="toc 5"/>
    <w:basedOn w:val="1"/>
    <w:next w:val="1"/>
    <w:unhideWhenUsed/>
    <w:qFormat/>
    <w:uiPriority w:val="39"/>
    <w:pPr>
      <w:ind w:left="840"/>
      <w:jc w:val="left"/>
    </w:pPr>
    <w:rPr>
      <w:rFonts w:eastAsia="等线"/>
      <w:sz w:val="18"/>
      <w:szCs w:val="18"/>
    </w:rPr>
  </w:style>
  <w:style w:type="paragraph" w:styleId="12">
    <w:name w:val="toc 3"/>
    <w:basedOn w:val="1"/>
    <w:next w:val="1"/>
    <w:unhideWhenUsed/>
    <w:qFormat/>
    <w:uiPriority w:val="39"/>
    <w:pPr>
      <w:ind w:left="420"/>
      <w:jc w:val="left"/>
    </w:pPr>
    <w:rPr>
      <w:rFonts w:eastAsia="等线"/>
      <w:i/>
      <w:iCs/>
      <w:sz w:val="20"/>
      <w:szCs w:val="20"/>
    </w:rPr>
  </w:style>
  <w:style w:type="paragraph" w:styleId="13">
    <w:name w:val="toc 8"/>
    <w:basedOn w:val="1"/>
    <w:next w:val="1"/>
    <w:unhideWhenUsed/>
    <w:qFormat/>
    <w:uiPriority w:val="39"/>
    <w:pPr>
      <w:ind w:left="1470"/>
      <w:jc w:val="left"/>
    </w:pPr>
    <w:rPr>
      <w:rFonts w:eastAsia="等线"/>
      <w:sz w:val="18"/>
      <w:szCs w:val="18"/>
    </w:rPr>
  </w:style>
  <w:style w:type="paragraph" w:styleId="14">
    <w:name w:val="endnote text"/>
    <w:basedOn w:val="1"/>
    <w:link w:val="39"/>
    <w:unhideWhenUsed/>
    <w:qFormat/>
    <w:uiPriority w:val="99"/>
    <w:pPr>
      <w:snapToGrid w:val="0"/>
      <w:jc w:val="left"/>
    </w:pPr>
  </w:style>
  <w:style w:type="paragraph" w:styleId="15">
    <w:name w:val="footer"/>
    <w:basedOn w:val="1"/>
    <w:link w:val="40"/>
    <w:unhideWhenUsed/>
    <w:qFormat/>
    <w:uiPriority w:val="99"/>
    <w:pPr>
      <w:tabs>
        <w:tab w:val="center" w:pos="4153"/>
        <w:tab w:val="right" w:pos="8306"/>
      </w:tabs>
      <w:snapToGrid w:val="0"/>
      <w:jc w:val="left"/>
    </w:pPr>
    <w:rPr>
      <w:sz w:val="18"/>
      <w:szCs w:val="18"/>
    </w:rPr>
  </w:style>
  <w:style w:type="paragraph" w:styleId="16">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left" w:pos="840"/>
        <w:tab w:val="right" w:leader="dot" w:pos="8296"/>
      </w:tabs>
      <w:spacing w:before="120" w:after="120"/>
      <w:jc w:val="left"/>
    </w:pPr>
    <w:rPr>
      <w:rFonts w:eastAsia="仿宋_GB2312"/>
      <w:b/>
      <w:bCs/>
      <w:caps/>
      <w:sz w:val="28"/>
      <w:szCs w:val="20"/>
    </w:rPr>
  </w:style>
  <w:style w:type="paragraph" w:styleId="18">
    <w:name w:val="toc 4"/>
    <w:basedOn w:val="1"/>
    <w:next w:val="1"/>
    <w:unhideWhenUsed/>
    <w:qFormat/>
    <w:uiPriority w:val="39"/>
    <w:pPr>
      <w:ind w:left="630"/>
      <w:jc w:val="left"/>
    </w:pPr>
    <w:rPr>
      <w:rFonts w:eastAsia="等线"/>
      <w:sz w:val="18"/>
      <w:szCs w:val="18"/>
    </w:rPr>
  </w:style>
  <w:style w:type="paragraph" w:styleId="19">
    <w:name w:val="footnote text"/>
    <w:basedOn w:val="1"/>
    <w:link w:val="42"/>
    <w:unhideWhenUsed/>
    <w:qFormat/>
    <w:uiPriority w:val="99"/>
    <w:pPr>
      <w:snapToGrid w:val="0"/>
      <w:jc w:val="left"/>
    </w:pPr>
    <w:rPr>
      <w:sz w:val="18"/>
      <w:szCs w:val="18"/>
    </w:rPr>
  </w:style>
  <w:style w:type="paragraph" w:styleId="20">
    <w:name w:val="toc 6"/>
    <w:basedOn w:val="1"/>
    <w:next w:val="1"/>
    <w:unhideWhenUsed/>
    <w:qFormat/>
    <w:uiPriority w:val="39"/>
    <w:pPr>
      <w:ind w:left="1050"/>
      <w:jc w:val="left"/>
    </w:pPr>
    <w:rPr>
      <w:rFonts w:eastAsia="等线"/>
      <w:sz w:val="18"/>
      <w:szCs w:val="18"/>
    </w:rPr>
  </w:style>
  <w:style w:type="paragraph" w:styleId="21">
    <w:name w:val="toc 2"/>
    <w:basedOn w:val="1"/>
    <w:next w:val="1"/>
    <w:unhideWhenUsed/>
    <w:qFormat/>
    <w:uiPriority w:val="39"/>
    <w:pPr>
      <w:tabs>
        <w:tab w:val="left" w:pos="1470"/>
        <w:tab w:val="right" w:leader="dot" w:pos="8296"/>
      </w:tabs>
      <w:spacing w:line="240" w:lineRule="atLeast"/>
      <w:ind w:left="210"/>
      <w:jc w:val="left"/>
    </w:pPr>
    <w:rPr>
      <w:rFonts w:eastAsia="仿宋_GB2312"/>
      <w:smallCaps/>
      <w:sz w:val="28"/>
      <w:szCs w:val="20"/>
    </w:rPr>
  </w:style>
  <w:style w:type="paragraph" w:styleId="22">
    <w:name w:val="toc 9"/>
    <w:basedOn w:val="1"/>
    <w:next w:val="1"/>
    <w:unhideWhenUsed/>
    <w:qFormat/>
    <w:uiPriority w:val="39"/>
    <w:pPr>
      <w:ind w:left="1680"/>
      <w:jc w:val="left"/>
    </w:pPr>
    <w:rPr>
      <w:rFonts w:eastAsia="等线"/>
      <w:sz w:val="18"/>
      <w:szCs w:val="18"/>
    </w:rPr>
  </w:style>
  <w:style w:type="paragraph" w:styleId="23">
    <w:name w:val="annotation subject"/>
    <w:basedOn w:val="9"/>
    <w:next w:val="9"/>
    <w:link w:val="43"/>
    <w:unhideWhenUsed/>
    <w:qFormat/>
    <w:uiPriority w:val="99"/>
    <w:rPr>
      <w:b/>
      <w:bCs/>
    </w:rPr>
  </w:style>
  <w:style w:type="table" w:styleId="25">
    <w:name w:val="Table Grid"/>
    <w:basedOn w:val="2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endnote reference"/>
    <w:basedOn w:val="26"/>
    <w:unhideWhenUsed/>
    <w:qFormat/>
    <w:uiPriority w:val="99"/>
    <w:rPr>
      <w:vertAlign w:val="superscript"/>
    </w:rPr>
  </w:style>
  <w:style w:type="character" w:styleId="28">
    <w:name w:val="page number"/>
    <w:basedOn w:val="26"/>
    <w:qFormat/>
    <w:uiPriority w:val="0"/>
  </w:style>
  <w:style w:type="character" w:styleId="29">
    <w:name w:val="Hyperlink"/>
    <w:basedOn w:val="26"/>
    <w:unhideWhenUsed/>
    <w:qFormat/>
    <w:uiPriority w:val="99"/>
    <w:rPr>
      <w:rFonts w:eastAsia="仿宋_GB2312"/>
      <w:color w:val="0563C1"/>
      <w:sz w:val="24"/>
      <w:u w:val="single"/>
    </w:rPr>
  </w:style>
  <w:style w:type="character" w:styleId="30">
    <w:name w:val="annotation reference"/>
    <w:basedOn w:val="26"/>
    <w:unhideWhenUsed/>
    <w:qFormat/>
    <w:uiPriority w:val="99"/>
    <w:rPr>
      <w:sz w:val="21"/>
      <w:szCs w:val="21"/>
    </w:rPr>
  </w:style>
  <w:style w:type="character" w:styleId="31">
    <w:name w:val="footnote reference"/>
    <w:basedOn w:val="26"/>
    <w:unhideWhenUsed/>
    <w:qFormat/>
    <w:uiPriority w:val="99"/>
    <w:rPr>
      <w:vertAlign w:val="superscript"/>
    </w:rPr>
  </w:style>
  <w:style w:type="character" w:customStyle="1" w:styleId="32">
    <w:name w:val="闻政正文 Char"/>
    <w:link w:val="3"/>
    <w:qFormat/>
    <w:uiPriority w:val="3"/>
    <w:rPr>
      <w:rFonts w:eastAsia="仿宋_GB2312"/>
      <w:sz w:val="32"/>
      <w:szCs w:val="28"/>
      <w:lang w:val="zh-CN"/>
    </w:rPr>
  </w:style>
  <w:style w:type="character" w:customStyle="1" w:styleId="33">
    <w:name w:val="标题 1 字符"/>
    <w:basedOn w:val="26"/>
    <w:link w:val="2"/>
    <w:qFormat/>
    <w:uiPriority w:val="0"/>
    <w:rPr>
      <w:rFonts w:eastAsia="黑体"/>
      <w:bCs/>
      <w:kern w:val="44"/>
      <w:sz w:val="32"/>
      <w:szCs w:val="44"/>
      <w:lang w:val="zh-CN"/>
    </w:rPr>
  </w:style>
  <w:style w:type="character" w:customStyle="1" w:styleId="34">
    <w:name w:val="标题 2 字符"/>
    <w:basedOn w:val="26"/>
    <w:link w:val="4"/>
    <w:qFormat/>
    <w:uiPriority w:val="1"/>
    <w:rPr>
      <w:rFonts w:eastAsia="楷体_GB2312"/>
      <w:b/>
      <w:bCs/>
      <w:sz w:val="32"/>
      <w:szCs w:val="32"/>
      <w:lang w:val="zh-CN"/>
    </w:rPr>
  </w:style>
  <w:style w:type="character" w:customStyle="1" w:styleId="35">
    <w:name w:val="标题 3 字符"/>
    <w:basedOn w:val="26"/>
    <w:link w:val="5"/>
    <w:qFormat/>
    <w:uiPriority w:val="2"/>
    <w:rPr>
      <w:rFonts w:eastAsia="仿宋_GB2312"/>
      <w:b/>
      <w:bCs/>
      <w:sz w:val="32"/>
      <w:szCs w:val="32"/>
      <w:lang w:val="zh-CN"/>
    </w:rPr>
  </w:style>
  <w:style w:type="character" w:customStyle="1" w:styleId="36">
    <w:name w:val="标题 4 字符"/>
    <w:basedOn w:val="26"/>
    <w:link w:val="6"/>
    <w:qFormat/>
    <w:uiPriority w:val="3"/>
    <w:rPr>
      <w:rFonts w:eastAsia="仿宋_GB2312"/>
      <w:b/>
      <w:bCs/>
      <w:sz w:val="32"/>
      <w:szCs w:val="28"/>
      <w:lang w:val="zh-CN"/>
    </w:rPr>
  </w:style>
  <w:style w:type="character" w:customStyle="1" w:styleId="37">
    <w:name w:val="标题 5 字符"/>
    <w:basedOn w:val="26"/>
    <w:link w:val="7"/>
    <w:qFormat/>
    <w:uiPriority w:val="9"/>
    <w:rPr>
      <w:rFonts w:ascii="Times New Roman" w:hAnsi="Times New Roman" w:eastAsia="仿宋_GB2312" w:cs="Times New Roman"/>
      <w:b/>
      <w:bCs/>
      <w:kern w:val="0"/>
      <w:sz w:val="32"/>
      <w:szCs w:val="28"/>
      <w:lang w:val="zh-CN"/>
    </w:rPr>
  </w:style>
  <w:style w:type="character" w:customStyle="1" w:styleId="38">
    <w:name w:val="批注文字 字符"/>
    <w:basedOn w:val="26"/>
    <w:link w:val="9"/>
    <w:qFormat/>
    <w:uiPriority w:val="99"/>
    <w:rPr>
      <w:szCs w:val="21"/>
    </w:rPr>
  </w:style>
  <w:style w:type="character" w:customStyle="1" w:styleId="39">
    <w:name w:val="尾注文本 字符"/>
    <w:basedOn w:val="26"/>
    <w:link w:val="14"/>
    <w:semiHidden/>
    <w:qFormat/>
    <w:uiPriority w:val="99"/>
    <w:rPr>
      <w:szCs w:val="21"/>
    </w:rPr>
  </w:style>
  <w:style w:type="character" w:customStyle="1" w:styleId="40">
    <w:name w:val="页脚 字符"/>
    <w:basedOn w:val="26"/>
    <w:link w:val="15"/>
    <w:qFormat/>
    <w:uiPriority w:val="99"/>
    <w:rPr>
      <w:sz w:val="18"/>
      <w:szCs w:val="18"/>
    </w:rPr>
  </w:style>
  <w:style w:type="character" w:customStyle="1" w:styleId="41">
    <w:name w:val="页眉 字符"/>
    <w:basedOn w:val="26"/>
    <w:link w:val="16"/>
    <w:qFormat/>
    <w:uiPriority w:val="0"/>
    <w:rPr>
      <w:sz w:val="18"/>
      <w:szCs w:val="18"/>
    </w:rPr>
  </w:style>
  <w:style w:type="character" w:customStyle="1" w:styleId="42">
    <w:name w:val="脚注文本 字符"/>
    <w:basedOn w:val="26"/>
    <w:link w:val="19"/>
    <w:qFormat/>
    <w:uiPriority w:val="99"/>
    <w:rPr>
      <w:sz w:val="18"/>
      <w:szCs w:val="18"/>
    </w:rPr>
  </w:style>
  <w:style w:type="character" w:customStyle="1" w:styleId="43">
    <w:name w:val="批注主题 字符"/>
    <w:basedOn w:val="38"/>
    <w:link w:val="23"/>
    <w:semiHidden/>
    <w:qFormat/>
    <w:uiPriority w:val="99"/>
    <w:rPr>
      <w:b/>
      <w:bCs/>
      <w:szCs w:val="21"/>
    </w:rPr>
  </w:style>
  <w:style w:type="paragraph" w:customStyle="1" w:styleId="44">
    <w:name w:val="星耀封面标题"/>
    <w:basedOn w:val="1"/>
    <w:next w:val="1"/>
    <w:qFormat/>
    <w:uiPriority w:val="0"/>
    <w:pPr>
      <w:jc w:val="center"/>
    </w:pPr>
    <w:rPr>
      <w:rFonts w:ascii="Times New Roman" w:hAnsi="Times New Roman" w:eastAsia="黑体" w:cs="Times New Roman"/>
      <w:snapToGrid w:val="0"/>
      <w:sz w:val="48"/>
      <w:szCs w:val="24"/>
    </w:rPr>
  </w:style>
  <w:style w:type="paragraph" w:customStyle="1" w:styleId="45">
    <w:name w:val="星耀封面项目信息"/>
    <w:basedOn w:val="1"/>
    <w:qFormat/>
    <w:uiPriority w:val="0"/>
    <w:pPr>
      <w:spacing w:before="120"/>
      <w:ind w:left="800" w:leftChars="800"/>
      <w:jc w:val="left"/>
    </w:pPr>
    <w:rPr>
      <w:rFonts w:ascii="Times New Roman" w:hAnsi="Times New Roman" w:eastAsia="仿宋_GB2312" w:cs="Times New Roman"/>
      <w:kern w:val="0"/>
      <w:sz w:val="32"/>
      <w:szCs w:val="28"/>
      <w:lang w:val="zh-CN"/>
    </w:rPr>
  </w:style>
  <w:style w:type="paragraph" w:customStyle="1" w:styleId="46">
    <w:name w:val="星耀目录标题"/>
    <w:basedOn w:val="44"/>
    <w:qFormat/>
    <w:uiPriority w:val="1"/>
  </w:style>
  <w:style w:type="paragraph" w:customStyle="1" w:styleId="47">
    <w:name w:val="星耀附件四级标题"/>
    <w:basedOn w:val="48"/>
    <w:qFormat/>
    <w:uiPriority w:val="9"/>
    <w:pPr>
      <w:spacing w:before="0" w:after="0"/>
    </w:pPr>
  </w:style>
  <w:style w:type="paragraph" w:customStyle="1" w:styleId="48">
    <w:name w:val="星耀附件三级标题"/>
    <w:basedOn w:val="49"/>
    <w:qFormat/>
    <w:uiPriority w:val="8"/>
    <w:rPr>
      <w:rFonts w:ascii="Times New Roman" w:hAnsi="Times New Roman" w:eastAsia="仿宋_GB2312"/>
    </w:rPr>
  </w:style>
  <w:style w:type="paragraph" w:customStyle="1" w:styleId="49">
    <w:name w:val="星耀附件二级标题"/>
    <w:basedOn w:val="50"/>
    <w:qFormat/>
    <w:uiPriority w:val="8"/>
    <w:rPr>
      <w:rFonts w:ascii="宋体" w:hAnsi="宋体" w:eastAsia="宋体"/>
    </w:rPr>
  </w:style>
  <w:style w:type="paragraph" w:customStyle="1" w:styleId="50">
    <w:name w:val="星耀附件一级标题"/>
    <w:basedOn w:val="1"/>
    <w:next w:val="1"/>
    <w:qFormat/>
    <w:uiPriority w:val="6"/>
    <w:pPr>
      <w:spacing w:before="120" w:after="60" w:line="500" w:lineRule="exact"/>
      <w:ind w:firstLine="200" w:firstLineChars="200"/>
      <w:jc w:val="left"/>
    </w:pPr>
    <w:rPr>
      <w:rFonts w:ascii="Times New Roman" w:hAnsi="Times New Roman" w:eastAsia="仿宋_GB2312" w:cs="宋体"/>
      <w:b/>
      <w:kern w:val="0"/>
      <w:sz w:val="28"/>
      <w:szCs w:val="28"/>
      <w:lang w:val="zh-CN"/>
    </w:rPr>
  </w:style>
  <w:style w:type="paragraph" w:styleId="51">
    <w:name w:val="List Paragraph"/>
    <w:basedOn w:val="1"/>
    <w:qFormat/>
    <w:uiPriority w:val="34"/>
    <w:pPr>
      <w:ind w:firstLine="420" w:firstLineChars="200"/>
    </w:pPr>
  </w:style>
  <w:style w:type="paragraph" w:customStyle="1" w:styleId="52">
    <w:name w:val="星耀图表名"/>
    <w:basedOn w:val="1"/>
    <w:link w:val="53"/>
    <w:qFormat/>
    <w:uiPriority w:val="4"/>
    <w:pPr>
      <w:spacing w:before="60" w:after="60"/>
      <w:jc w:val="center"/>
    </w:pPr>
    <w:rPr>
      <w:rFonts w:ascii="Times New Roman" w:hAnsi="Times New Roman" w:eastAsia="仿宋_GB2312" w:cs="Times New Roman"/>
      <w:b/>
      <w:kern w:val="0"/>
      <w:sz w:val="24"/>
      <w:szCs w:val="28"/>
    </w:rPr>
  </w:style>
  <w:style w:type="character" w:customStyle="1" w:styleId="53">
    <w:name w:val="闻政图表名 字符"/>
    <w:link w:val="52"/>
    <w:qFormat/>
    <w:uiPriority w:val="4"/>
    <w:rPr>
      <w:rFonts w:ascii="Times New Roman" w:hAnsi="Times New Roman" w:eastAsia="仿宋_GB2312" w:cs="Times New Roman"/>
      <w:b/>
      <w:kern w:val="0"/>
      <w:sz w:val="24"/>
      <w:szCs w:val="28"/>
    </w:rPr>
  </w:style>
  <w:style w:type="paragraph" w:customStyle="1" w:styleId="54">
    <w:name w:val="星耀表文字"/>
    <w:basedOn w:val="3"/>
    <w:link w:val="55"/>
    <w:qFormat/>
    <w:uiPriority w:val="5"/>
    <w:pPr>
      <w:widowControl/>
      <w:spacing w:line="320" w:lineRule="exact"/>
      <w:ind w:firstLine="0" w:firstLineChars="0"/>
      <w:jc w:val="center"/>
    </w:pPr>
    <w:rPr>
      <w:rFonts w:cs="宋体"/>
      <w:bCs/>
      <w:color w:val="000000"/>
      <w:sz w:val="22"/>
      <w:szCs w:val="22"/>
    </w:rPr>
  </w:style>
  <w:style w:type="character" w:customStyle="1" w:styleId="55">
    <w:name w:val="闻政表文字 字符"/>
    <w:link w:val="54"/>
    <w:qFormat/>
    <w:uiPriority w:val="5"/>
    <w:rPr>
      <w:rFonts w:ascii="Times New Roman" w:hAnsi="Times New Roman" w:eastAsia="仿宋_GB2312" w:cs="宋体"/>
      <w:bCs/>
      <w:color w:val="000000"/>
      <w:kern w:val="0"/>
      <w:sz w:val="22"/>
      <w:lang w:val="zh-CN"/>
    </w:rPr>
  </w:style>
  <w:style w:type="paragraph" w:customStyle="1" w:styleId="56">
    <w:name w:val="星耀附件标题"/>
    <w:basedOn w:val="3"/>
    <w:qFormat/>
    <w:uiPriority w:val="6"/>
    <w:pPr>
      <w:spacing w:before="120" w:after="60" w:line="240" w:lineRule="auto"/>
      <w:ind w:firstLine="0" w:firstLineChars="0"/>
      <w:outlineLvl w:val="0"/>
    </w:pPr>
    <w:rPr>
      <w:rFonts w:eastAsia="黑体"/>
      <w:b/>
    </w:rPr>
  </w:style>
  <w:style w:type="paragraph" w:customStyle="1" w:styleId="57">
    <w:name w:val="星耀附件正文"/>
    <w:basedOn w:val="3"/>
    <w:qFormat/>
    <w:uiPriority w:val="6"/>
    <w:rPr>
      <w:sz w:val="28"/>
    </w:rPr>
  </w:style>
  <w:style w:type="paragraph" w:customStyle="1" w:styleId="58">
    <w:name w:val="星耀脚注"/>
    <w:basedOn w:val="3"/>
    <w:qFormat/>
    <w:uiPriority w:val="9"/>
    <w:pPr>
      <w:spacing w:line="400" w:lineRule="exact"/>
      <w:ind w:firstLine="0" w:firstLineChars="0"/>
    </w:pPr>
    <w:rPr>
      <w:sz w:val="18"/>
    </w:rPr>
  </w:style>
  <w:style w:type="character" w:customStyle="1" w:styleId="59">
    <w:name w:val="标题 2 字符1"/>
    <w:qFormat/>
    <w:uiPriority w:val="1"/>
    <w:rPr>
      <w:rFonts w:ascii="Arial" w:hAnsi="Arial" w:eastAsia="黑体"/>
      <w:b/>
      <w:sz w:val="32"/>
    </w:rPr>
  </w:style>
  <w:style w:type="paragraph" w:customStyle="1" w:styleId="60">
    <w:name w:val="闻政正文"/>
    <w:basedOn w:val="1"/>
    <w:qFormat/>
    <w:uiPriority w:val="99"/>
    <w:pPr>
      <w:spacing w:line="500" w:lineRule="exact"/>
      <w:ind w:firstLine="200" w:firstLineChars="200"/>
    </w:pPr>
    <w:rPr>
      <w:rFonts w:ascii="Times New Roman" w:hAnsi="Times New Roman" w:eastAsia="仿宋_GB2312" w:cs="Times New Roman"/>
      <w:kern w:val="0"/>
      <w:sz w:val="28"/>
      <w:szCs w:val="28"/>
      <w:lang w:val="zh-CN"/>
    </w:rPr>
  </w:style>
  <w:style w:type="character" w:customStyle="1" w:styleId="61">
    <w:name w:val="font31"/>
    <w:basedOn w:val="26"/>
    <w:qFormat/>
    <w:uiPriority w:val="0"/>
    <w:rPr>
      <w:rFonts w:hint="eastAsia" w:ascii="仿宋_GB2312" w:eastAsia="仿宋_GB2312" w:cs="仿宋_GB2312"/>
      <w:color w:val="000000"/>
      <w:sz w:val="22"/>
      <w:szCs w:val="22"/>
      <w:u w:val="none"/>
    </w:rPr>
  </w:style>
  <w:style w:type="character" w:customStyle="1" w:styleId="62">
    <w:name w:val="font61"/>
    <w:basedOn w:val="26"/>
    <w:qFormat/>
    <w:uiPriority w:val="0"/>
    <w:rPr>
      <w:rFonts w:hint="eastAsia" w:ascii="仿宋_GB2312" w:eastAsia="仿宋_GB2312" w:cs="仿宋_GB2312"/>
      <w:color w:val="000000"/>
      <w:sz w:val="22"/>
      <w:szCs w:val="22"/>
      <w:u w:val="none"/>
    </w:rPr>
  </w:style>
  <w:style w:type="character" w:customStyle="1" w:styleId="63">
    <w:name w:val="font71"/>
    <w:basedOn w:val="26"/>
    <w:qFormat/>
    <w:uiPriority w:val="0"/>
    <w:rPr>
      <w:rFonts w:hint="eastAsia" w:ascii="宋体" w:hAnsi="宋体" w:eastAsia="宋体" w:cs="宋体"/>
      <w:color w:val="000000"/>
      <w:sz w:val="22"/>
      <w:szCs w:val="22"/>
      <w:u w:val="none"/>
    </w:rPr>
  </w:style>
  <w:style w:type="character" w:customStyle="1" w:styleId="64">
    <w:name w:val="font01"/>
    <w:basedOn w:val="26"/>
    <w:qFormat/>
    <w:uiPriority w:val="0"/>
    <w:rPr>
      <w:rFonts w:hint="eastAsia" w:ascii="宋体" w:hAnsi="宋体" w:eastAsia="宋体" w:cs="宋体"/>
      <w:color w:val="000000"/>
      <w:sz w:val="22"/>
      <w:szCs w:val="22"/>
      <w:u w:val="none"/>
    </w:rPr>
  </w:style>
  <w:style w:type="character" w:customStyle="1" w:styleId="65">
    <w:name w:val="font51"/>
    <w:basedOn w:val="26"/>
    <w:qFormat/>
    <w:uiPriority w:val="0"/>
    <w:rPr>
      <w:rFonts w:hint="default" w:ascii="Times New Roman" w:hAnsi="Times New Roman" w:cs="Times New Roman"/>
      <w:color w:val="000000"/>
      <w:sz w:val="22"/>
      <w:szCs w:val="22"/>
      <w:u w:val="none"/>
    </w:rPr>
  </w:style>
  <w:style w:type="character" w:customStyle="1" w:styleId="66">
    <w:name w:val="font41"/>
    <w:basedOn w:val="26"/>
    <w:qFormat/>
    <w:uiPriority w:val="0"/>
    <w:rPr>
      <w:rFonts w:hint="eastAsia" w:ascii="宋体" w:hAnsi="宋体" w:eastAsia="宋体" w:cs="宋体"/>
      <w:color w:val="000000"/>
      <w:sz w:val="22"/>
      <w:szCs w:val="22"/>
      <w:u w:val="none"/>
    </w:rPr>
  </w:style>
  <w:style w:type="paragraph" w:customStyle="1" w:styleId="67">
    <w:name w:val="TOC 标题1"/>
    <w:basedOn w:val="2"/>
    <w:next w:val="1"/>
    <w:unhideWhenUsed/>
    <w:qFormat/>
    <w:uiPriority w:val="39"/>
    <w:pPr>
      <w:keepNext/>
      <w:keepLines/>
      <w:widowControl/>
      <w:spacing w:before="240" w:after="0" w:line="259" w:lineRule="auto"/>
      <w:jc w:val="left"/>
      <w:outlineLvl w:val="9"/>
    </w:pPr>
    <w:rPr>
      <w:rFonts w:ascii="等线 Light" w:hAnsi="等线 Light" w:eastAsia="等线 Light" w:cs="Times New Roman"/>
      <w:bCs w:val="0"/>
      <w:color w:val="2F5496"/>
      <w:kern w:val="0"/>
      <w:szCs w:val="32"/>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2101</Words>
  <Characters>2329</Characters>
  <Lines>35</Lines>
  <Paragraphs>9</Paragraphs>
  <TotalTime>117</TotalTime>
  <ScaleCrop>false</ScaleCrop>
  <LinksUpToDate>false</LinksUpToDate>
  <CharactersWithSpaces>2330</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2022-12-15T06:54:00Z</dcterms:created>
  <dc:creator>姝怡 刘</dc:creator>
  <cp:lastModifiedBy>刘丹维</cp:lastModifiedBy>
  <cp:lastPrinted>2022-12-15T23:03:00Z</cp:lastPrinted>
  <dcterms:modified xsi:type="dcterms:W3CDTF">2022-12-15T10:36:13Z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6B676AAE053C4E16BB07CD23318ED8EE</vt:lpwstr>
  </property>
</Properties>
</file>