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3</w:t>
      </w:r>
      <w:bookmarkStart w:id="20" w:name="_GoBack"/>
      <w:bookmarkEnd w:id="2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2021年大鹏新区民生微实事项目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C0C0C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C0C0C"/>
          <w:sz w:val="32"/>
          <w:szCs w:val="32"/>
        </w:rPr>
        <w:t>（简版）</w:t>
      </w:r>
    </w:p>
    <w:p>
      <w:pPr>
        <w:pStyle w:val="4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ascii="仿宋_GB2312" w:hAnsi="楷体" w:cs="楷体_GB2312"/>
          <w:color w:val="000000"/>
          <w:spacing w:val="-2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2022年5月-2022年</w:t>
      </w:r>
      <w:r>
        <w:rPr>
          <w:rFonts w:hint="default" w:ascii="仿宋_GB2312" w:hAnsi="宋体" w:eastAsia="仿宋_GB2312" w:cs="仿宋_GB2312"/>
          <w:color w:val="0C0C0C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月期间，深圳市大鹏新区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  <w:lang w:eastAsia="zh-CN"/>
        </w:rPr>
        <w:t>发展和财政局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组织评价组对</w:t>
      </w:r>
      <w:r>
        <w:rPr>
          <w:rFonts w:hint="default" w:ascii="仿宋_GB2312" w:hAnsi="宋体" w:eastAsia="仿宋_GB2312" w:cs="仿宋_GB2312"/>
          <w:color w:val="0C0C0C"/>
          <w:sz w:val="32"/>
          <w:szCs w:val="32"/>
        </w:rPr>
        <w:t>2021年大鹏新区民生微实事项目开展绩效评价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，绩效评价结果为</w:t>
      </w:r>
      <w:r>
        <w:rPr>
          <w:rFonts w:hint="default" w:ascii="仿宋_GB2312" w:hAnsi="宋体" w:eastAsia="仿宋_GB2312" w:cs="仿宋_GB2312"/>
          <w:color w:val="0C0C0C"/>
          <w:sz w:val="32"/>
          <w:szCs w:val="32"/>
        </w:rPr>
        <w:t>75.29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分，绩效评级为“中”。具体情况如下：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bookmarkStart w:id="0" w:name="_Toc71763201_WPSOffice_Level1"/>
      <w:bookmarkStart w:id="1" w:name="_Toc206034498"/>
      <w:bookmarkStart w:id="2" w:name="_Toc1552061140"/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、基本情况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bCs/>
          <w:sz w:val="32"/>
          <w:szCs w:val="32"/>
          <w:lang w:val="en-US" w:eastAsia="zh-Hans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项目主要用于开展群众急切盼望的小事，通过“群众点菜、政府买单”的方式开展。</w:t>
      </w:r>
      <w:r>
        <w:rPr>
          <w:rFonts w:hint="default" w:ascii="仿宋_GB2312" w:hAnsi="黑体" w:eastAsia="仿宋_GB2312"/>
          <w:bCs/>
          <w:sz w:val="32"/>
          <w:szCs w:val="32"/>
          <w:lang w:eastAsia="zh-Hans"/>
        </w:rPr>
        <w:t>2021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年共实施项目</w:t>
      </w:r>
      <w:r>
        <w:rPr>
          <w:rFonts w:hint="default" w:ascii="仿宋_GB2312" w:hAnsi="黑体" w:eastAsia="仿宋_GB2312"/>
          <w:bCs/>
          <w:sz w:val="32"/>
          <w:szCs w:val="32"/>
          <w:lang w:eastAsia="zh-Hans"/>
        </w:rPr>
        <w:t>645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个，其中，葵涌办事处17</w:t>
      </w:r>
      <w:r>
        <w:rPr>
          <w:rFonts w:hint="default" w:ascii="仿宋_GB2312" w:hAnsi="黑体" w:eastAsia="仿宋_GB2312"/>
          <w:bCs/>
          <w:sz w:val="32"/>
          <w:szCs w:val="32"/>
          <w:lang w:eastAsia="zh-Hans"/>
        </w:rPr>
        <w:t>6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个，大鹏办事处</w:t>
      </w:r>
      <w:r>
        <w:rPr>
          <w:rFonts w:hint="default" w:ascii="仿宋_GB2312" w:hAnsi="黑体" w:eastAsia="仿宋_GB2312"/>
          <w:bCs/>
          <w:sz w:val="32"/>
          <w:szCs w:val="32"/>
          <w:lang w:eastAsia="zh-Hans"/>
        </w:rPr>
        <w:t>224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个，南澳办事处</w:t>
      </w:r>
      <w:r>
        <w:rPr>
          <w:rFonts w:hint="default" w:ascii="仿宋_GB2312" w:hAnsi="黑体" w:eastAsia="仿宋_GB2312"/>
          <w:bCs/>
          <w:sz w:val="32"/>
          <w:szCs w:val="32"/>
          <w:lang w:eastAsia="zh-Hans"/>
        </w:rPr>
        <w:t>245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个。</w:t>
      </w:r>
      <w:r>
        <w:rPr>
          <w:rFonts w:hint="default" w:ascii="仿宋_GB2312" w:hAnsi="黑体" w:eastAsia="仿宋_GB2312"/>
          <w:bCs/>
          <w:sz w:val="32"/>
          <w:szCs w:val="32"/>
          <w:lang w:eastAsia="zh-Hans"/>
        </w:rPr>
        <w:t>2021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Hans"/>
        </w:rPr>
        <w:t>年项目申请预算</w:t>
      </w:r>
      <w:r>
        <w:rPr>
          <w:rFonts w:hint="default" w:ascii="仿宋_GB2312" w:eastAsia="仿宋_GB2312"/>
          <w:sz w:val="32"/>
          <w:szCs w:val="32"/>
          <w:highlight w:val="none"/>
        </w:rPr>
        <w:t>5,000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>期间调整至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4,779.49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>万元，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实际执行数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  <w:lang w:val="en-US" w:eastAsia="zh-Hans"/>
        </w:rPr>
        <w:t>为</w:t>
      </w:r>
      <w:r>
        <w:rPr>
          <w:rFonts w:hint="eastAsia" w:ascii="仿宋_GB2312" w:eastAsia="仿宋_GB2312"/>
          <w:sz w:val="32"/>
          <w:szCs w:val="32"/>
          <w:lang w:eastAsia="zh-Hans"/>
        </w:rPr>
        <w:t>4,707.38万元，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执行率为</w:t>
      </w:r>
      <w:r>
        <w:rPr>
          <w:rFonts w:hint="eastAsia" w:ascii="仿宋_GB2312" w:eastAsia="仿宋_GB2312"/>
          <w:sz w:val="32"/>
          <w:szCs w:val="32"/>
          <w:lang w:eastAsia="zh-Hans"/>
        </w:rPr>
        <w:t>98.49%。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其中，葵涌办事处安排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1,579.49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>万元，支出1,555.17万元，执行率98.46%；大鹏办事处安排1,400万元，支出1,353.04万元，执行率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ab/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>96.65%；南澳办事处安排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1,800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>万元，支出1,799.16万元，执行率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ab/>
      </w:r>
      <w:r>
        <w:rPr>
          <w:rFonts w:hint="eastAsia" w:ascii="仿宋_GB2312" w:eastAsia="仿宋_GB2312"/>
          <w:sz w:val="32"/>
          <w:szCs w:val="32"/>
          <w:highlight w:val="none"/>
          <w:lang w:val="en-US" w:eastAsia="zh-Hans"/>
        </w:rPr>
        <w:t>99.95%。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  <w:highlight w:val="none"/>
          <w:lang w:eastAsia="zh-Hans"/>
        </w:rPr>
      </w:pPr>
      <w:bookmarkStart w:id="3" w:name="_Toc86218556"/>
      <w:bookmarkStart w:id="4" w:name="_Toc89677853"/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bookmarkEnd w:id="3"/>
      <w:bookmarkEnd w:id="4"/>
      <w:bookmarkStart w:id="5" w:name="_Toc87348782"/>
      <w:r>
        <w:rPr>
          <w:rFonts w:hint="default" w:ascii="黑体" w:hAnsi="黑体" w:eastAsia="黑体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Hans"/>
        </w:rPr>
        <w:t>成效</w:t>
      </w:r>
      <w:bookmarkEnd w:id="5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b w:val="0"/>
          <w:bCs w:val="0"/>
          <w:sz w:val="32"/>
          <w:szCs w:val="32"/>
          <w:lang w:eastAsia="zh-Hans"/>
        </w:rPr>
      </w:pPr>
      <w:bookmarkStart w:id="6" w:name="_Toc1339648173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项目服务种类丰富，覆盖范围广，受惠群众多</w:t>
      </w:r>
      <w:bookmarkEnd w:id="6"/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在服务覆盖面上，项目覆盖三个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共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个社区，项目有效惠及各社区民众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在项目开展种类上，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年共开展服务类项目497个、工程类项目83个、货物类项目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83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个，开展种类丰富，能满足居民文化娱乐生活，进一步提升居民综合素养。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b w:val="0"/>
          <w:bCs w:val="0"/>
          <w:sz w:val="32"/>
          <w:szCs w:val="32"/>
          <w:lang w:eastAsia="zh-Hans"/>
        </w:rPr>
      </w:pPr>
      <w:bookmarkStart w:id="7" w:name="_Toc1248288463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项目广泛问需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做好满意度评估，群众认同感高</w:t>
      </w:r>
      <w:bookmarkEnd w:id="7"/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在征集环节上，社区通过“线上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线下”多渠道问需的方式，向人大代表、社区居民、企业、社会组织等多个主体进行意见征集，征集的人员群体较为广泛。在实施验收环节上，服务结束后，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聘请第三方公司进行满意度调查回访，确保民众能够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项目完成质量进行监督。根据满意度调查结果，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96.71%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的群众愿意参与民生微实事项目，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受益群众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认同感高。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b w:val="0"/>
          <w:bCs w:val="0"/>
          <w:sz w:val="32"/>
          <w:szCs w:val="32"/>
          <w:lang w:eastAsia="zh-Hans"/>
        </w:rPr>
      </w:pPr>
      <w:bookmarkStart w:id="8" w:name="_Toc121645009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项目精准问需，</w:t>
      </w:r>
      <w:bookmarkEnd w:id="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有效解决群众需求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通过精准问需，有效解决部分社区的弊病、隐患，弘扬本地特色文化。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例如，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葵涌办事处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开展停车场建设改造项目，新增机动车位超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个，新增非机动车位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个，有效缓解民众停车难的压力。又如，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大鹏办事处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通过安装视频监控、安装充电桩挡雨棚、增加消防设备等项目，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降低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城中村区域的安全隐患。再如，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南澳办事处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的省、市级非物质文化遗产项目占大鹏新区半数，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年项目通过开展非遗文化进社区、海胆粽传承与技艺制作等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，做好非物质文化遗产保护和传承。根据满意度调查结果，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Hans"/>
        </w:rPr>
        <w:t>93.39%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Hans"/>
        </w:rPr>
        <w:t>的群众对民生微实事项目满意，项目有效增进民生福祉。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  <w:lang w:eastAsia="zh-Hans"/>
        </w:rPr>
      </w:pPr>
      <w:bookmarkStart w:id="9" w:name="_Toc832477646"/>
      <w:r>
        <w:rPr>
          <w:rFonts w:hint="default" w:ascii="黑体" w:hAnsi="黑体" w:eastAsia="黑体" w:cs="黑体"/>
          <w:sz w:val="32"/>
          <w:szCs w:val="32"/>
          <w:highlight w:val="none"/>
          <w:lang w:eastAsia="zh-Hans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Hans"/>
        </w:rPr>
        <w:t>存在问题</w:t>
      </w:r>
      <w:bookmarkEnd w:id="9"/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</w:pPr>
      <w:bookmarkStart w:id="10" w:name="_Toc595836117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（一）</w:t>
      </w:r>
      <w:bookmarkEnd w:id="1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项目执行不够及时，导致支出效率不够高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部分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项目单位未能灵活调配盈余资金，存在工程类项目未能及时结算导致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预算调整的情况。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</w:pPr>
      <w:bookmarkStart w:id="11" w:name="_Toc50137245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（二）项目成本控制意识不够，</w:t>
      </w:r>
      <w:bookmarkEnd w:id="1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未建立支出标准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  <w:t>技术人员培训费以外的人力成本价格不够明确，人力成本以外的活动费用、物资费用也无有效的价格标准，导致难以精准指导新立项项目预算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同一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>办事处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、不同社区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>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同类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项目，其服务效益与支出金额比值差异较大。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</w:pPr>
      <w:bookmarkStart w:id="12" w:name="_Toc1988554425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（三）部分项目未能达到预期产出和效益</w:t>
      </w:r>
      <w:bookmarkEnd w:id="12"/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outlineLvl w:val="9"/>
        <w:rPr>
          <w:rFonts w:hint="default" w:ascii="仿宋_GB2312" w:hAnsi="黑体" w:eastAsia="仿宋_GB2312"/>
          <w:b w:val="0"/>
          <w:bCs w:val="0"/>
          <w:sz w:val="32"/>
          <w:szCs w:val="48"/>
          <w:lang w:val="en-US" w:eastAsia="zh-Hans"/>
        </w:rPr>
      </w:pPr>
      <w:r>
        <w:rPr>
          <w:rFonts w:hint="default" w:ascii="仿宋_GB2312" w:hAnsi="黑体" w:eastAsia="仿宋_GB2312"/>
          <w:b/>
          <w:bCs w:val="0"/>
          <w:sz w:val="32"/>
          <w:szCs w:val="48"/>
          <w:lang w:eastAsia="zh-Hans"/>
        </w:rPr>
        <w:t>一是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新立项项目实施时效性不足，从当年验收率、政策要求、合同期限来看，均有部分新立项项目未能及时完成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CN"/>
        </w:rPr>
        <w:t>。</w:t>
      </w:r>
      <w:r>
        <w:rPr>
          <w:rFonts w:hint="default" w:ascii="仿宋_GB2312" w:hAnsi="黑体" w:eastAsia="仿宋_GB2312"/>
          <w:b/>
          <w:bCs w:val="0"/>
          <w:sz w:val="32"/>
          <w:szCs w:val="48"/>
          <w:lang w:eastAsia="zh-Hans"/>
        </w:rPr>
        <w:t>二是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意见征集要求不够明确，个别社区对征集不重视，各社区征集情况差异较大。</w:t>
      </w:r>
      <w:r>
        <w:rPr>
          <w:rFonts w:hint="default" w:ascii="仿宋_GB2312" w:hAnsi="黑体" w:eastAsia="仿宋_GB2312"/>
          <w:b/>
          <w:bCs w:val="0"/>
          <w:sz w:val="32"/>
          <w:szCs w:val="48"/>
          <w:lang w:eastAsia="zh-Hans"/>
        </w:rPr>
        <w:t>三是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办事处统筹项目实施较少，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  <w:t>同一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办事处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  <w:t>不同社区中有较多新立项项目的实施内容基本一致，但办事处未统筹相似项目实施。</w:t>
      </w:r>
      <w:r>
        <w:rPr>
          <w:rFonts w:hint="default" w:ascii="仿宋_GB2312" w:eastAsia="仿宋_GB2312"/>
          <w:b/>
          <w:bCs w:val="0"/>
          <w:sz w:val="32"/>
          <w:szCs w:val="32"/>
          <w:highlight w:val="none"/>
          <w:lang w:eastAsia="zh-Hans"/>
        </w:rPr>
        <w:t>四是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  <w:t>个别项目完成质量有待提高，主要包括项目存在风险未能验收、前期准备不充分而取消项目、验收管理不严导致项目质量存疑等</w:t>
      </w:r>
      <w:r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eastAsia="zh-Hans"/>
        </w:rPr>
        <w:t>情况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  <w:t>。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</w:pPr>
      <w:bookmarkStart w:id="13" w:name="_Toc346222714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（四）项目管理比较粗放，</w:t>
      </w:r>
      <w:bookmarkEnd w:id="13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实施规范性不足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存在履职管理不到位的情况，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CN"/>
        </w:rPr>
        <w:t>项目主管部门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未充分做好日常工作指导培训；存在个别新立项项目与区级项目服务范围重复覆盖、合同条款约定不清晰、成果归档整理缓慢且有材料缺失的情况。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bookmarkStart w:id="14" w:name="_Toc779985047"/>
      <w:r>
        <w:rPr>
          <w:rFonts w:hint="default" w:ascii="黑体" w:hAnsi="黑体" w:eastAsia="黑体" w:cs="黑体"/>
          <w:sz w:val="32"/>
          <w:szCs w:val="32"/>
          <w:highlight w:val="none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、改进建议</w:t>
      </w:r>
      <w:bookmarkEnd w:id="14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both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</w:pPr>
      <w:bookmarkStart w:id="15" w:name="_Toc752076292"/>
      <w:bookmarkStart w:id="16" w:name="_Toc96850364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一）严格控制项目进度</w:t>
      </w:r>
      <w:bookmarkEnd w:id="15"/>
      <w:bookmarkEnd w:id="16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，确保资金高效使用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default" w:ascii="仿宋_GB2312" w:hAnsi="仿宋_GB2312" w:cs="仿宋_GB2312"/>
          <w:b/>
          <w:bCs w:val="0"/>
          <w:sz w:val="32"/>
          <w:szCs w:val="32"/>
          <w:lang w:eastAsia="zh-Hans"/>
        </w:rPr>
        <w:t>一是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Hans"/>
        </w:rPr>
        <w:t>加强项目进度管控。建议制定科学、合理、切实可行的项目实施计划，并对征集、评议、实施、验收、结算等各环节进行分解，明确具体完成的时间节点，并做好进度跟踪和预警；同时，建立严格的进度管理机制，按照倒排工期的方式，对项目进度进行定期跟踪和反馈，并加强对服务时效性考核落实。</w:t>
      </w:r>
      <w:r>
        <w:rPr>
          <w:rFonts w:hint="default" w:ascii="仿宋_GB2312" w:hAnsi="仿宋_GB2312" w:cs="仿宋_GB2312"/>
          <w:b/>
          <w:bCs w:val="0"/>
          <w:sz w:val="32"/>
          <w:szCs w:val="32"/>
          <w:lang w:eastAsia="zh-Hans"/>
        </w:rPr>
        <w:t>二是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Hans"/>
        </w:rPr>
        <w:t>提高资金调配能力。建议各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eastAsia="zh-Hans"/>
        </w:rPr>
        <w:t>办事处每年应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Hans"/>
        </w:rPr>
        <w:t>尽早做好新立项项目资金使用计划，定期跟踪新立项项目的资金使用率，做好当年支出情况预判，若出现资金盈余，及时做好资金调配，抓紧新项目的立项、实施、验收工作，保障项目资金使用效率。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仿宋_GB2312" w:hAnsi="仿宋_GB2312" w:cs="仿宋_GB2312"/>
          <w:b w:val="0"/>
          <w:bCs w:val="0"/>
          <w:sz w:val="32"/>
          <w:szCs w:val="32"/>
          <w:lang w:eastAsia="zh-Hans"/>
        </w:rPr>
      </w:pPr>
      <w:bookmarkStart w:id="17" w:name="_Toc1862133674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Hans"/>
        </w:rPr>
        <w:t>加快完善价格标准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Hans"/>
        </w:rPr>
        <w:t>，提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高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资金使用效益</w:t>
      </w:r>
      <w:bookmarkEnd w:id="17"/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</w:pPr>
      <w:r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Hans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建立健全服务类项目支出标准。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建议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新区统战社建局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联合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办事处，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制定同类项目可参考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可比较的价格指标标准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明确各类费用单价标准和支出比例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提高预算编制的合理性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。</w:t>
      </w:r>
      <w:r>
        <w:rPr>
          <w:rFonts w:hint="default" w:ascii="仿宋_GB2312" w:hAnsi="仿宋_GB2312" w:eastAsia="仿宋_GB2312" w:cs="仿宋_GB2312"/>
          <w:b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加强项目入库和立项预算审核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规范预算编制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提高预算编制质量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建议新区统战社建局建立统一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规范的入库项目预算编制模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板，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明确预算编制的要求；建议各办事处在立项环节，重点审核同类项目成本是否存在差异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</w:pPr>
      <w:bookmarkStart w:id="18" w:name="_Toc1601471187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及时优化管理措施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提升项目</w:t>
      </w:r>
      <w:bookmarkEnd w:id="1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完成质量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仿宋_GB2312" w:hAnsi="黑体" w:eastAsia="仿宋_GB2312"/>
          <w:b/>
          <w:bCs w:val="0"/>
          <w:sz w:val="32"/>
          <w:szCs w:val="48"/>
          <w:lang w:eastAsia="zh-Hans"/>
        </w:rPr>
        <w:t>一是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系统建立项目负面清单。建议</w:t>
      </w:r>
      <w:r>
        <w:rPr>
          <w:rFonts w:hint="default" w:ascii="仿宋_GB2312" w:hAnsi="黑体" w:eastAsia="仿宋_GB2312"/>
          <w:b w:val="0"/>
          <w:bCs w:val="0"/>
          <w:sz w:val="32"/>
          <w:szCs w:val="48"/>
          <w:lang w:eastAsia="zh-Hans"/>
        </w:rPr>
        <w:t>新区统战社建局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对可能与区级部门实施内容存在交叉、重复的项目进行核实，做好项目征询工作，并将重复项目纳入项目负面清单，避免财政资金多头支出。</w:t>
      </w:r>
      <w:r>
        <w:rPr>
          <w:rFonts w:hint="default" w:ascii="仿宋_GB2312" w:hAnsi="黑体" w:eastAsia="仿宋_GB2312"/>
          <w:b/>
          <w:bCs w:val="0"/>
          <w:sz w:val="32"/>
          <w:szCs w:val="48"/>
          <w:lang w:eastAsia="zh-Hans"/>
        </w:rPr>
        <w:t>二是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进一步明确项目征集要求。建议</w:t>
      </w:r>
      <w:r>
        <w:rPr>
          <w:rFonts w:hint="default" w:ascii="仿宋_GB2312" w:hAnsi="黑体" w:eastAsia="仿宋_GB2312"/>
          <w:b w:val="0"/>
          <w:bCs w:val="0"/>
          <w:sz w:val="32"/>
          <w:szCs w:val="48"/>
          <w:lang w:eastAsia="zh-Hans"/>
        </w:rPr>
        <w:t>新区统战社建局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明确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highlight w:val="none"/>
          <w:lang w:val="en-US" w:eastAsia="zh-Hans"/>
        </w:rPr>
        <w:t>社区征集比例下限、征集人群范围等内容，规范项目征集流程。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</w:pPr>
      <w:bookmarkStart w:id="19" w:name="_Toc151369205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  <w:t>加强项目精细化管理，重视项目实施规范性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Hans"/>
        </w:rPr>
        <w:t>。</w:t>
      </w:r>
    </w:p>
    <w:bookmarkEnd w:id="19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黑体" w:eastAsia="仿宋_GB2312"/>
          <w:b w:val="0"/>
          <w:bCs w:val="0"/>
          <w:sz w:val="32"/>
          <w:szCs w:val="48"/>
          <w:lang w:eastAsia="zh-Hans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加强立项管理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对项目实施内容进行严格审核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对于是否存在重复投资的情况进行严格把控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val="en-US" w:eastAsia="zh-Hans" w:bidi="ar"/>
        </w:rPr>
        <w:t>必要的情况下可向相关部门发函确认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2"/>
          <w:sz w:val="32"/>
          <w:szCs w:val="32"/>
          <w:u w:val="none"/>
          <w:shd w:val="clear" w:color="auto" w:fill="auto"/>
          <w:lang w:eastAsia="zh-Hans" w:bidi="ar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严格项目合同和验收管理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在合同管理方面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建议各办事处合理设置合同支付条款，确保工作量与支付进度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匹配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同时明确合同服务内容、各项要求以及违约措施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加强项目档案管理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建议要求服务商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做好资料归档工作，确保材料归档及时性、有效性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同时建议规范资料归档材料文件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加强指导培训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建议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新区统战社建局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在项目实施过程中应加强对项目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CN"/>
        </w:rPr>
        <w:t>的</w:t>
      </w:r>
      <w:r>
        <w:rPr>
          <w:rFonts w:hint="eastAsia" w:ascii="仿宋_GB2312" w:hAnsi="黑体" w:eastAsia="仿宋_GB2312"/>
          <w:b w:val="0"/>
          <w:bCs w:val="0"/>
          <w:sz w:val="32"/>
          <w:szCs w:val="48"/>
          <w:lang w:val="en-US" w:eastAsia="zh-Hans"/>
        </w:rPr>
        <w:t>指导、培训工作</w:t>
      </w:r>
      <w:r>
        <w:rPr>
          <w:rFonts w:hint="default" w:ascii="仿宋_GB2312" w:hAnsi="黑体" w:eastAsia="仿宋_GB2312"/>
          <w:b w:val="0"/>
          <w:bCs w:val="0"/>
          <w:sz w:val="32"/>
          <w:szCs w:val="48"/>
          <w:lang w:eastAsia="zh-Hans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lang w:eastAsia="zh-Hans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30F68"/>
    <w:multiLevelType w:val="singleLevel"/>
    <w:tmpl w:val="62130F6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GU5ZmI3NDgwZjliYmYzY2QzMWRhMmUwMjRhZjcifQ=="/>
  </w:docVars>
  <w:rsids>
    <w:rsidRoot w:val="F45F8F3B"/>
    <w:rsid w:val="000A6E29"/>
    <w:rsid w:val="000D4F2F"/>
    <w:rsid w:val="000D6695"/>
    <w:rsid w:val="00107EF9"/>
    <w:rsid w:val="00131B4D"/>
    <w:rsid w:val="00250488"/>
    <w:rsid w:val="002578EE"/>
    <w:rsid w:val="00264ED8"/>
    <w:rsid w:val="00385C32"/>
    <w:rsid w:val="00387B4A"/>
    <w:rsid w:val="003C5AA2"/>
    <w:rsid w:val="00426392"/>
    <w:rsid w:val="00532F72"/>
    <w:rsid w:val="005334FD"/>
    <w:rsid w:val="00554ED0"/>
    <w:rsid w:val="005869D0"/>
    <w:rsid w:val="005D3B30"/>
    <w:rsid w:val="006129A7"/>
    <w:rsid w:val="0068589E"/>
    <w:rsid w:val="00746623"/>
    <w:rsid w:val="007D7775"/>
    <w:rsid w:val="007F143B"/>
    <w:rsid w:val="00822606"/>
    <w:rsid w:val="00894A60"/>
    <w:rsid w:val="008A2B86"/>
    <w:rsid w:val="008C1DFB"/>
    <w:rsid w:val="00973F6F"/>
    <w:rsid w:val="009E4980"/>
    <w:rsid w:val="00A426E2"/>
    <w:rsid w:val="00A446D6"/>
    <w:rsid w:val="00C31C6D"/>
    <w:rsid w:val="00C47E83"/>
    <w:rsid w:val="00C57D12"/>
    <w:rsid w:val="00CB6E1B"/>
    <w:rsid w:val="00D83DC0"/>
    <w:rsid w:val="00DA4990"/>
    <w:rsid w:val="00DE00B8"/>
    <w:rsid w:val="00DF3568"/>
    <w:rsid w:val="0DFDE70D"/>
    <w:rsid w:val="0FAB2E52"/>
    <w:rsid w:val="1577E283"/>
    <w:rsid w:val="1DB72125"/>
    <w:rsid w:val="1DCFE124"/>
    <w:rsid w:val="1DEFCC23"/>
    <w:rsid w:val="1DFD9551"/>
    <w:rsid w:val="1E9B2972"/>
    <w:rsid w:val="258FDCB5"/>
    <w:rsid w:val="25DDF04C"/>
    <w:rsid w:val="26FBE994"/>
    <w:rsid w:val="29B42020"/>
    <w:rsid w:val="2DF420A4"/>
    <w:rsid w:val="2F5DBD39"/>
    <w:rsid w:val="2FDEBAFC"/>
    <w:rsid w:val="2FFD18E0"/>
    <w:rsid w:val="357FC3ED"/>
    <w:rsid w:val="36B5F5A1"/>
    <w:rsid w:val="36FB7AC1"/>
    <w:rsid w:val="377F34C0"/>
    <w:rsid w:val="37FE1BD4"/>
    <w:rsid w:val="39BBF727"/>
    <w:rsid w:val="39FE5DCC"/>
    <w:rsid w:val="3A6FE0EA"/>
    <w:rsid w:val="3AAFA318"/>
    <w:rsid w:val="3AEF5917"/>
    <w:rsid w:val="3B4E46AD"/>
    <w:rsid w:val="3BEB375B"/>
    <w:rsid w:val="3BFD6076"/>
    <w:rsid w:val="3BFE47D1"/>
    <w:rsid w:val="3C0F708C"/>
    <w:rsid w:val="3C6A81F1"/>
    <w:rsid w:val="3DA90A0E"/>
    <w:rsid w:val="3DFF5F3F"/>
    <w:rsid w:val="3DFF7050"/>
    <w:rsid w:val="3E779852"/>
    <w:rsid w:val="3EFAD311"/>
    <w:rsid w:val="3EFD2930"/>
    <w:rsid w:val="3F27BB08"/>
    <w:rsid w:val="3F6D282B"/>
    <w:rsid w:val="3F9C89A3"/>
    <w:rsid w:val="3FAC54E7"/>
    <w:rsid w:val="3FDF21A2"/>
    <w:rsid w:val="3FF953CB"/>
    <w:rsid w:val="45964950"/>
    <w:rsid w:val="467F2122"/>
    <w:rsid w:val="46DD363D"/>
    <w:rsid w:val="4BDBAB11"/>
    <w:rsid w:val="4EA7797E"/>
    <w:rsid w:val="4FBBA7E7"/>
    <w:rsid w:val="4FEECCEE"/>
    <w:rsid w:val="4FFD01D5"/>
    <w:rsid w:val="52356848"/>
    <w:rsid w:val="575B0195"/>
    <w:rsid w:val="57EBA60A"/>
    <w:rsid w:val="57FE6655"/>
    <w:rsid w:val="5BEFA96D"/>
    <w:rsid w:val="5DDB0284"/>
    <w:rsid w:val="5DFFFCE8"/>
    <w:rsid w:val="5E59100F"/>
    <w:rsid w:val="5E7B5314"/>
    <w:rsid w:val="5EB78063"/>
    <w:rsid w:val="5ECBC7F6"/>
    <w:rsid w:val="5EEA4957"/>
    <w:rsid w:val="5EEEC7A4"/>
    <w:rsid w:val="5FB64712"/>
    <w:rsid w:val="5FB98E57"/>
    <w:rsid w:val="5FBFC070"/>
    <w:rsid w:val="5FCD9F47"/>
    <w:rsid w:val="5FD3DEBD"/>
    <w:rsid w:val="606F6143"/>
    <w:rsid w:val="65BDD35F"/>
    <w:rsid w:val="65EF315D"/>
    <w:rsid w:val="66FF618C"/>
    <w:rsid w:val="687B701F"/>
    <w:rsid w:val="6A7C397C"/>
    <w:rsid w:val="6AE72717"/>
    <w:rsid w:val="6AFAC691"/>
    <w:rsid w:val="6DEE82BF"/>
    <w:rsid w:val="6E549121"/>
    <w:rsid w:val="6F3F5AAA"/>
    <w:rsid w:val="6F5F549D"/>
    <w:rsid w:val="6F775EAC"/>
    <w:rsid w:val="6FDEF1FD"/>
    <w:rsid w:val="6FDF11C3"/>
    <w:rsid w:val="6FF77793"/>
    <w:rsid w:val="6FFB8247"/>
    <w:rsid w:val="6FFD2CF0"/>
    <w:rsid w:val="72EF5F27"/>
    <w:rsid w:val="732AFA30"/>
    <w:rsid w:val="755745CB"/>
    <w:rsid w:val="75FF5C92"/>
    <w:rsid w:val="7637BD75"/>
    <w:rsid w:val="76AFD7BE"/>
    <w:rsid w:val="76B18C65"/>
    <w:rsid w:val="76F2303E"/>
    <w:rsid w:val="76FE6BF7"/>
    <w:rsid w:val="7761EDBE"/>
    <w:rsid w:val="776F092C"/>
    <w:rsid w:val="77759DCA"/>
    <w:rsid w:val="777FD889"/>
    <w:rsid w:val="77B1BFEB"/>
    <w:rsid w:val="7856C913"/>
    <w:rsid w:val="797FE0DE"/>
    <w:rsid w:val="7ABF3978"/>
    <w:rsid w:val="7ADF3512"/>
    <w:rsid w:val="7ADFC7EA"/>
    <w:rsid w:val="7BBF9487"/>
    <w:rsid w:val="7BCE664D"/>
    <w:rsid w:val="7BDF8C85"/>
    <w:rsid w:val="7BF08EE4"/>
    <w:rsid w:val="7BF7668E"/>
    <w:rsid w:val="7CB6CF58"/>
    <w:rsid w:val="7CF3EAD1"/>
    <w:rsid w:val="7D763BF1"/>
    <w:rsid w:val="7D7F1617"/>
    <w:rsid w:val="7DE77826"/>
    <w:rsid w:val="7DEFF94E"/>
    <w:rsid w:val="7DF77F72"/>
    <w:rsid w:val="7DF97A40"/>
    <w:rsid w:val="7DFCF3A6"/>
    <w:rsid w:val="7EF78AC0"/>
    <w:rsid w:val="7F2EC419"/>
    <w:rsid w:val="7F3EE061"/>
    <w:rsid w:val="7F4E59DB"/>
    <w:rsid w:val="7F57EAA1"/>
    <w:rsid w:val="7F5F9EA1"/>
    <w:rsid w:val="7F69C32B"/>
    <w:rsid w:val="7F752D23"/>
    <w:rsid w:val="7F7D4270"/>
    <w:rsid w:val="7F9F050B"/>
    <w:rsid w:val="7FBD322D"/>
    <w:rsid w:val="7FBECD95"/>
    <w:rsid w:val="7FBF7323"/>
    <w:rsid w:val="7FBFB169"/>
    <w:rsid w:val="7FBFB6AE"/>
    <w:rsid w:val="7FBFFBF3"/>
    <w:rsid w:val="7FC35CC4"/>
    <w:rsid w:val="7FC907BD"/>
    <w:rsid w:val="7FCEE397"/>
    <w:rsid w:val="7FDFA737"/>
    <w:rsid w:val="7FF52F4C"/>
    <w:rsid w:val="7FFF175D"/>
    <w:rsid w:val="7FFF4CF9"/>
    <w:rsid w:val="7FFF5DBE"/>
    <w:rsid w:val="87BFFD96"/>
    <w:rsid w:val="8CFE1381"/>
    <w:rsid w:val="9095A861"/>
    <w:rsid w:val="97FFF8CA"/>
    <w:rsid w:val="9BF543AF"/>
    <w:rsid w:val="9DED45F8"/>
    <w:rsid w:val="9FFF0CB6"/>
    <w:rsid w:val="ABFF8E0E"/>
    <w:rsid w:val="AEDE2626"/>
    <w:rsid w:val="AF2B5866"/>
    <w:rsid w:val="AF3709F0"/>
    <w:rsid w:val="AFF14E93"/>
    <w:rsid w:val="B1DDD411"/>
    <w:rsid w:val="B23F8952"/>
    <w:rsid w:val="B3D59E57"/>
    <w:rsid w:val="B84BFBD9"/>
    <w:rsid w:val="B8FDD37E"/>
    <w:rsid w:val="B8FF7228"/>
    <w:rsid w:val="B962EEC8"/>
    <w:rsid w:val="BA7D2DD9"/>
    <w:rsid w:val="BB5FE7F5"/>
    <w:rsid w:val="BB77007F"/>
    <w:rsid w:val="BBFA7E92"/>
    <w:rsid w:val="BC5F521F"/>
    <w:rsid w:val="BCEB21A2"/>
    <w:rsid w:val="BD63A1C9"/>
    <w:rsid w:val="BDFF600B"/>
    <w:rsid w:val="BE7F9D72"/>
    <w:rsid w:val="BEFCE752"/>
    <w:rsid w:val="BFB97039"/>
    <w:rsid w:val="BFD3EB53"/>
    <w:rsid w:val="BFF747FF"/>
    <w:rsid w:val="BFF96E3A"/>
    <w:rsid w:val="BFFB271C"/>
    <w:rsid w:val="CC3BA419"/>
    <w:rsid w:val="CD3E1B08"/>
    <w:rsid w:val="CECFDE94"/>
    <w:rsid w:val="CEF1186C"/>
    <w:rsid w:val="CFF791B8"/>
    <w:rsid w:val="CFFED457"/>
    <w:rsid w:val="D16E8C37"/>
    <w:rsid w:val="D39B7D2E"/>
    <w:rsid w:val="D5EFC213"/>
    <w:rsid w:val="D5F9989A"/>
    <w:rsid w:val="D73F5F2A"/>
    <w:rsid w:val="D75FB8DC"/>
    <w:rsid w:val="D7FFA7E5"/>
    <w:rsid w:val="DAFD72A9"/>
    <w:rsid w:val="DAFF73D1"/>
    <w:rsid w:val="DB4FC058"/>
    <w:rsid w:val="DBED84D5"/>
    <w:rsid w:val="DBF71BE2"/>
    <w:rsid w:val="DC3B41A4"/>
    <w:rsid w:val="DC7FA7E4"/>
    <w:rsid w:val="DD7E0C06"/>
    <w:rsid w:val="DDDE38BC"/>
    <w:rsid w:val="DE07A90C"/>
    <w:rsid w:val="DF7DD6A4"/>
    <w:rsid w:val="DFAF1F72"/>
    <w:rsid w:val="DFDF62BA"/>
    <w:rsid w:val="DFDF88BB"/>
    <w:rsid w:val="DFF7D8C5"/>
    <w:rsid w:val="DFFBBF4E"/>
    <w:rsid w:val="DFFD8E9C"/>
    <w:rsid w:val="DFFDE23F"/>
    <w:rsid w:val="DFFFCB99"/>
    <w:rsid w:val="E3977A99"/>
    <w:rsid w:val="E3E7F259"/>
    <w:rsid w:val="E6EB08EF"/>
    <w:rsid w:val="E6EF0EB8"/>
    <w:rsid w:val="E77FFAF1"/>
    <w:rsid w:val="E7F66930"/>
    <w:rsid w:val="E7FE489F"/>
    <w:rsid w:val="EA7E902E"/>
    <w:rsid w:val="EADF7ACF"/>
    <w:rsid w:val="EAFE1FF7"/>
    <w:rsid w:val="EBEF7753"/>
    <w:rsid w:val="EBF6A977"/>
    <w:rsid w:val="ED6BC7BA"/>
    <w:rsid w:val="ED7D2C00"/>
    <w:rsid w:val="EDAFE582"/>
    <w:rsid w:val="EE618859"/>
    <w:rsid w:val="EE77C311"/>
    <w:rsid w:val="EEB77A84"/>
    <w:rsid w:val="EEECA49A"/>
    <w:rsid w:val="EEEFC366"/>
    <w:rsid w:val="EEFD96EA"/>
    <w:rsid w:val="EFD53F01"/>
    <w:rsid w:val="EFD627C8"/>
    <w:rsid w:val="EFFBD59B"/>
    <w:rsid w:val="F15ED21F"/>
    <w:rsid w:val="F16F9744"/>
    <w:rsid w:val="F1FD8CB1"/>
    <w:rsid w:val="F23F0694"/>
    <w:rsid w:val="F336A750"/>
    <w:rsid w:val="F3F48CD8"/>
    <w:rsid w:val="F45F8F3B"/>
    <w:rsid w:val="F495B351"/>
    <w:rsid w:val="F5B3AED6"/>
    <w:rsid w:val="F5DDC200"/>
    <w:rsid w:val="F5F70763"/>
    <w:rsid w:val="F6BB49DE"/>
    <w:rsid w:val="F7DFE31A"/>
    <w:rsid w:val="F7EAD0FA"/>
    <w:rsid w:val="F7FEF69D"/>
    <w:rsid w:val="F8FB3EC7"/>
    <w:rsid w:val="F97F0306"/>
    <w:rsid w:val="F9F6CB5B"/>
    <w:rsid w:val="FAED1D0B"/>
    <w:rsid w:val="FB7B6EB4"/>
    <w:rsid w:val="FBBB791B"/>
    <w:rsid w:val="FBDF8147"/>
    <w:rsid w:val="FBEB83E0"/>
    <w:rsid w:val="FBEF88DE"/>
    <w:rsid w:val="FBF1B448"/>
    <w:rsid w:val="FBFD6C53"/>
    <w:rsid w:val="FD9B66B1"/>
    <w:rsid w:val="FD9FD7E8"/>
    <w:rsid w:val="FDAFF39F"/>
    <w:rsid w:val="FDD776AB"/>
    <w:rsid w:val="FDDF90AE"/>
    <w:rsid w:val="FDF46694"/>
    <w:rsid w:val="FE0F008F"/>
    <w:rsid w:val="FE1FBF7A"/>
    <w:rsid w:val="FE35B388"/>
    <w:rsid w:val="FE79A650"/>
    <w:rsid w:val="FED57138"/>
    <w:rsid w:val="FEDB377C"/>
    <w:rsid w:val="FEE5230B"/>
    <w:rsid w:val="FF371040"/>
    <w:rsid w:val="FF47012E"/>
    <w:rsid w:val="FF776A0F"/>
    <w:rsid w:val="FF7F1EE7"/>
    <w:rsid w:val="FFAF190C"/>
    <w:rsid w:val="FFC7987B"/>
    <w:rsid w:val="FFCC92FE"/>
    <w:rsid w:val="FFCFF6E8"/>
    <w:rsid w:val="FFD550ED"/>
    <w:rsid w:val="FFDF8A22"/>
    <w:rsid w:val="FFE36AAD"/>
    <w:rsid w:val="FFE7ABEF"/>
    <w:rsid w:val="FFF13AA8"/>
    <w:rsid w:val="FFF4AF7C"/>
    <w:rsid w:val="FFF79993"/>
    <w:rsid w:val="FFF79BD0"/>
    <w:rsid w:val="FFF842C5"/>
    <w:rsid w:val="FFFB3CC4"/>
    <w:rsid w:val="FFFF1469"/>
    <w:rsid w:val="FFFF235C"/>
    <w:rsid w:val="FFFF3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星耀正文"/>
    <w:basedOn w:val="1"/>
    <w:link w:val="32"/>
    <w:qFormat/>
    <w:uiPriority w:val="3"/>
    <w:pPr>
      <w:spacing w:line="560" w:lineRule="exact"/>
      <w:ind w:firstLine="200" w:firstLineChars="200"/>
    </w:pPr>
    <w:rPr>
      <w:rFonts w:ascii="Times New Roman" w:hAnsi="Times New Roman" w:eastAsia="仿宋_GB2312"/>
      <w:kern w:val="0"/>
      <w:sz w:val="32"/>
      <w:szCs w:val="28"/>
      <w:lang w:val="zh-CN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7"/>
    <w:qFormat/>
    <w:uiPriority w:val="99"/>
    <w:pPr>
      <w:ind w:firstLine="420"/>
    </w:pPr>
    <w:rPr>
      <w:sz w:val="24"/>
    </w:rPr>
  </w:style>
  <w:style w:type="paragraph" w:styleId="7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8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9">
    <w:name w:val="toa heading"/>
    <w:basedOn w:val="5"/>
    <w:next w:val="1"/>
    <w:qFormat/>
    <w:uiPriority w:val="0"/>
    <w:rPr>
      <w:rFonts w:ascii="Arial" w:hAnsi="Arial"/>
      <w:sz w:val="24"/>
    </w:rPr>
  </w:style>
  <w:style w:type="paragraph" w:styleId="10">
    <w:name w:val="annotation text"/>
    <w:basedOn w:val="1"/>
    <w:link w:val="33"/>
    <w:qFormat/>
    <w:uiPriority w:val="0"/>
    <w:pPr>
      <w:widowControl/>
      <w:spacing w:line="360" w:lineRule="auto"/>
      <w:ind w:firstLine="200" w:firstLineChars="200"/>
      <w:jc w:val="left"/>
    </w:pPr>
    <w:rPr>
      <w:rFonts w:eastAsia="仿宋_GB2312"/>
      <w:sz w:val="28"/>
    </w:rPr>
  </w:style>
  <w:style w:type="paragraph" w:styleId="11">
    <w:name w:val="Body Text Indent"/>
    <w:basedOn w:val="1"/>
    <w:qFormat/>
    <w:uiPriority w:val="99"/>
    <w:pPr>
      <w:widowControl w:val="0"/>
      <w:ind w:left="980"/>
      <w:jc w:val="both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endnote text"/>
    <w:basedOn w:val="1"/>
    <w:qFormat/>
    <w:uiPriority w:val="0"/>
    <w:pPr>
      <w:snapToGrid w:val="0"/>
      <w:jc w:val="left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296"/>
      </w:tabs>
      <w:spacing w:line="380" w:lineRule="exact"/>
    </w:pPr>
    <w:rPr>
      <w:rFonts w:ascii="仿宋_GB2312" w:hAnsi="黑体" w:eastAsia="仿宋_GB2312"/>
      <w:b/>
      <w:sz w:val="28"/>
      <w:szCs w:val="28"/>
    </w:rPr>
  </w:style>
  <w:style w:type="paragraph" w:styleId="17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annotation subject"/>
    <w:basedOn w:val="10"/>
    <w:next w:val="10"/>
    <w:link w:val="34"/>
    <w:qFormat/>
    <w:uiPriority w:val="0"/>
    <w:pPr>
      <w:widowControl w:val="0"/>
      <w:spacing w:line="240" w:lineRule="auto"/>
      <w:ind w:firstLine="0" w:firstLineChars="0"/>
    </w:pPr>
    <w:rPr>
      <w:rFonts w:eastAsia="宋体"/>
      <w:b/>
      <w:bCs/>
      <w:sz w:val="21"/>
    </w:rPr>
  </w:style>
  <w:style w:type="paragraph" w:styleId="21">
    <w:name w:val="Body Text First Indent 2"/>
    <w:basedOn w:val="11"/>
    <w:next w:val="1"/>
    <w:semiHidden/>
    <w:qFormat/>
    <w:uiPriority w:val="0"/>
    <w:pPr>
      <w:widowControl/>
      <w:spacing w:line="240" w:lineRule="atLeast"/>
      <w:ind w:left="283" w:leftChars="0" w:firstLine="210"/>
      <w:contextualSpacing/>
      <w:jc w:val="left"/>
    </w:pPr>
    <w:rPr>
      <w:rFonts w:cs="Times New Roman"/>
      <w:kern w:val="0"/>
      <w:sz w:val="20"/>
      <w:szCs w:val="20"/>
      <w:lang w:val="en-GB" w:eastAsia="en-GB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endnote reference"/>
    <w:basedOn w:val="24"/>
    <w:qFormat/>
    <w:uiPriority w:val="0"/>
    <w:rPr>
      <w:vertAlign w:val="superscript"/>
    </w:rPr>
  </w:style>
  <w:style w:type="character" w:styleId="27">
    <w:name w:val="page number"/>
    <w:basedOn w:val="24"/>
    <w:qFormat/>
    <w:uiPriority w:val="0"/>
  </w:style>
  <w:style w:type="character" w:styleId="28">
    <w:name w:val="Emphasis"/>
    <w:basedOn w:val="24"/>
    <w:qFormat/>
    <w:uiPriority w:val="0"/>
    <w:rPr>
      <w:i/>
    </w:rPr>
  </w:style>
  <w:style w:type="character" w:styleId="29">
    <w:name w:val="Hyperlink"/>
    <w:basedOn w:val="24"/>
    <w:qFormat/>
    <w:uiPriority w:val="0"/>
    <w:rPr>
      <w:color w:val="0000FF"/>
      <w:u w:val="single"/>
    </w:rPr>
  </w:style>
  <w:style w:type="character" w:styleId="30">
    <w:name w:val="annotation reference"/>
    <w:basedOn w:val="24"/>
    <w:qFormat/>
    <w:uiPriority w:val="0"/>
    <w:rPr>
      <w:sz w:val="21"/>
      <w:szCs w:val="21"/>
    </w:rPr>
  </w:style>
  <w:style w:type="character" w:styleId="31">
    <w:name w:val="footnote reference"/>
    <w:basedOn w:val="24"/>
    <w:qFormat/>
    <w:uiPriority w:val="0"/>
    <w:rPr>
      <w:vertAlign w:val="superscript"/>
    </w:rPr>
  </w:style>
  <w:style w:type="character" w:customStyle="1" w:styleId="32">
    <w:name w:val="闻政正文 Char"/>
    <w:link w:val="3"/>
    <w:qFormat/>
    <w:uiPriority w:val="3"/>
    <w:rPr>
      <w:rFonts w:ascii="Times New Roman" w:hAnsi="Times New Roman" w:eastAsia="仿宋_GB2312"/>
      <w:kern w:val="0"/>
      <w:sz w:val="32"/>
      <w:szCs w:val="28"/>
      <w:lang w:val="zh-CN"/>
    </w:rPr>
  </w:style>
  <w:style w:type="character" w:customStyle="1" w:styleId="33">
    <w:name w:val="批注文字 字符"/>
    <w:basedOn w:val="24"/>
    <w:link w:val="10"/>
    <w:qFormat/>
    <w:uiPriority w:val="0"/>
    <w:rPr>
      <w:rFonts w:ascii="Calibri" w:hAnsi="Calibri" w:eastAsia="仿宋_GB2312" w:cs="Times New Roman"/>
      <w:kern w:val="2"/>
      <w:sz w:val="28"/>
      <w:szCs w:val="24"/>
    </w:rPr>
  </w:style>
  <w:style w:type="character" w:customStyle="1" w:styleId="34">
    <w:name w:val="批注主题 字符"/>
    <w:basedOn w:val="33"/>
    <w:link w:val="2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35">
    <w:name w:val="font1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01"/>
    <w:basedOn w:val="2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37">
    <w:name w:val="font51"/>
    <w:basedOn w:val="24"/>
    <w:qFormat/>
    <w:uiPriority w:val="0"/>
    <w:rPr>
      <w:rFonts w:ascii="仿宋_GB2312" w:hAnsi="仿宋_GB2312" w:eastAsia="仿宋_GB2312" w:cs="仿宋_GB2312"/>
      <w:b/>
      <w:color w:val="000000"/>
      <w:sz w:val="20"/>
      <w:szCs w:val="20"/>
      <w:u w:val="none"/>
    </w:rPr>
  </w:style>
  <w:style w:type="character" w:customStyle="1" w:styleId="38">
    <w:name w:val="font41"/>
    <w:basedOn w:val="2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39">
    <w:name w:val="Revision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星耀封面标题"/>
    <w:basedOn w:val="1"/>
    <w:next w:val="41"/>
    <w:qFormat/>
    <w:uiPriority w:val="0"/>
    <w:pPr>
      <w:jc w:val="center"/>
    </w:pPr>
    <w:rPr>
      <w:rFonts w:ascii="Times New Roman" w:hAnsi="Times New Roman" w:eastAsia="黑体"/>
      <w:snapToGrid w:val="0"/>
      <w:sz w:val="48"/>
      <w:szCs w:val="24"/>
    </w:rPr>
  </w:style>
  <w:style w:type="paragraph" w:customStyle="1" w:styleId="41">
    <w:name w:val="星耀封面项目信息"/>
    <w:basedOn w:val="1"/>
    <w:qFormat/>
    <w:uiPriority w:val="0"/>
    <w:pPr>
      <w:spacing w:before="120"/>
      <w:ind w:left="800" w:leftChars="800"/>
      <w:jc w:val="left"/>
    </w:pPr>
    <w:rPr>
      <w:rFonts w:ascii="Times New Roman" w:hAnsi="Times New Roman" w:eastAsia="仿宋_GB2312"/>
      <w:kern w:val="0"/>
      <w:sz w:val="32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2624</Words>
  <Characters>2753</Characters>
  <Lines>213</Lines>
  <Paragraphs>60</Paragraphs>
  <TotalTime>10</TotalTime>
  <ScaleCrop>false</ScaleCrop>
  <LinksUpToDate>false</LinksUpToDate>
  <CharactersWithSpaces>2756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2022-06-04T18:50:00Z</dcterms:created>
  <dc:creator>ftf</dc:creator>
  <cp:lastModifiedBy>刘丹维</cp:lastModifiedBy>
  <cp:lastPrinted>2022-12-16T07:03:00Z</cp:lastPrinted>
  <dcterms:modified xsi:type="dcterms:W3CDTF">2022-12-15T10:37:14Z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9FB8F1C9C5AD79B935AA9163BC79CC87</vt:lpwstr>
  </property>
</Properties>
</file>