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</w:rPr>
        <w:t>3</w:t>
      </w:r>
      <w:bookmarkStart w:id="20" w:name="_GoBack"/>
      <w:bookmarkEnd w:id="2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2021年大鹏新区民生微实事项目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绩效评价报告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color w:val="0C0C0C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C0C0C"/>
          <w:sz w:val="32"/>
          <w:szCs w:val="32"/>
        </w:rPr>
        <w:t>（简版）</w:t>
      </w:r>
    </w:p>
    <w:p>
      <w:pPr>
        <w:pStyle w:val="4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0" w:firstLineChars="0"/>
        <w:textAlignment w:val="auto"/>
        <w:rPr>
          <w:rFonts w:hint="eastAsia" w:ascii="仿宋_GB2312" w:hAnsi="楷体" w:cs="楷体_GB2312"/>
          <w:color w:val="000000"/>
          <w:spacing w:val="-2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C0C0C"/>
          <w:sz w:val="32"/>
          <w:szCs w:val="32"/>
        </w:rPr>
        <w:t>2022年5月-2022年</w:t>
      </w:r>
      <w:r>
        <w:rPr>
          <w:rFonts w:hint="default" w:ascii="仿宋_GB2312" w:hAnsi="宋体" w:eastAsia="仿宋_GB2312" w:cs="仿宋_GB2312"/>
          <w:color w:val="0C0C0C"/>
          <w:sz w:val="32"/>
          <w:szCs w:val="32"/>
        </w:rPr>
        <w:t>10</w:t>
      </w:r>
      <w:r>
        <w:rPr>
          <w:rFonts w:hint="eastAsia" w:ascii="仿宋_GB2312" w:hAnsi="宋体" w:eastAsia="仿宋_GB2312" w:cs="仿宋_GB2312"/>
          <w:color w:val="0C0C0C"/>
          <w:sz w:val="32"/>
          <w:szCs w:val="32"/>
        </w:rPr>
        <w:t>月期间，深圳市大鹏新区</w:t>
      </w:r>
      <w:r>
        <w:rPr>
          <w:rFonts w:hint="eastAsia" w:ascii="仿宋_GB2312" w:hAnsi="宋体" w:eastAsia="仿宋_GB2312" w:cs="仿宋_GB2312"/>
          <w:color w:val="0C0C0C"/>
          <w:sz w:val="32"/>
          <w:szCs w:val="32"/>
          <w:lang w:eastAsia="zh-CN"/>
        </w:rPr>
        <w:t>发展和财政局</w:t>
      </w:r>
      <w:r>
        <w:rPr>
          <w:rFonts w:hint="eastAsia" w:ascii="仿宋_GB2312" w:hAnsi="宋体" w:eastAsia="仿宋_GB2312" w:cs="仿宋_GB2312"/>
          <w:color w:val="0C0C0C"/>
          <w:sz w:val="32"/>
          <w:szCs w:val="32"/>
        </w:rPr>
        <w:t>组织评价组对</w:t>
      </w:r>
      <w:r>
        <w:rPr>
          <w:rFonts w:hint="default" w:ascii="仿宋_GB2312" w:hAnsi="宋体" w:eastAsia="仿宋_GB2312" w:cs="仿宋_GB2312"/>
          <w:color w:val="0C0C0C"/>
          <w:sz w:val="32"/>
          <w:szCs w:val="32"/>
        </w:rPr>
        <w:t>2021年大鹏新区民生微实事项目开展绩效评价</w:t>
      </w:r>
      <w:r>
        <w:rPr>
          <w:rFonts w:hint="eastAsia" w:ascii="仿宋_GB2312" w:hAnsi="宋体" w:eastAsia="仿宋_GB2312" w:cs="仿宋_GB2312"/>
          <w:color w:val="0C0C0C"/>
          <w:sz w:val="32"/>
          <w:szCs w:val="32"/>
        </w:rPr>
        <w:t>，绩效评价结果为</w:t>
      </w:r>
      <w:r>
        <w:rPr>
          <w:rFonts w:hint="default" w:ascii="仿宋_GB2312" w:hAnsi="宋体" w:eastAsia="仿宋_GB2312" w:cs="仿宋_GB2312"/>
          <w:color w:val="0C0C0C"/>
          <w:sz w:val="32"/>
          <w:szCs w:val="32"/>
        </w:rPr>
        <w:t>75.29</w:t>
      </w:r>
      <w:r>
        <w:rPr>
          <w:rFonts w:hint="eastAsia" w:ascii="仿宋_GB2312" w:hAnsi="宋体" w:eastAsia="仿宋_GB2312" w:cs="仿宋_GB2312"/>
          <w:color w:val="0C0C0C"/>
          <w:sz w:val="32"/>
          <w:szCs w:val="32"/>
        </w:rPr>
        <w:t>分，绩效评级为“中”。具体情况如下：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outlineLvl w:val="0"/>
        <w:rPr>
          <w:rFonts w:ascii="黑体" w:hAnsi="黑体" w:eastAsia="黑体"/>
          <w:sz w:val="32"/>
          <w:szCs w:val="32"/>
        </w:rPr>
      </w:pPr>
      <w:bookmarkStart w:id="0" w:name="_Toc71763201_WPSOffice_Level1"/>
      <w:bookmarkStart w:id="1" w:name="_Toc206034498"/>
      <w:bookmarkStart w:id="2" w:name="_Toc1552061140"/>
      <w:r>
        <w:rPr>
          <w:rFonts w:ascii="黑体" w:hAnsi="黑体" w:eastAsia="黑体"/>
          <w:sz w:val="32"/>
          <w:szCs w:val="32"/>
        </w:rPr>
        <w:t>一</w:t>
      </w:r>
      <w:r>
        <w:rPr>
          <w:rFonts w:hint="eastAsia" w:ascii="黑体" w:hAnsi="黑体" w:eastAsia="黑体"/>
          <w:sz w:val="32"/>
          <w:szCs w:val="32"/>
        </w:rPr>
        <w:t>、基本情况</w:t>
      </w:r>
      <w:bookmarkEnd w:id="0"/>
      <w:bookmarkEnd w:id="1"/>
      <w:bookmarkEnd w:id="2"/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黑体" w:eastAsia="仿宋_GB2312"/>
          <w:bCs/>
          <w:sz w:val="32"/>
          <w:szCs w:val="32"/>
          <w:lang w:val="en-US" w:eastAsia="zh-Hans"/>
        </w:rPr>
      </w:pPr>
      <w:r>
        <w:rPr>
          <w:rFonts w:hint="eastAsia" w:ascii="仿宋_GB2312" w:hAnsi="黑体" w:eastAsia="仿宋_GB2312"/>
          <w:bCs/>
          <w:sz w:val="32"/>
          <w:szCs w:val="32"/>
          <w:lang w:val="en-US" w:eastAsia="zh-Hans"/>
        </w:rPr>
        <w:t>项目主要用于开展群众急切盼望的小事，通过“群众点菜、政府买单”的方式开展。</w:t>
      </w:r>
      <w:r>
        <w:rPr>
          <w:rFonts w:hint="default" w:ascii="仿宋_GB2312" w:hAnsi="黑体" w:eastAsia="仿宋_GB2312"/>
          <w:bCs/>
          <w:sz w:val="32"/>
          <w:szCs w:val="32"/>
          <w:lang w:eastAsia="zh-Hans"/>
        </w:rPr>
        <w:t>2021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Hans"/>
        </w:rPr>
        <w:t>年共实施项目</w:t>
      </w:r>
      <w:r>
        <w:rPr>
          <w:rFonts w:hint="default" w:ascii="仿宋_GB2312" w:hAnsi="黑体" w:eastAsia="仿宋_GB2312"/>
          <w:bCs/>
          <w:sz w:val="32"/>
          <w:szCs w:val="32"/>
          <w:lang w:eastAsia="zh-Hans"/>
        </w:rPr>
        <w:t>645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Hans"/>
        </w:rPr>
        <w:t>个，其中，葵涌办事处17</w:t>
      </w:r>
      <w:r>
        <w:rPr>
          <w:rFonts w:hint="default" w:ascii="仿宋_GB2312" w:hAnsi="黑体" w:eastAsia="仿宋_GB2312"/>
          <w:bCs/>
          <w:sz w:val="32"/>
          <w:szCs w:val="32"/>
          <w:lang w:eastAsia="zh-Hans"/>
        </w:rPr>
        <w:t>6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Hans"/>
        </w:rPr>
        <w:t>个，大鹏办事处</w:t>
      </w:r>
      <w:r>
        <w:rPr>
          <w:rFonts w:hint="default" w:ascii="仿宋_GB2312" w:hAnsi="黑体" w:eastAsia="仿宋_GB2312"/>
          <w:bCs/>
          <w:sz w:val="32"/>
          <w:szCs w:val="32"/>
          <w:lang w:eastAsia="zh-Hans"/>
        </w:rPr>
        <w:t>224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Hans"/>
        </w:rPr>
        <w:t>个，南澳办事处</w:t>
      </w:r>
      <w:r>
        <w:rPr>
          <w:rFonts w:hint="default" w:ascii="仿宋_GB2312" w:hAnsi="黑体" w:eastAsia="仿宋_GB2312"/>
          <w:bCs/>
          <w:sz w:val="32"/>
          <w:szCs w:val="32"/>
          <w:lang w:eastAsia="zh-Hans"/>
        </w:rPr>
        <w:t>245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Hans"/>
        </w:rPr>
        <w:t>个。</w:t>
      </w:r>
      <w:r>
        <w:rPr>
          <w:rFonts w:hint="default" w:ascii="仿宋_GB2312" w:hAnsi="黑体" w:eastAsia="仿宋_GB2312"/>
          <w:bCs/>
          <w:sz w:val="32"/>
          <w:szCs w:val="32"/>
          <w:lang w:eastAsia="zh-Hans"/>
        </w:rPr>
        <w:t>2021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Hans"/>
        </w:rPr>
        <w:t>年项目申请预算</w:t>
      </w:r>
      <w:r>
        <w:rPr>
          <w:rFonts w:hint="default" w:ascii="仿宋_GB2312" w:eastAsia="仿宋_GB2312"/>
          <w:sz w:val="32"/>
          <w:szCs w:val="32"/>
          <w:highlight w:val="none"/>
        </w:rPr>
        <w:t>5,000</w:t>
      </w:r>
      <w:r>
        <w:rPr>
          <w:rFonts w:hint="eastAsia" w:ascii="仿宋_GB2312" w:eastAsia="仿宋_GB2312"/>
          <w:sz w:val="32"/>
          <w:szCs w:val="32"/>
          <w:highlight w:val="none"/>
        </w:rPr>
        <w:t>万元</w:t>
      </w:r>
      <w:r>
        <w:rPr>
          <w:rFonts w:hint="eastAsia" w:ascii="仿宋_GB2312" w:eastAsia="仿宋_GB2312"/>
          <w:sz w:val="32"/>
          <w:szCs w:val="32"/>
          <w:highlight w:val="none"/>
          <w:lang w:eastAsia="zh-Hans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Hans"/>
        </w:rPr>
        <w:t>期间调整至</w:t>
      </w:r>
      <w:r>
        <w:rPr>
          <w:rFonts w:hint="default" w:ascii="仿宋_GB2312" w:eastAsia="仿宋_GB2312"/>
          <w:sz w:val="32"/>
          <w:szCs w:val="32"/>
          <w:highlight w:val="none"/>
          <w:lang w:eastAsia="zh-Hans"/>
        </w:rPr>
        <w:t>4,779.49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Hans"/>
        </w:rPr>
        <w:t>万元，</w:t>
      </w:r>
      <w:r>
        <w:rPr>
          <w:rFonts w:hint="eastAsia" w:ascii="仿宋_GB2312" w:hAnsi="宋体" w:eastAsia="仿宋_GB2312" w:cs="仿宋_GB2312"/>
          <w:color w:val="0C0C0C"/>
          <w:sz w:val="32"/>
          <w:szCs w:val="32"/>
        </w:rPr>
        <w:t>实际执行数</w:t>
      </w:r>
      <w:r>
        <w:rPr>
          <w:rFonts w:hint="eastAsia" w:ascii="仿宋_GB2312" w:hAnsi="宋体" w:eastAsia="仿宋_GB2312" w:cs="仿宋_GB2312"/>
          <w:color w:val="0C0C0C"/>
          <w:sz w:val="32"/>
          <w:szCs w:val="32"/>
          <w:lang w:val="en-US" w:eastAsia="zh-Hans"/>
        </w:rPr>
        <w:t>为</w:t>
      </w:r>
      <w:r>
        <w:rPr>
          <w:rFonts w:hint="eastAsia" w:ascii="仿宋_GB2312" w:eastAsia="仿宋_GB2312"/>
          <w:sz w:val="32"/>
          <w:szCs w:val="32"/>
          <w:lang w:eastAsia="zh-Hans"/>
        </w:rPr>
        <w:t>4,707.38万元，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执行率为</w:t>
      </w:r>
      <w:r>
        <w:rPr>
          <w:rFonts w:hint="eastAsia" w:ascii="仿宋_GB2312" w:eastAsia="仿宋_GB2312"/>
          <w:sz w:val="32"/>
          <w:szCs w:val="32"/>
          <w:lang w:eastAsia="zh-Hans"/>
        </w:rPr>
        <w:t>98.49%。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其中，葵涌办事处安排</w:t>
      </w:r>
      <w:r>
        <w:rPr>
          <w:rFonts w:hint="default" w:ascii="仿宋_GB2312" w:eastAsia="仿宋_GB2312"/>
          <w:sz w:val="32"/>
          <w:szCs w:val="32"/>
          <w:highlight w:val="none"/>
          <w:lang w:eastAsia="zh-Hans"/>
        </w:rPr>
        <w:t>1,579.49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Hans"/>
        </w:rPr>
        <w:t>万元，支出1,555.17万元，执行率98.46%；大鹏办事处安排1,400万元，支出1,353.04万元，执行率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Hans"/>
        </w:rPr>
        <w:tab/>
      </w:r>
      <w:r>
        <w:rPr>
          <w:rFonts w:hint="eastAsia" w:ascii="仿宋_GB2312" w:eastAsia="仿宋_GB2312"/>
          <w:sz w:val="32"/>
          <w:szCs w:val="32"/>
          <w:highlight w:val="none"/>
          <w:lang w:val="en-US" w:eastAsia="zh-Hans"/>
        </w:rPr>
        <w:t>96.65%；南澳办事处安排</w:t>
      </w:r>
      <w:r>
        <w:rPr>
          <w:rFonts w:hint="default" w:ascii="仿宋_GB2312" w:eastAsia="仿宋_GB2312"/>
          <w:sz w:val="32"/>
          <w:szCs w:val="32"/>
          <w:highlight w:val="none"/>
          <w:lang w:eastAsia="zh-Hans"/>
        </w:rPr>
        <w:t>1,800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Hans"/>
        </w:rPr>
        <w:t>万元，支出1,799.16万元，执行率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Hans"/>
        </w:rPr>
        <w:tab/>
      </w:r>
      <w:r>
        <w:rPr>
          <w:rFonts w:hint="eastAsia" w:ascii="仿宋_GB2312" w:eastAsia="仿宋_GB2312"/>
          <w:sz w:val="32"/>
          <w:szCs w:val="32"/>
          <w:highlight w:val="none"/>
          <w:lang w:val="en-US" w:eastAsia="zh-Hans"/>
        </w:rPr>
        <w:t>99.95%。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ascii="黑体" w:hAnsi="黑体" w:eastAsia="黑体" w:cs="黑体"/>
          <w:sz w:val="32"/>
          <w:szCs w:val="32"/>
          <w:highlight w:val="none"/>
          <w:lang w:eastAsia="zh-Hans"/>
        </w:rPr>
      </w:pPr>
      <w:bookmarkStart w:id="3" w:name="_Toc86218556"/>
      <w:bookmarkStart w:id="4" w:name="_Toc89677853"/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bookmarkEnd w:id="3"/>
      <w:bookmarkEnd w:id="4"/>
      <w:bookmarkStart w:id="5" w:name="_Toc87348782"/>
      <w:r>
        <w:rPr>
          <w:rFonts w:hint="default" w:ascii="黑体" w:hAnsi="黑体" w:eastAsia="黑体"/>
          <w:sz w:val="32"/>
          <w:szCs w:val="32"/>
          <w:lang w:eastAsia="zh-CN"/>
        </w:rPr>
        <w:t>主要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Hans"/>
        </w:rPr>
        <w:t>成效</w:t>
      </w:r>
      <w:bookmarkEnd w:id="5"/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1"/>
        <w:rPr>
          <w:rFonts w:ascii="楷体_GB2312" w:hAnsi="楷体_GB2312" w:eastAsia="楷体_GB2312" w:cs="楷体_GB2312"/>
          <w:b w:val="0"/>
          <w:bCs w:val="0"/>
          <w:sz w:val="32"/>
          <w:szCs w:val="32"/>
          <w:lang w:eastAsia="zh-Hans"/>
        </w:rPr>
      </w:pPr>
      <w:bookmarkStart w:id="6" w:name="_Toc1339648173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Hans"/>
        </w:rPr>
        <w:t>项目服务种类丰富，覆盖范围广，受惠群众多</w:t>
      </w:r>
      <w:bookmarkEnd w:id="6"/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Hans"/>
        </w:rPr>
        <w:t>在服务覆盖面上，项目覆盖三个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办事处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Hans"/>
        </w:rPr>
        <w:t>共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Hans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Hans"/>
        </w:rPr>
        <w:t>个社区，项目有效惠及各社区民众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Hans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Hans"/>
        </w:rPr>
        <w:t>在项目开展种类上，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Hans"/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Hans"/>
        </w:rPr>
        <w:t>年共开展服务类项目497个、工程类项目83个、货物类项目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Hans"/>
        </w:rPr>
        <w:t>83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Hans"/>
        </w:rPr>
        <w:t>个，开展种类丰富，能满足居民文化娱乐生活，进一步提升居民综合素养。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1"/>
        <w:rPr>
          <w:rFonts w:ascii="楷体_GB2312" w:hAnsi="楷体_GB2312" w:eastAsia="楷体_GB2312" w:cs="楷体_GB2312"/>
          <w:b w:val="0"/>
          <w:bCs w:val="0"/>
          <w:sz w:val="32"/>
          <w:szCs w:val="32"/>
          <w:lang w:eastAsia="zh-Hans"/>
        </w:rPr>
      </w:pPr>
      <w:bookmarkStart w:id="7" w:name="_Toc1248288463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Hans"/>
        </w:rPr>
        <w:t>项目广泛问需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Hans"/>
        </w:rPr>
        <w:t>做好满意度评估，群众认同感高</w:t>
      </w:r>
      <w:bookmarkEnd w:id="7"/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Hans"/>
        </w:rPr>
        <w:t>在征集环节上，社区通过“线上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Hans"/>
        </w:rPr>
        <w:t>+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Hans"/>
        </w:rPr>
        <w:t>线下”多渠道问需的方式，向人大代表、社区居民、企业、社会组织等多个主体进行意见征集，征集的人员群体较为广泛。在实施验收环节上，服务结束后，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Hans"/>
        </w:rPr>
        <w:t>办事处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Hans"/>
        </w:rPr>
        <w:t>聘请第三方公司进行满意度调查回访，确保民众能够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Hans"/>
        </w:rPr>
        <w:t>项目完成质量进行监督。根据满意度调查结果，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Hans"/>
        </w:rPr>
        <w:t>96.71%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Hans"/>
        </w:rPr>
        <w:t>的群众愿意参与民生微实事项目，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Hans"/>
        </w:rPr>
        <w:t>受益群众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Hans"/>
        </w:rPr>
        <w:t>认同感高。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1"/>
        <w:rPr>
          <w:rFonts w:ascii="楷体_GB2312" w:hAnsi="楷体_GB2312" w:eastAsia="楷体_GB2312" w:cs="楷体_GB2312"/>
          <w:b w:val="0"/>
          <w:bCs w:val="0"/>
          <w:sz w:val="32"/>
          <w:szCs w:val="32"/>
          <w:lang w:eastAsia="zh-Hans"/>
        </w:rPr>
      </w:pPr>
      <w:bookmarkStart w:id="8" w:name="_Toc1216450098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Hans"/>
        </w:rPr>
        <w:t>项目精准问需，</w:t>
      </w:r>
      <w:bookmarkEnd w:id="8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Hans"/>
        </w:rPr>
        <w:t>有效解决群众需求</w:t>
      </w: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Hans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通过精准问需，有效解决部分社区的弊病、隐患，弘扬本地特色文化。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Hans"/>
        </w:rPr>
        <w:t>例如，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Hans"/>
        </w:rPr>
        <w:t>葵涌办事处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Hans"/>
        </w:rPr>
        <w:t>开展停车场建设改造项目，新增机动车位超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Hans"/>
        </w:rPr>
        <w:t>200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Hans"/>
        </w:rPr>
        <w:t>个，新增非机动车位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Hans"/>
        </w:rPr>
        <w:t>31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Hans"/>
        </w:rPr>
        <w:t>个，有效缓解民众停车难的压力。又如，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Hans"/>
        </w:rPr>
        <w:t>大鹏办事处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Hans"/>
        </w:rPr>
        <w:t>通过安装视频监控、安装充电桩挡雨棚、增加消防设备等项目，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降低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Hans"/>
        </w:rPr>
        <w:t>城中村区域的安全隐患。再如，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Hans"/>
        </w:rPr>
        <w:t>南澳办事处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Hans"/>
        </w:rPr>
        <w:t>的省、市级非物质文化遗产项目占大鹏新区半数，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Hans"/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Hans"/>
        </w:rPr>
        <w:t>年项目通过开展非遗文化进社区、海胆粽传承与技艺制作等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Hans"/>
        </w:rPr>
        <w:t>，做好非物质文化遗产保护和传承。根据满意度调查结果，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Hans"/>
        </w:rPr>
        <w:t>93.39%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Hans"/>
        </w:rPr>
        <w:t>的群众对民生微实事项目满意，项目有效增进民生福祉。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黑体"/>
          <w:sz w:val="32"/>
          <w:szCs w:val="32"/>
          <w:highlight w:val="none"/>
          <w:lang w:eastAsia="zh-Hans"/>
        </w:rPr>
      </w:pPr>
      <w:bookmarkStart w:id="9" w:name="_Toc832477646"/>
      <w:r>
        <w:rPr>
          <w:rFonts w:hint="default" w:ascii="黑体" w:hAnsi="黑体" w:eastAsia="黑体" w:cs="黑体"/>
          <w:sz w:val="32"/>
          <w:szCs w:val="32"/>
          <w:highlight w:val="none"/>
          <w:lang w:eastAsia="zh-Hans"/>
        </w:rPr>
        <w:t>三、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Hans"/>
        </w:rPr>
        <w:t>存在问题</w:t>
      </w:r>
      <w:bookmarkEnd w:id="9"/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Hans"/>
        </w:rPr>
      </w:pPr>
      <w:bookmarkStart w:id="10" w:name="_Toc595836117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Hans"/>
        </w:rPr>
        <w:t>（一）</w:t>
      </w:r>
      <w:bookmarkEnd w:id="10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Hans"/>
        </w:rPr>
        <w:t>项目执行不够及时，导致支出效率不够高</w:t>
      </w: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default" w:ascii="仿宋_GB2312" w:eastAsia="仿宋_GB2312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部分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Hans"/>
        </w:rPr>
        <w:t>项目单位未能灵活调配盈余资金，存在工程类项目未能及时结算导致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需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Hans"/>
        </w:rPr>
        <w:t>预算调整的情况。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Hans"/>
        </w:rPr>
      </w:pPr>
      <w:bookmarkStart w:id="11" w:name="_Toc501372458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Hans"/>
        </w:rPr>
        <w:t>（二）项目成本控制意识不够，</w:t>
      </w:r>
      <w:bookmarkEnd w:id="11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Hans"/>
        </w:rPr>
        <w:t>未建立支出标准</w:t>
      </w: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default" w:ascii="仿宋_GB2312" w:eastAsia="仿宋_GB2312"/>
          <w:b w:val="0"/>
          <w:bCs w:val="0"/>
          <w:sz w:val="32"/>
          <w:szCs w:val="32"/>
          <w:highlight w:val="none"/>
          <w:lang w:val="en-US" w:eastAsia="zh-Hans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Hans"/>
        </w:rPr>
        <w:t>技术人员培训费以外的人力成本价格不够明确，人力成本以外的活动费用、物资费用也无有效的价格标准，导致难以精准指导新立项项目预算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>编制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Hans"/>
        </w:rPr>
        <w:t>。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Hans"/>
        </w:rPr>
        <w:t>同一</w:t>
      </w:r>
      <w:r>
        <w:rPr>
          <w:rFonts w:hint="default" w:ascii="仿宋_GB2312" w:eastAsia="仿宋_GB2312"/>
          <w:b w:val="0"/>
          <w:bCs w:val="0"/>
          <w:sz w:val="32"/>
          <w:szCs w:val="32"/>
          <w:lang w:eastAsia="zh-Hans"/>
        </w:rPr>
        <w:t>办事处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Hans"/>
        </w:rPr>
        <w:t>、不同社区</w:t>
      </w:r>
      <w:r>
        <w:rPr>
          <w:rFonts w:hint="default" w:ascii="仿宋_GB2312" w:eastAsia="仿宋_GB2312"/>
          <w:b w:val="0"/>
          <w:bCs w:val="0"/>
          <w:sz w:val="32"/>
          <w:szCs w:val="32"/>
          <w:lang w:eastAsia="zh-Hans"/>
        </w:rPr>
        <w:t>的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同类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Hans"/>
        </w:rPr>
        <w:t>项目，其服务效益与支出金额比值差异较大。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Hans"/>
        </w:rPr>
      </w:pPr>
      <w:bookmarkStart w:id="12" w:name="_Toc1988554425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Hans"/>
        </w:rPr>
        <w:t>（三）部分项目未能达到预期产出和效益</w:t>
      </w:r>
      <w:bookmarkEnd w:id="12"/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2" w:firstLineChars="200"/>
        <w:textAlignment w:val="auto"/>
        <w:outlineLvl w:val="9"/>
        <w:rPr>
          <w:rFonts w:hint="default" w:ascii="仿宋_GB2312" w:hAnsi="黑体" w:eastAsia="仿宋_GB2312"/>
          <w:b w:val="0"/>
          <w:bCs w:val="0"/>
          <w:sz w:val="32"/>
          <w:szCs w:val="48"/>
          <w:lang w:val="en-US" w:eastAsia="zh-Hans"/>
        </w:rPr>
      </w:pPr>
      <w:r>
        <w:rPr>
          <w:rFonts w:hint="default" w:ascii="仿宋_GB2312" w:hAnsi="黑体" w:eastAsia="仿宋_GB2312"/>
          <w:b/>
          <w:bCs w:val="0"/>
          <w:sz w:val="32"/>
          <w:szCs w:val="48"/>
          <w:lang w:eastAsia="zh-Hans"/>
        </w:rPr>
        <w:t>一是</w:t>
      </w:r>
      <w:r>
        <w:rPr>
          <w:rFonts w:hint="eastAsia" w:ascii="仿宋_GB2312" w:hAnsi="黑体" w:eastAsia="仿宋_GB2312"/>
          <w:b w:val="0"/>
          <w:bCs w:val="0"/>
          <w:sz w:val="32"/>
          <w:szCs w:val="48"/>
          <w:lang w:val="en-US" w:eastAsia="zh-Hans"/>
        </w:rPr>
        <w:t>新立项项目实施时效性不足，从当年验收率、政策要求、合同期限来看，均有部分新立项项目未能及时完成</w:t>
      </w:r>
      <w:r>
        <w:rPr>
          <w:rFonts w:hint="eastAsia" w:ascii="仿宋_GB2312" w:hAnsi="黑体" w:eastAsia="仿宋_GB2312"/>
          <w:b w:val="0"/>
          <w:bCs w:val="0"/>
          <w:sz w:val="32"/>
          <w:szCs w:val="48"/>
          <w:lang w:val="en-US" w:eastAsia="zh-CN"/>
        </w:rPr>
        <w:t>。</w:t>
      </w:r>
      <w:r>
        <w:rPr>
          <w:rFonts w:hint="default" w:ascii="仿宋_GB2312" w:hAnsi="黑体" w:eastAsia="仿宋_GB2312"/>
          <w:b/>
          <w:bCs w:val="0"/>
          <w:sz w:val="32"/>
          <w:szCs w:val="48"/>
          <w:lang w:eastAsia="zh-Hans"/>
        </w:rPr>
        <w:t>二是</w:t>
      </w:r>
      <w:r>
        <w:rPr>
          <w:rFonts w:hint="eastAsia" w:ascii="仿宋_GB2312" w:hAnsi="黑体" w:eastAsia="仿宋_GB2312"/>
          <w:b w:val="0"/>
          <w:bCs w:val="0"/>
          <w:sz w:val="32"/>
          <w:szCs w:val="48"/>
          <w:lang w:val="en-US" w:eastAsia="zh-Hans"/>
        </w:rPr>
        <w:t>意见征集要求不够明确，个别社区对征集不重视，各社区征集情况差异较大。</w:t>
      </w:r>
      <w:r>
        <w:rPr>
          <w:rFonts w:hint="default" w:ascii="仿宋_GB2312" w:hAnsi="黑体" w:eastAsia="仿宋_GB2312"/>
          <w:b/>
          <w:bCs w:val="0"/>
          <w:sz w:val="32"/>
          <w:szCs w:val="48"/>
          <w:lang w:eastAsia="zh-Hans"/>
        </w:rPr>
        <w:t>三是</w:t>
      </w:r>
      <w:r>
        <w:rPr>
          <w:rFonts w:hint="eastAsia" w:ascii="仿宋_GB2312" w:hAnsi="黑体" w:eastAsia="仿宋_GB2312"/>
          <w:b w:val="0"/>
          <w:bCs w:val="0"/>
          <w:sz w:val="32"/>
          <w:szCs w:val="48"/>
          <w:lang w:val="en-US" w:eastAsia="zh-Hans"/>
        </w:rPr>
        <w:t>办事处统筹项目实施较少，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Hans"/>
        </w:rPr>
        <w:t>同一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>办事处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Hans"/>
        </w:rPr>
        <w:t>不同社区中有较多新立项项目的实施内容基本一致，但办事处未统筹相似项目实施。</w:t>
      </w:r>
      <w:r>
        <w:rPr>
          <w:rFonts w:hint="default" w:ascii="仿宋_GB2312" w:eastAsia="仿宋_GB2312"/>
          <w:b/>
          <w:bCs w:val="0"/>
          <w:sz w:val="32"/>
          <w:szCs w:val="32"/>
          <w:highlight w:val="none"/>
          <w:lang w:eastAsia="zh-Hans"/>
        </w:rPr>
        <w:t>四是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Hans"/>
        </w:rPr>
        <w:t>个别项目完成质量有待提高，主要包括项目存在风险未能验收、前期准备不充分而取消项目、验收管理不严导致项目质量存疑等</w:t>
      </w:r>
      <w:r>
        <w:rPr>
          <w:rFonts w:hint="default" w:ascii="仿宋_GB2312" w:eastAsia="仿宋_GB2312"/>
          <w:b w:val="0"/>
          <w:bCs w:val="0"/>
          <w:sz w:val="32"/>
          <w:szCs w:val="32"/>
          <w:highlight w:val="none"/>
          <w:lang w:eastAsia="zh-Hans"/>
        </w:rPr>
        <w:t>情况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Hans"/>
        </w:rPr>
        <w:t>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Hans"/>
        </w:rPr>
      </w:pPr>
      <w:bookmarkStart w:id="13" w:name="_Toc346222714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Hans"/>
        </w:rPr>
        <w:t>（四）项目管理比较粗放，</w:t>
      </w:r>
      <w:bookmarkEnd w:id="13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Hans"/>
        </w:rPr>
        <w:t>实施规范性不足</w:t>
      </w: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default" w:ascii="仿宋_GB2312" w:eastAsia="仿宋_GB2312"/>
          <w:b w:val="0"/>
          <w:bCs w:val="0"/>
          <w:sz w:val="32"/>
          <w:szCs w:val="32"/>
          <w:highlight w:val="none"/>
          <w:lang w:val="en-US" w:eastAsia="zh-Hans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48"/>
          <w:lang w:val="en-US" w:eastAsia="zh-Hans"/>
        </w:rPr>
        <w:t>存在履职管理不到位的情况，</w:t>
      </w:r>
      <w:r>
        <w:rPr>
          <w:rFonts w:hint="eastAsia" w:ascii="仿宋_GB2312" w:hAnsi="黑体" w:eastAsia="仿宋_GB2312"/>
          <w:b w:val="0"/>
          <w:bCs w:val="0"/>
          <w:sz w:val="32"/>
          <w:szCs w:val="48"/>
          <w:lang w:val="en-US" w:eastAsia="zh-CN"/>
        </w:rPr>
        <w:t>项目主管部门</w:t>
      </w:r>
      <w:r>
        <w:rPr>
          <w:rFonts w:hint="eastAsia" w:ascii="仿宋_GB2312" w:hAnsi="黑体" w:eastAsia="仿宋_GB2312"/>
          <w:b w:val="0"/>
          <w:bCs w:val="0"/>
          <w:sz w:val="32"/>
          <w:szCs w:val="48"/>
          <w:lang w:val="en-US" w:eastAsia="zh-Hans"/>
        </w:rPr>
        <w:t>未充分做好日常工作指导培训；存在个别新立项项目与区级项目服务范围重复覆盖、合同条款约定不清晰、成果归档整理缓慢且有材料缺失的情况。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黑体"/>
          <w:sz w:val="32"/>
          <w:szCs w:val="32"/>
          <w:highlight w:val="none"/>
        </w:rPr>
      </w:pPr>
      <w:bookmarkStart w:id="14" w:name="_Toc779985047"/>
      <w:r>
        <w:rPr>
          <w:rFonts w:hint="default" w:ascii="黑体" w:hAnsi="黑体" w:eastAsia="黑体" w:cs="黑体"/>
          <w:sz w:val="32"/>
          <w:szCs w:val="32"/>
          <w:highlight w:val="none"/>
        </w:rPr>
        <w:t>四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、改进建议</w:t>
      </w:r>
      <w:bookmarkEnd w:id="14"/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jc w:val="both"/>
        <w:textAlignment w:val="auto"/>
        <w:outlineLvl w:val="1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eastAsia="zh-Hans"/>
        </w:rPr>
      </w:pPr>
      <w:bookmarkStart w:id="15" w:name="_Toc752076292"/>
      <w:bookmarkStart w:id="16" w:name="_Toc968503641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Hans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Hans"/>
        </w:rPr>
        <w:t>一）严格控制项目进度</w:t>
      </w:r>
      <w:bookmarkEnd w:id="15"/>
      <w:bookmarkEnd w:id="16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Hans"/>
        </w:rPr>
        <w:t>，确保资金高效使用</w:t>
      </w: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eastAsia="zh-Hans"/>
        </w:rPr>
        <w:t>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jc w:val="both"/>
        <w:textAlignment w:val="auto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Hans"/>
        </w:rPr>
      </w:pPr>
      <w:r>
        <w:rPr>
          <w:rFonts w:hint="default" w:ascii="仿宋_GB2312" w:hAnsi="仿宋_GB2312" w:cs="仿宋_GB2312"/>
          <w:b/>
          <w:bCs w:val="0"/>
          <w:sz w:val="32"/>
          <w:szCs w:val="32"/>
          <w:lang w:eastAsia="zh-Hans"/>
        </w:rPr>
        <w:t>一是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Hans"/>
        </w:rPr>
        <w:t>加强项目进度管控。建议制定科学、合理、切实可行的项目实施计划，并对征集、评议、实施、验收、结算等各环节进行分解，明确具体完成的时间节点，并做好进度跟踪和预警；同时，建立严格的进度管理机制，按照倒排工期的方式，对项目进度进行定期跟踪和反馈，并加强对服务时效性考核落实。</w:t>
      </w:r>
      <w:r>
        <w:rPr>
          <w:rFonts w:hint="default" w:ascii="仿宋_GB2312" w:hAnsi="仿宋_GB2312" w:cs="仿宋_GB2312"/>
          <w:b/>
          <w:bCs w:val="0"/>
          <w:sz w:val="32"/>
          <w:szCs w:val="32"/>
          <w:lang w:eastAsia="zh-Hans"/>
        </w:rPr>
        <w:t>二是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Hans"/>
        </w:rPr>
        <w:t>提高资金调配能力。建议各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eastAsia="zh-Hans"/>
        </w:rPr>
        <w:t>办事处每年应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Hans"/>
        </w:rPr>
        <w:t>尽早做好新立项项目资金使用计划，定期跟踪新立项项目的资金使用率，做好当年支出情况预判，若出现资金盈余，及时做好资金调配，抓紧新项目的立项、实施、验收工作，保障项目资金使用效率。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default" w:ascii="仿宋_GB2312" w:hAnsi="仿宋_GB2312" w:cs="仿宋_GB2312"/>
          <w:b w:val="0"/>
          <w:bCs w:val="0"/>
          <w:sz w:val="32"/>
          <w:szCs w:val="32"/>
          <w:lang w:eastAsia="zh-Hans"/>
        </w:rPr>
      </w:pPr>
      <w:bookmarkStart w:id="17" w:name="_Toc1862133674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Hans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Hans"/>
        </w:rPr>
        <w:t>二）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Hans"/>
        </w:rPr>
        <w:t>加快完善价格标准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Hans"/>
        </w:rPr>
        <w:t>，提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Hans"/>
        </w:rPr>
        <w:t>高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Hans"/>
        </w:rPr>
        <w:t>资金使用效益</w:t>
      </w:r>
      <w:bookmarkEnd w:id="17"/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spacing w:val="0"/>
          <w:kern w:val="2"/>
          <w:sz w:val="32"/>
          <w:szCs w:val="32"/>
          <w:u w:val="none"/>
          <w:shd w:val="clear" w:color="auto" w:fill="auto"/>
          <w:lang w:eastAsia="zh-Hans" w:bidi="ar"/>
        </w:rPr>
      </w:pPr>
      <w:r>
        <w:rPr>
          <w:rFonts w:hint="default" w:ascii="仿宋_GB2312" w:hAnsi="仿宋_GB2312" w:eastAsia="仿宋_GB2312" w:cs="仿宋_GB2312"/>
          <w:b/>
          <w:bCs w:val="0"/>
          <w:sz w:val="32"/>
          <w:szCs w:val="32"/>
          <w:lang w:eastAsia="zh-Hans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建立健全服务类项目支出标准。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kern w:val="2"/>
          <w:sz w:val="32"/>
          <w:szCs w:val="32"/>
          <w:u w:val="none"/>
          <w:shd w:val="clear" w:color="auto" w:fill="auto"/>
          <w:lang w:val="en-US" w:eastAsia="zh-Hans" w:bidi="ar"/>
        </w:rPr>
        <w:t>建议</w:t>
      </w:r>
      <w: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spacing w:val="0"/>
          <w:kern w:val="2"/>
          <w:sz w:val="32"/>
          <w:szCs w:val="32"/>
          <w:u w:val="none"/>
          <w:shd w:val="clear" w:color="auto" w:fill="auto"/>
          <w:lang w:eastAsia="zh-Hans" w:bidi="ar"/>
        </w:rPr>
        <w:t>新区统战社建局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kern w:val="2"/>
          <w:sz w:val="32"/>
          <w:szCs w:val="32"/>
          <w:u w:val="none"/>
          <w:shd w:val="clear" w:color="auto" w:fill="auto"/>
          <w:lang w:val="en-US" w:eastAsia="zh-Hans" w:bidi="ar"/>
        </w:rPr>
        <w:t>联合</w:t>
      </w:r>
      <w: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spacing w:val="0"/>
          <w:kern w:val="2"/>
          <w:sz w:val="32"/>
          <w:szCs w:val="32"/>
          <w:u w:val="none"/>
          <w:shd w:val="clear" w:color="auto" w:fill="auto"/>
          <w:lang w:eastAsia="zh-Hans" w:bidi="ar"/>
        </w:rPr>
        <w:t>办事处，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kern w:val="2"/>
          <w:sz w:val="32"/>
          <w:szCs w:val="32"/>
          <w:u w:val="none"/>
          <w:shd w:val="clear" w:color="auto" w:fill="auto"/>
          <w:lang w:val="en-US" w:eastAsia="zh-Hans" w:bidi="ar"/>
        </w:rPr>
        <w:t>制定同类项目可参考</w:t>
      </w:r>
      <w: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spacing w:val="0"/>
          <w:kern w:val="2"/>
          <w:sz w:val="32"/>
          <w:szCs w:val="32"/>
          <w:u w:val="none"/>
          <w:shd w:val="clear" w:color="auto" w:fill="auto"/>
          <w:lang w:eastAsia="zh-Hans" w:bidi="ar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kern w:val="2"/>
          <w:sz w:val="32"/>
          <w:szCs w:val="32"/>
          <w:u w:val="none"/>
          <w:shd w:val="clear" w:color="auto" w:fill="auto"/>
          <w:lang w:val="en-US" w:eastAsia="zh-Hans" w:bidi="ar"/>
        </w:rPr>
        <w:t>可比较的价格指标标准</w:t>
      </w:r>
      <w: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spacing w:val="0"/>
          <w:kern w:val="2"/>
          <w:sz w:val="32"/>
          <w:szCs w:val="32"/>
          <w:u w:val="none"/>
          <w:shd w:val="clear" w:color="auto" w:fill="auto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kern w:val="2"/>
          <w:sz w:val="32"/>
          <w:szCs w:val="32"/>
          <w:u w:val="none"/>
          <w:shd w:val="clear" w:color="auto" w:fill="auto"/>
          <w:lang w:val="en-US" w:eastAsia="zh-Hans" w:bidi="ar"/>
        </w:rPr>
        <w:t>明确各类费用单价标准和支出比例</w:t>
      </w:r>
      <w: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spacing w:val="0"/>
          <w:kern w:val="2"/>
          <w:sz w:val="32"/>
          <w:szCs w:val="32"/>
          <w:u w:val="none"/>
          <w:shd w:val="clear" w:color="auto" w:fill="auto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kern w:val="2"/>
          <w:sz w:val="32"/>
          <w:szCs w:val="32"/>
          <w:u w:val="none"/>
          <w:shd w:val="clear" w:color="auto" w:fill="auto"/>
          <w:lang w:val="en-US" w:eastAsia="zh-Hans" w:bidi="ar"/>
        </w:rPr>
        <w:t>提高预算编制的合理性</w:t>
      </w:r>
      <w: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spacing w:val="0"/>
          <w:kern w:val="2"/>
          <w:sz w:val="32"/>
          <w:szCs w:val="32"/>
          <w:u w:val="none"/>
          <w:shd w:val="clear" w:color="auto" w:fill="auto"/>
          <w:lang w:eastAsia="zh-Hans" w:bidi="ar"/>
        </w:rPr>
        <w:t>。</w:t>
      </w:r>
      <w:r>
        <w:rPr>
          <w:rFonts w:hint="default" w:ascii="仿宋_GB2312" w:hAnsi="仿宋_GB2312" w:eastAsia="仿宋_GB2312" w:cs="仿宋_GB2312"/>
          <w:b/>
          <w:bCs w:val="0"/>
          <w:i w:val="0"/>
          <w:caps w:val="0"/>
          <w:spacing w:val="0"/>
          <w:kern w:val="2"/>
          <w:sz w:val="32"/>
          <w:szCs w:val="32"/>
          <w:u w:val="none"/>
          <w:shd w:val="clear" w:color="auto" w:fill="auto"/>
          <w:lang w:eastAsia="zh-Hans" w:bidi="ar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kern w:val="2"/>
          <w:sz w:val="32"/>
          <w:szCs w:val="32"/>
          <w:u w:val="none"/>
          <w:shd w:val="clear" w:color="auto" w:fill="auto"/>
          <w:lang w:val="en-US" w:eastAsia="zh-Hans" w:bidi="ar"/>
        </w:rPr>
        <w:t>加强项目入库和立项预算审核</w:t>
      </w:r>
      <w: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spacing w:val="0"/>
          <w:kern w:val="2"/>
          <w:sz w:val="32"/>
          <w:szCs w:val="32"/>
          <w:u w:val="none"/>
          <w:shd w:val="clear" w:color="auto" w:fill="auto"/>
          <w:lang w:eastAsia="zh-Hans" w:bidi="ar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kern w:val="2"/>
          <w:sz w:val="32"/>
          <w:szCs w:val="32"/>
          <w:u w:val="none"/>
          <w:shd w:val="clear" w:color="auto" w:fill="auto"/>
          <w:lang w:val="en-US" w:eastAsia="zh-Hans" w:bidi="ar"/>
        </w:rPr>
        <w:t>规范预算编制</w:t>
      </w:r>
      <w: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spacing w:val="0"/>
          <w:kern w:val="2"/>
          <w:sz w:val="32"/>
          <w:szCs w:val="32"/>
          <w:u w:val="none"/>
          <w:shd w:val="clear" w:color="auto" w:fill="auto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kern w:val="2"/>
          <w:sz w:val="32"/>
          <w:szCs w:val="32"/>
          <w:u w:val="none"/>
          <w:shd w:val="clear" w:color="auto" w:fill="auto"/>
          <w:lang w:val="en-US" w:eastAsia="zh-Hans" w:bidi="ar"/>
        </w:rPr>
        <w:t>提高预算编制质量</w:t>
      </w:r>
      <w: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spacing w:val="0"/>
          <w:kern w:val="2"/>
          <w:sz w:val="32"/>
          <w:szCs w:val="32"/>
          <w:u w:val="none"/>
          <w:shd w:val="clear" w:color="auto" w:fill="auto"/>
          <w:lang w:eastAsia="zh-Hans" w:bidi="ar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kern w:val="2"/>
          <w:sz w:val="32"/>
          <w:szCs w:val="32"/>
          <w:u w:val="none"/>
          <w:shd w:val="clear" w:color="auto" w:fill="auto"/>
          <w:lang w:val="en-US" w:eastAsia="zh-Hans" w:bidi="ar"/>
        </w:rPr>
        <w:t>建议新区统战社建局建立统一</w:t>
      </w:r>
      <w: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spacing w:val="0"/>
          <w:kern w:val="2"/>
          <w:sz w:val="32"/>
          <w:szCs w:val="32"/>
          <w:u w:val="none"/>
          <w:shd w:val="clear" w:color="auto" w:fill="auto"/>
          <w:lang w:eastAsia="zh-Hans" w:bidi="ar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kern w:val="2"/>
          <w:sz w:val="32"/>
          <w:szCs w:val="32"/>
          <w:u w:val="none"/>
          <w:shd w:val="clear" w:color="auto" w:fill="auto"/>
          <w:lang w:val="en-US" w:eastAsia="zh-Hans" w:bidi="ar"/>
        </w:rPr>
        <w:t>规范的入库项目预算编制模</w:t>
      </w:r>
      <w: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spacing w:val="0"/>
          <w:kern w:val="2"/>
          <w:sz w:val="32"/>
          <w:szCs w:val="32"/>
          <w:u w:val="none"/>
          <w:shd w:val="clear" w:color="auto" w:fill="auto"/>
          <w:lang w:eastAsia="zh-Hans" w:bidi="ar"/>
        </w:rPr>
        <w:t>板，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kern w:val="2"/>
          <w:sz w:val="32"/>
          <w:szCs w:val="32"/>
          <w:u w:val="none"/>
          <w:shd w:val="clear" w:color="auto" w:fill="auto"/>
          <w:lang w:val="en-US" w:eastAsia="zh-Hans" w:bidi="ar"/>
        </w:rPr>
        <w:t>明确预算编制的要求；建议各办事处在立项环节，重点审核同类项目成本是否存在差异</w:t>
      </w:r>
      <w: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spacing w:val="0"/>
          <w:kern w:val="2"/>
          <w:sz w:val="32"/>
          <w:szCs w:val="32"/>
          <w:u w:val="none"/>
          <w:shd w:val="clear" w:color="auto" w:fill="auto"/>
          <w:lang w:eastAsia="zh-Hans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eastAsia="zh-Hans"/>
        </w:rPr>
      </w:pPr>
      <w:bookmarkStart w:id="18" w:name="_Toc1601471187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Hans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Hans"/>
        </w:rPr>
        <w:t>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Hans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Hans"/>
        </w:rPr>
        <w:t>及时优化管理措施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Hans"/>
        </w:rPr>
        <w:t>，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Hans"/>
        </w:rPr>
        <w:t>提升项目</w:t>
      </w:r>
      <w:bookmarkEnd w:id="18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Hans"/>
        </w:rPr>
        <w:t>完成质量</w:t>
      </w: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仿宋_GB2312" w:hAnsi="黑体" w:eastAsia="仿宋_GB2312"/>
          <w:b/>
          <w:bCs w:val="0"/>
          <w:sz w:val="32"/>
          <w:szCs w:val="48"/>
          <w:lang w:eastAsia="zh-Hans"/>
        </w:rPr>
        <w:t>一是</w:t>
      </w:r>
      <w:r>
        <w:rPr>
          <w:rFonts w:hint="eastAsia" w:ascii="仿宋_GB2312" w:hAnsi="黑体" w:eastAsia="仿宋_GB2312"/>
          <w:b w:val="0"/>
          <w:bCs w:val="0"/>
          <w:sz w:val="32"/>
          <w:szCs w:val="48"/>
          <w:lang w:val="en-US" w:eastAsia="zh-Hans"/>
        </w:rPr>
        <w:t>系统建立项目负面清单。建议</w:t>
      </w:r>
      <w:r>
        <w:rPr>
          <w:rFonts w:hint="default" w:ascii="仿宋_GB2312" w:hAnsi="黑体" w:eastAsia="仿宋_GB2312"/>
          <w:b w:val="0"/>
          <w:bCs w:val="0"/>
          <w:sz w:val="32"/>
          <w:szCs w:val="48"/>
          <w:lang w:eastAsia="zh-Hans"/>
        </w:rPr>
        <w:t>新区统战社建局</w:t>
      </w:r>
      <w:r>
        <w:rPr>
          <w:rFonts w:hint="eastAsia" w:ascii="仿宋_GB2312" w:hAnsi="黑体" w:eastAsia="仿宋_GB2312"/>
          <w:b w:val="0"/>
          <w:bCs w:val="0"/>
          <w:sz w:val="32"/>
          <w:szCs w:val="48"/>
          <w:lang w:val="en-US" w:eastAsia="zh-Hans"/>
        </w:rPr>
        <w:t>对可能与区级部门实施内容存在交叉、重复的项目进行核实，做好项目征询工作，并将重复项目纳入项目负面清单，避免财政资金多头支出。</w:t>
      </w:r>
      <w:r>
        <w:rPr>
          <w:rFonts w:hint="default" w:ascii="仿宋_GB2312" w:hAnsi="黑体" w:eastAsia="仿宋_GB2312"/>
          <w:b/>
          <w:bCs w:val="0"/>
          <w:sz w:val="32"/>
          <w:szCs w:val="48"/>
          <w:lang w:eastAsia="zh-Hans"/>
        </w:rPr>
        <w:t>二是</w:t>
      </w:r>
      <w:r>
        <w:rPr>
          <w:rFonts w:hint="eastAsia" w:ascii="仿宋_GB2312" w:hAnsi="黑体" w:eastAsia="仿宋_GB2312"/>
          <w:b w:val="0"/>
          <w:bCs w:val="0"/>
          <w:sz w:val="32"/>
          <w:szCs w:val="48"/>
          <w:lang w:val="en-US" w:eastAsia="zh-Hans"/>
        </w:rPr>
        <w:t>进一步明确项目征集要求。建议</w:t>
      </w:r>
      <w:r>
        <w:rPr>
          <w:rFonts w:hint="default" w:ascii="仿宋_GB2312" w:hAnsi="黑体" w:eastAsia="仿宋_GB2312"/>
          <w:b w:val="0"/>
          <w:bCs w:val="0"/>
          <w:sz w:val="32"/>
          <w:szCs w:val="48"/>
          <w:lang w:eastAsia="zh-Hans"/>
        </w:rPr>
        <w:t>新区统战社建局</w:t>
      </w:r>
      <w:r>
        <w:rPr>
          <w:rFonts w:hint="eastAsia" w:ascii="仿宋_GB2312" w:hAnsi="黑体" w:eastAsia="仿宋_GB2312"/>
          <w:b w:val="0"/>
          <w:bCs w:val="0"/>
          <w:sz w:val="32"/>
          <w:szCs w:val="48"/>
          <w:lang w:val="en-US" w:eastAsia="zh-Hans"/>
        </w:rPr>
        <w:t>明确</w:t>
      </w:r>
      <w:r>
        <w:rPr>
          <w:rFonts w:hint="eastAsia" w:ascii="仿宋_GB2312" w:hAnsi="黑体" w:eastAsia="仿宋_GB2312"/>
          <w:b w:val="0"/>
          <w:bCs w:val="0"/>
          <w:sz w:val="32"/>
          <w:szCs w:val="48"/>
          <w:highlight w:val="none"/>
          <w:lang w:val="en-US" w:eastAsia="zh-Hans"/>
        </w:rPr>
        <w:t>社区征集比例下限、征集人群范围等内容，规范项目征集流程。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eastAsia="zh-Hans"/>
        </w:rPr>
      </w:pPr>
      <w:bookmarkStart w:id="19" w:name="_Toc1513692058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Hans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Hans"/>
        </w:rPr>
        <w:t>四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Hans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Hans"/>
        </w:rPr>
        <w:t>加强项目精细化管理，重视项目实施规范性</w:t>
      </w: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eastAsia="zh-Hans"/>
        </w:rPr>
        <w:t>。</w:t>
      </w:r>
    </w:p>
    <w:bookmarkEnd w:id="19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仿宋_GB2312" w:hAnsi="黑体" w:eastAsia="仿宋_GB2312"/>
          <w:b w:val="0"/>
          <w:bCs w:val="0"/>
          <w:sz w:val="32"/>
          <w:szCs w:val="48"/>
          <w:lang w:eastAsia="zh-Hans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Hans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加强立项管理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kern w:val="2"/>
          <w:sz w:val="32"/>
          <w:szCs w:val="32"/>
          <w:u w:val="none"/>
          <w:shd w:val="clear" w:color="auto" w:fill="auto"/>
          <w:lang w:val="en-US" w:eastAsia="zh-Hans" w:bidi="ar"/>
        </w:rPr>
        <w:t>对项目实施内容进行严格审核</w:t>
      </w:r>
      <w: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spacing w:val="0"/>
          <w:kern w:val="2"/>
          <w:sz w:val="32"/>
          <w:szCs w:val="32"/>
          <w:u w:val="none"/>
          <w:shd w:val="clear" w:color="auto" w:fill="auto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kern w:val="2"/>
          <w:sz w:val="32"/>
          <w:szCs w:val="32"/>
          <w:u w:val="none"/>
          <w:shd w:val="clear" w:color="auto" w:fill="auto"/>
          <w:lang w:val="en-US" w:eastAsia="zh-Hans" w:bidi="ar"/>
        </w:rPr>
        <w:t>对于是否存在重复投资的情况进行严格把控</w:t>
      </w:r>
      <w: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spacing w:val="0"/>
          <w:kern w:val="2"/>
          <w:sz w:val="32"/>
          <w:szCs w:val="32"/>
          <w:u w:val="none"/>
          <w:shd w:val="clear" w:color="auto" w:fill="auto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kern w:val="2"/>
          <w:sz w:val="32"/>
          <w:szCs w:val="32"/>
          <w:u w:val="none"/>
          <w:shd w:val="clear" w:color="auto" w:fill="auto"/>
          <w:lang w:val="en-US" w:eastAsia="zh-Hans" w:bidi="ar"/>
        </w:rPr>
        <w:t>必要的情况下可向相关部门发函确认</w:t>
      </w:r>
      <w: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spacing w:val="0"/>
          <w:kern w:val="2"/>
          <w:sz w:val="32"/>
          <w:szCs w:val="32"/>
          <w:u w:val="none"/>
          <w:shd w:val="clear" w:color="auto" w:fill="auto"/>
          <w:lang w:eastAsia="zh-Hans" w:bidi="ar"/>
        </w:rPr>
        <w:t>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Hans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严格项目合同和验收管理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在合同管理方面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建议各办事处合理设置合同支付条款，确保工作量与支付进度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匹配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同时明确合同服务内容、各项要求以及违约措施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Hans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加强项目档案管理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建议要求服务商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做好资料归档工作，确保材料归档及时性、有效性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同时建议规范资料归档材料文件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Hans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加强指导培训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建议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新区统战社建局</w:t>
      </w:r>
      <w:r>
        <w:rPr>
          <w:rFonts w:hint="eastAsia" w:ascii="仿宋_GB2312" w:hAnsi="黑体" w:eastAsia="仿宋_GB2312"/>
          <w:b w:val="0"/>
          <w:bCs w:val="0"/>
          <w:sz w:val="32"/>
          <w:szCs w:val="48"/>
          <w:lang w:val="en-US" w:eastAsia="zh-Hans"/>
        </w:rPr>
        <w:t>在项目实施过程中应加强对项目</w:t>
      </w:r>
      <w:r>
        <w:rPr>
          <w:rFonts w:hint="eastAsia" w:ascii="仿宋_GB2312" w:hAnsi="黑体" w:eastAsia="仿宋_GB2312"/>
          <w:b w:val="0"/>
          <w:bCs w:val="0"/>
          <w:sz w:val="32"/>
          <w:szCs w:val="48"/>
          <w:lang w:val="en-US" w:eastAsia="zh-CN"/>
        </w:rPr>
        <w:t>的</w:t>
      </w:r>
      <w:r>
        <w:rPr>
          <w:rFonts w:hint="eastAsia" w:ascii="仿宋_GB2312" w:hAnsi="黑体" w:eastAsia="仿宋_GB2312"/>
          <w:b w:val="0"/>
          <w:bCs w:val="0"/>
          <w:sz w:val="32"/>
          <w:szCs w:val="48"/>
          <w:lang w:val="en-US" w:eastAsia="zh-Hans"/>
        </w:rPr>
        <w:t>指导、培训工作</w:t>
      </w:r>
      <w:r>
        <w:rPr>
          <w:rFonts w:hint="default" w:ascii="仿宋_GB2312" w:hAnsi="黑体" w:eastAsia="仿宋_GB2312"/>
          <w:b w:val="0"/>
          <w:bCs w:val="0"/>
          <w:sz w:val="32"/>
          <w:szCs w:val="48"/>
          <w:lang w:eastAsia="zh-Hans"/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lang w:eastAsia="zh-Hans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华文宋体" w:hAnsi="华文宋体" w:eastAsia="华文宋体" w:cs="华文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华文宋体" w:hAnsi="华文宋体" w:eastAsia="华文宋体" w:cs="华文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hvGZtDECAABj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华文宋体" w:hAnsi="华文宋体" w:eastAsia="华文宋体" w:cs="华文宋体"/>
                        <w:sz w:val="28"/>
                        <w:szCs w:val="28"/>
                      </w:rPr>
                    </w:pPr>
                    <w:r>
                      <w:rPr>
                        <w:rFonts w:hint="eastAsia" w:ascii="华文宋体" w:hAnsi="华文宋体" w:eastAsia="华文宋体" w:cs="华文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宋体" w:hAnsi="华文宋体" w:eastAsia="华文宋体" w:cs="华文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宋体" w:hAnsi="华文宋体" w:eastAsia="华文宋体" w:cs="华文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宋体" w:hAnsi="华文宋体" w:eastAsia="华文宋体" w:cs="华文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华文宋体" w:hAnsi="华文宋体" w:eastAsia="华文宋体" w:cs="华文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130F68"/>
    <w:multiLevelType w:val="singleLevel"/>
    <w:tmpl w:val="62130F68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zNGU5ZmI3NDgwZjliYmYzY2QzMWRhMmUwMjRhZjcifQ=="/>
  </w:docVars>
  <w:rsids>
    <w:rsidRoot w:val="F45F8F3B"/>
    <w:rsid w:val="000A6E29"/>
    <w:rsid w:val="000D4F2F"/>
    <w:rsid w:val="000D6695"/>
    <w:rsid w:val="00107EF9"/>
    <w:rsid w:val="00131B4D"/>
    <w:rsid w:val="00250488"/>
    <w:rsid w:val="002578EE"/>
    <w:rsid w:val="00264ED8"/>
    <w:rsid w:val="00385C32"/>
    <w:rsid w:val="00387B4A"/>
    <w:rsid w:val="003C5AA2"/>
    <w:rsid w:val="00426392"/>
    <w:rsid w:val="00532F72"/>
    <w:rsid w:val="005334FD"/>
    <w:rsid w:val="00554ED0"/>
    <w:rsid w:val="005869D0"/>
    <w:rsid w:val="005D3B30"/>
    <w:rsid w:val="006129A7"/>
    <w:rsid w:val="0068589E"/>
    <w:rsid w:val="00746623"/>
    <w:rsid w:val="007D7775"/>
    <w:rsid w:val="007F143B"/>
    <w:rsid w:val="00822606"/>
    <w:rsid w:val="00894A60"/>
    <w:rsid w:val="008A2B86"/>
    <w:rsid w:val="008C1DFB"/>
    <w:rsid w:val="00973F6F"/>
    <w:rsid w:val="009E4980"/>
    <w:rsid w:val="00A426E2"/>
    <w:rsid w:val="00A446D6"/>
    <w:rsid w:val="00C31C6D"/>
    <w:rsid w:val="00C47E83"/>
    <w:rsid w:val="00C57D12"/>
    <w:rsid w:val="00CB6E1B"/>
    <w:rsid w:val="00D83DC0"/>
    <w:rsid w:val="00DA4990"/>
    <w:rsid w:val="00DE00B8"/>
    <w:rsid w:val="00DF3568"/>
    <w:rsid w:val="0DFDE70D"/>
    <w:rsid w:val="0FAB2E52"/>
    <w:rsid w:val="1577E283"/>
    <w:rsid w:val="1DB72125"/>
    <w:rsid w:val="1DCFE124"/>
    <w:rsid w:val="1DEFCC23"/>
    <w:rsid w:val="1DFD9551"/>
    <w:rsid w:val="1E9B2972"/>
    <w:rsid w:val="258FDCB5"/>
    <w:rsid w:val="25DDF04C"/>
    <w:rsid w:val="26FBE994"/>
    <w:rsid w:val="29B42020"/>
    <w:rsid w:val="2DF420A4"/>
    <w:rsid w:val="2F5DBD39"/>
    <w:rsid w:val="2FDEBAFC"/>
    <w:rsid w:val="2FFD18E0"/>
    <w:rsid w:val="357FC3ED"/>
    <w:rsid w:val="36B5F5A1"/>
    <w:rsid w:val="36FB7AC1"/>
    <w:rsid w:val="377F34C0"/>
    <w:rsid w:val="37FE1BD4"/>
    <w:rsid w:val="39BBF727"/>
    <w:rsid w:val="39FE5DCC"/>
    <w:rsid w:val="3A6FE0EA"/>
    <w:rsid w:val="3AAFA318"/>
    <w:rsid w:val="3AEF5917"/>
    <w:rsid w:val="3B4E46AD"/>
    <w:rsid w:val="3BEB375B"/>
    <w:rsid w:val="3BFD6076"/>
    <w:rsid w:val="3BFE47D1"/>
    <w:rsid w:val="3C0F708C"/>
    <w:rsid w:val="3C6A81F1"/>
    <w:rsid w:val="3DA90A0E"/>
    <w:rsid w:val="3DFF5F3F"/>
    <w:rsid w:val="3DFF7050"/>
    <w:rsid w:val="3E779852"/>
    <w:rsid w:val="3EFAD311"/>
    <w:rsid w:val="3EFD2930"/>
    <w:rsid w:val="3F27BB08"/>
    <w:rsid w:val="3F6D282B"/>
    <w:rsid w:val="3F9C89A3"/>
    <w:rsid w:val="3FAC54E7"/>
    <w:rsid w:val="3FDF21A2"/>
    <w:rsid w:val="3FF953CB"/>
    <w:rsid w:val="45964950"/>
    <w:rsid w:val="467F2122"/>
    <w:rsid w:val="46DD363D"/>
    <w:rsid w:val="4BDBAB11"/>
    <w:rsid w:val="4EA7797E"/>
    <w:rsid w:val="4FBBA7E7"/>
    <w:rsid w:val="4FEECCEE"/>
    <w:rsid w:val="4FFD01D5"/>
    <w:rsid w:val="52356848"/>
    <w:rsid w:val="575B0195"/>
    <w:rsid w:val="57EBA60A"/>
    <w:rsid w:val="57FE6655"/>
    <w:rsid w:val="5BEFA96D"/>
    <w:rsid w:val="5DDB0284"/>
    <w:rsid w:val="5DFFFCE8"/>
    <w:rsid w:val="5E59100F"/>
    <w:rsid w:val="5E7B5314"/>
    <w:rsid w:val="5EB78063"/>
    <w:rsid w:val="5ECBC7F6"/>
    <w:rsid w:val="5EEA4957"/>
    <w:rsid w:val="5EEEC7A4"/>
    <w:rsid w:val="5FB64712"/>
    <w:rsid w:val="5FB98E57"/>
    <w:rsid w:val="5FBFC070"/>
    <w:rsid w:val="5FCD9F47"/>
    <w:rsid w:val="5FD3DEBD"/>
    <w:rsid w:val="606F6143"/>
    <w:rsid w:val="65BDD35F"/>
    <w:rsid w:val="65EF315D"/>
    <w:rsid w:val="66FF618C"/>
    <w:rsid w:val="687B701F"/>
    <w:rsid w:val="6A7C397C"/>
    <w:rsid w:val="6AE72717"/>
    <w:rsid w:val="6AFAC691"/>
    <w:rsid w:val="6DEE82BF"/>
    <w:rsid w:val="6E549121"/>
    <w:rsid w:val="6F3F5AAA"/>
    <w:rsid w:val="6F5F549D"/>
    <w:rsid w:val="6F775EAC"/>
    <w:rsid w:val="6FDEF1FD"/>
    <w:rsid w:val="6FDF11C3"/>
    <w:rsid w:val="6FF77793"/>
    <w:rsid w:val="6FFB8247"/>
    <w:rsid w:val="6FFD2CF0"/>
    <w:rsid w:val="72EF5F27"/>
    <w:rsid w:val="732AFA30"/>
    <w:rsid w:val="755745CB"/>
    <w:rsid w:val="75FF5C92"/>
    <w:rsid w:val="7637BD75"/>
    <w:rsid w:val="76AFD7BE"/>
    <w:rsid w:val="76B18C65"/>
    <w:rsid w:val="76F2303E"/>
    <w:rsid w:val="76FE6BF7"/>
    <w:rsid w:val="7761EDBE"/>
    <w:rsid w:val="776F092C"/>
    <w:rsid w:val="77759DCA"/>
    <w:rsid w:val="777FD889"/>
    <w:rsid w:val="77B1BFEB"/>
    <w:rsid w:val="7856C913"/>
    <w:rsid w:val="797FE0DE"/>
    <w:rsid w:val="7ABF3978"/>
    <w:rsid w:val="7ADF3512"/>
    <w:rsid w:val="7ADFC7EA"/>
    <w:rsid w:val="7BBF9487"/>
    <w:rsid w:val="7BCE664D"/>
    <w:rsid w:val="7BDF8C85"/>
    <w:rsid w:val="7BF08EE4"/>
    <w:rsid w:val="7BF7668E"/>
    <w:rsid w:val="7CB6CF58"/>
    <w:rsid w:val="7CF3EAD1"/>
    <w:rsid w:val="7D763BF1"/>
    <w:rsid w:val="7D7F1617"/>
    <w:rsid w:val="7DE77826"/>
    <w:rsid w:val="7DEFF94E"/>
    <w:rsid w:val="7DF77F72"/>
    <w:rsid w:val="7DF97A40"/>
    <w:rsid w:val="7DFCF3A6"/>
    <w:rsid w:val="7EF78AC0"/>
    <w:rsid w:val="7F2EC419"/>
    <w:rsid w:val="7F3EE061"/>
    <w:rsid w:val="7F4E59DB"/>
    <w:rsid w:val="7F57EAA1"/>
    <w:rsid w:val="7F5F9EA1"/>
    <w:rsid w:val="7F69C32B"/>
    <w:rsid w:val="7F752D23"/>
    <w:rsid w:val="7F7D4270"/>
    <w:rsid w:val="7F9F050B"/>
    <w:rsid w:val="7FBD322D"/>
    <w:rsid w:val="7FBECD95"/>
    <w:rsid w:val="7FBF7323"/>
    <w:rsid w:val="7FBFB169"/>
    <w:rsid w:val="7FBFB6AE"/>
    <w:rsid w:val="7FBFFBF3"/>
    <w:rsid w:val="7FC35CC4"/>
    <w:rsid w:val="7FC907BD"/>
    <w:rsid w:val="7FCEE397"/>
    <w:rsid w:val="7FDFA737"/>
    <w:rsid w:val="7FF52F4C"/>
    <w:rsid w:val="7FFF175D"/>
    <w:rsid w:val="7FFF4CF9"/>
    <w:rsid w:val="7FFF5DBE"/>
    <w:rsid w:val="87BFFD96"/>
    <w:rsid w:val="8CFE1381"/>
    <w:rsid w:val="9095A861"/>
    <w:rsid w:val="97FFF8CA"/>
    <w:rsid w:val="9BF543AF"/>
    <w:rsid w:val="9DED45F8"/>
    <w:rsid w:val="9FFF0CB6"/>
    <w:rsid w:val="ABFF8E0E"/>
    <w:rsid w:val="AEDE2626"/>
    <w:rsid w:val="AF2B5866"/>
    <w:rsid w:val="AF3709F0"/>
    <w:rsid w:val="AFF14E93"/>
    <w:rsid w:val="B1DDD411"/>
    <w:rsid w:val="B23F8952"/>
    <w:rsid w:val="B3D59E57"/>
    <w:rsid w:val="B84BFBD9"/>
    <w:rsid w:val="B8FDD37E"/>
    <w:rsid w:val="B8FF7228"/>
    <w:rsid w:val="B962EEC8"/>
    <w:rsid w:val="BA7D2DD9"/>
    <w:rsid w:val="BB5FE7F5"/>
    <w:rsid w:val="BB77007F"/>
    <w:rsid w:val="BBFA7E92"/>
    <w:rsid w:val="BC5F521F"/>
    <w:rsid w:val="BCEB21A2"/>
    <w:rsid w:val="BD63A1C9"/>
    <w:rsid w:val="BDFF600B"/>
    <w:rsid w:val="BE7F9D72"/>
    <w:rsid w:val="BEFCE752"/>
    <w:rsid w:val="BFB97039"/>
    <w:rsid w:val="BFD3EB53"/>
    <w:rsid w:val="BFF747FF"/>
    <w:rsid w:val="BFF96E3A"/>
    <w:rsid w:val="BFFB271C"/>
    <w:rsid w:val="CC3BA419"/>
    <w:rsid w:val="CD3E1B08"/>
    <w:rsid w:val="CECFDE94"/>
    <w:rsid w:val="CEF1186C"/>
    <w:rsid w:val="CFF791B8"/>
    <w:rsid w:val="CFFED457"/>
    <w:rsid w:val="D16E8C37"/>
    <w:rsid w:val="D39B7D2E"/>
    <w:rsid w:val="D5EFC213"/>
    <w:rsid w:val="D5F9989A"/>
    <w:rsid w:val="D73F5F2A"/>
    <w:rsid w:val="D75FB8DC"/>
    <w:rsid w:val="D7FFA7E5"/>
    <w:rsid w:val="DAFD72A9"/>
    <w:rsid w:val="DAFF73D1"/>
    <w:rsid w:val="DB4FC058"/>
    <w:rsid w:val="DBED84D5"/>
    <w:rsid w:val="DBF71BE2"/>
    <w:rsid w:val="DC3B41A4"/>
    <w:rsid w:val="DC7FA7E4"/>
    <w:rsid w:val="DD7E0C06"/>
    <w:rsid w:val="DDDE38BC"/>
    <w:rsid w:val="DE07A90C"/>
    <w:rsid w:val="DF7DD6A4"/>
    <w:rsid w:val="DFAF1F72"/>
    <w:rsid w:val="DFDF62BA"/>
    <w:rsid w:val="DFDF88BB"/>
    <w:rsid w:val="DFF7D8C5"/>
    <w:rsid w:val="DFFBBF4E"/>
    <w:rsid w:val="DFFD8E9C"/>
    <w:rsid w:val="DFFDE23F"/>
    <w:rsid w:val="DFFFCB99"/>
    <w:rsid w:val="E3977A99"/>
    <w:rsid w:val="E3E7F259"/>
    <w:rsid w:val="E6EB08EF"/>
    <w:rsid w:val="E6EF0EB8"/>
    <w:rsid w:val="E77FFAF1"/>
    <w:rsid w:val="E7F66930"/>
    <w:rsid w:val="E7FE489F"/>
    <w:rsid w:val="EA7E902E"/>
    <w:rsid w:val="EADF7ACF"/>
    <w:rsid w:val="EAFE1FF7"/>
    <w:rsid w:val="EBEF7753"/>
    <w:rsid w:val="EBF6A977"/>
    <w:rsid w:val="ED6BC7BA"/>
    <w:rsid w:val="ED7D2C00"/>
    <w:rsid w:val="EDAFE582"/>
    <w:rsid w:val="EE618859"/>
    <w:rsid w:val="EE77C311"/>
    <w:rsid w:val="EEB77A84"/>
    <w:rsid w:val="EEECA49A"/>
    <w:rsid w:val="EEEFC366"/>
    <w:rsid w:val="EEFD96EA"/>
    <w:rsid w:val="EFD53F01"/>
    <w:rsid w:val="EFD627C8"/>
    <w:rsid w:val="EFFBD59B"/>
    <w:rsid w:val="F15ED21F"/>
    <w:rsid w:val="F16F9744"/>
    <w:rsid w:val="F1FD8CB1"/>
    <w:rsid w:val="F23F0694"/>
    <w:rsid w:val="F336A750"/>
    <w:rsid w:val="F3F48CD8"/>
    <w:rsid w:val="F45F8F3B"/>
    <w:rsid w:val="F495B351"/>
    <w:rsid w:val="F5B3AED6"/>
    <w:rsid w:val="F5DDC200"/>
    <w:rsid w:val="F5F70763"/>
    <w:rsid w:val="F6BB49DE"/>
    <w:rsid w:val="F7DFE31A"/>
    <w:rsid w:val="F7EAD0FA"/>
    <w:rsid w:val="F7FEF69D"/>
    <w:rsid w:val="F8FB3EC7"/>
    <w:rsid w:val="F97F0306"/>
    <w:rsid w:val="F9F6CB5B"/>
    <w:rsid w:val="FAED1D0B"/>
    <w:rsid w:val="FB7B6EB4"/>
    <w:rsid w:val="FBBB791B"/>
    <w:rsid w:val="FBDF8147"/>
    <w:rsid w:val="FBEB83E0"/>
    <w:rsid w:val="FBEF88DE"/>
    <w:rsid w:val="FBF1B448"/>
    <w:rsid w:val="FBFD6C53"/>
    <w:rsid w:val="FD9B66B1"/>
    <w:rsid w:val="FD9FD7E8"/>
    <w:rsid w:val="FDAFF39F"/>
    <w:rsid w:val="FDD776AB"/>
    <w:rsid w:val="FDDF90AE"/>
    <w:rsid w:val="FDF46694"/>
    <w:rsid w:val="FE0F008F"/>
    <w:rsid w:val="FE1FBF7A"/>
    <w:rsid w:val="FE35B388"/>
    <w:rsid w:val="FE79A650"/>
    <w:rsid w:val="FED57138"/>
    <w:rsid w:val="FEDB377C"/>
    <w:rsid w:val="FEE5230B"/>
    <w:rsid w:val="FF371040"/>
    <w:rsid w:val="FF47012E"/>
    <w:rsid w:val="FF776A0F"/>
    <w:rsid w:val="FF7F1EE7"/>
    <w:rsid w:val="FFAF190C"/>
    <w:rsid w:val="FFC7987B"/>
    <w:rsid w:val="FFCC92FE"/>
    <w:rsid w:val="FFCFF6E8"/>
    <w:rsid w:val="FFD550ED"/>
    <w:rsid w:val="FFDF8A22"/>
    <w:rsid w:val="FFE36AAD"/>
    <w:rsid w:val="FFE7ABEF"/>
    <w:rsid w:val="FFF13AA8"/>
    <w:rsid w:val="FFF4AF7C"/>
    <w:rsid w:val="FFF79993"/>
    <w:rsid w:val="FFF79BD0"/>
    <w:rsid w:val="FFF842C5"/>
    <w:rsid w:val="FFFB3CC4"/>
    <w:rsid w:val="FFFF1469"/>
    <w:rsid w:val="FFFF235C"/>
    <w:rsid w:val="FFFF36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24">
    <w:name w:val="Default Paragraph Font"/>
    <w:unhideWhenUsed/>
    <w:qFormat/>
    <w:uiPriority w:val="1"/>
  </w:style>
  <w:style w:type="table" w:default="1" w:styleId="2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星耀正文"/>
    <w:basedOn w:val="1"/>
    <w:link w:val="32"/>
    <w:qFormat/>
    <w:uiPriority w:val="3"/>
    <w:pPr>
      <w:spacing w:line="560" w:lineRule="exact"/>
      <w:ind w:firstLine="200" w:firstLineChars="200"/>
    </w:pPr>
    <w:rPr>
      <w:rFonts w:ascii="Times New Roman" w:hAnsi="Times New Roman" w:eastAsia="仿宋_GB2312"/>
      <w:kern w:val="0"/>
      <w:sz w:val="32"/>
      <w:szCs w:val="28"/>
      <w:lang w:val="zh-CN"/>
    </w:rPr>
  </w:style>
  <w:style w:type="paragraph" w:styleId="5">
    <w:name w:val="table of authorities"/>
    <w:basedOn w:val="1"/>
    <w:next w:val="1"/>
    <w:qFormat/>
    <w:uiPriority w:val="0"/>
    <w:pPr>
      <w:ind w:left="420" w:leftChars="200"/>
    </w:pPr>
  </w:style>
  <w:style w:type="paragraph" w:styleId="6">
    <w:name w:val="Normal Indent"/>
    <w:basedOn w:val="1"/>
    <w:next w:val="7"/>
    <w:qFormat/>
    <w:uiPriority w:val="99"/>
    <w:pPr>
      <w:ind w:firstLine="420"/>
    </w:pPr>
    <w:rPr>
      <w:sz w:val="24"/>
    </w:rPr>
  </w:style>
  <w:style w:type="paragraph" w:styleId="7">
    <w:name w:val="Body Text"/>
    <w:basedOn w:val="1"/>
    <w:next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8">
    <w:name w:val="caption"/>
    <w:basedOn w:val="1"/>
    <w:next w:val="1"/>
    <w:unhideWhenUsed/>
    <w:qFormat/>
    <w:uiPriority w:val="0"/>
    <w:rPr>
      <w:rFonts w:ascii="Calibri Light" w:hAnsi="Calibri Light" w:eastAsia="黑体" w:cs="Times New Roman"/>
      <w:sz w:val="20"/>
      <w:szCs w:val="20"/>
    </w:rPr>
  </w:style>
  <w:style w:type="paragraph" w:styleId="9">
    <w:name w:val="toa heading"/>
    <w:basedOn w:val="5"/>
    <w:next w:val="1"/>
    <w:qFormat/>
    <w:uiPriority w:val="0"/>
    <w:rPr>
      <w:rFonts w:ascii="Arial" w:hAnsi="Arial"/>
      <w:sz w:val="24"/>
    </w:rPr>
  </w:style>
  <w:style w:type="paragraph" w:styleId="10">
    <w:name w:val="annotation text"/>
    <w:basedOn w:val="1"/>
    <w:link w:val="33"/>
    <w:qFormat/>
    <w:uiPriority w:val="0"/>
    <w:pPr>
      <w:widowControl/>
      <w:spacing w:line="360" w:lineRule="auto"/>
      <w:ind w:firstLine="200" w:firstLineChars="200"/>
      <w:jc w:val="left"/>
    </w:pPr>
    <w:rPr>
      <w:rFonts w:eastAsia="仿宋_GB2312"/>
      <w:sz w:val="28"/>
    </w:rPr>
  </w:style>
  <w:style w:type="paragraph" w:styleId="11">
    <w:name w:val="Body Text Indent"/>
    <w:basedOn w:val="1"/>
    <w:qFormat/>
    <w:uiPriority w:val="99"/>
    <w:pPr>
      <w:widowControl w:val="0"/>
      <w:ind w:left="980"/>
      <w:jc w:val="both"/>
    </w:pPr>
  </w:style>
  <w:style w:type="paragraph" w:styleId="12">
    <w:name w:val="toc 3"/>
    <w:basedOn w:val="1"/>
    <w:next w:val="1"/>
    <w:qFormat/>
    <w:uiPriority w:val="0"/>
    <w:pPr>
      <w:ind w:left="840" w:leftChars="400"/>
    </w:pPr>
  </w:style>
  <w:style w:type="paragraph" w:styleId="13">
    <w:name w:val="endnote text"/>
    <w:basedOn w:val="1"/>
    <w:qFormat/>
    <w:uiPriority w:val="0"/>
    <w:pPr>
      <w:snapToGrid w:val="0"/>
      <w:jc w:val="left"/>
    </w:p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6">
    <w:name w:val="toc 1"/>
    <w:basedOn w:val="1"/>
    <w:next w:val="1"/>
    <w:qFormat/>
    <w:uiPriority w:val="0"/>
    <w:pPr>
      <w:tabs>
        <w:tab w:val="right" w:leader="dot" w:pos="8296"/>
      </w:tabs>
      <w:spacing w:line="380" w:lineRule="exact"/>
    </w:pPr>
    <w:rPr>
      <w:rFonts w:ascii="仿宋_GB2312" w:hAnsi="黑体" w:eastAsia="仿宋_GB2312"/>
      <w:b/>
      <w:sz w:val="28"/>
      <w:szCs w:val="28"/>
    </w:rPr>
  </w:style>
  <w:style w:type="paragraph" w:styleId="17">
    <w:name w:val="footnote text"/>
    <w:basedOn w:val="1"/>
    <w:qFormat/>
    <w:uiPriority w:val="0"/>
    <w:pPr>
      <w:snapToGrid w:val="0"/>
      <w:jc w:val="left"/>
    </w:pPr>
    <w:rPr>
      <w:kern w:val="0"/>
      <w:sz w:val="18"/>
      <w:szCs w:val="18"/>
    </w:rPr>
  </w:style>
  <w:style w:type="paragraph" w:styleId="18">
    <w:name w:val="toc 2"/>
    <w:basedOn w:val="1"/>
    <w:next w:val="1"/>
    <w:qFormat/>
    <w:uiPriority w:val="0"/>
    <w:pPr>
      <w:ind w:left="420" w:leftChars="200"/>
    </w:pPr>
  </w:style>
  <w:style w:type="paragraph" w:styleId="1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0">
    <w:name w:val="annotation subject"/>
    <w:basedOn w:val="10"/>
    <w:next w:val="10"/>
    <w:link w:val="34"/>
    <w:qFormat/>
    <w:uiPriority w:val="0"/>
    <w:pPr>
      <w:widowControl w:val="0"/>
      <w:spacing w:line="240" w:lineRule="auto"/>
      <w:ind w:firstLine="0" w:firstLineChars="0"/>
    </w:pPr>
    <w:rPr>
      <w:rFonts w:eastAsia="宋体"/>
      <w:b/>
      <w:bCs/>
      <w:sz w:val="21"/>
    </w:rPr>
  </w:style>
  <w:style w:type="paragraph" w:styleId="21">
    <w:name w:val="Body Text First Indent 2"/>
    <w:basedOn w:val="11"/>
    <w:next w:val="1"/>
    <w:semiHidden/>
    <w:qFormat/>
    <w:uiPriority w:val="0"/>
    <w:pPr>
      <w:widowControl/>
      <w:spacing w:line="240" w:lineRule="atLeast"/>
      <w:ind w:left="283" w:leftChars="0" w:firstLine="210"/>
      <w:contextualSpacing/>
      <w:jc w:val="left"/>
    </w:pPr>
    <w:rPr>
      <w:rFonts w:cs="Times New Roman"/>
      <w:kern w:val="0"/>
      <w:sz w:val="20"/>
      <w:szCs w:val="20"/>
      <w:lang w:val="en-GB" w:eastAsia="en-GB"/>
    </w:rPr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basedOn w:val="24"/>
    <w:qFormat/>
    <w:uiPriority w:val="0"/>
    <w:rPr>
      <w:b/>
    </w:rPr>
  </w:style>
  <w:style w:type="character" w:styleId="26">
    <w:name w:val="endnote reference"/>
    <w:basedOn w:val="24"/>
    <w:qFormat/>
    <w:uiPriority w:val="0"/>
    <w:rPr>
      <w:vertAlign w:val="superscript"/>
    </w:rPr>
  </w:style>
  <w:style w:type="character" w:styleId="27">
    <w:name w:val="page number"/>
    <w:basedOn w:val="24"/>
    <w:qFormat/>
    <w:uiPriority w:val="0"/>
  </w:style>
  <w:style w:type="character" w:styleId="28">
    <w:name w:val="Emphasis"/>
    <w:basedOn w:val="24"/>
    <w:qFormat/>
    <w:uiPriority w:val="0"/>
    <w:rPr>
      <w:i/>
    </w:rPr>
  </w:style>
  <w:style w:type="character" w:styleId="29">
    <w:name w:val="Hyperlink"/>
    <w:basedOn w:val="24"/>
    <w:qFormat/>
    <w:uiPriority w:val="0"/>
    <w:rPr>
      <w:color w:val="0000FF"/>
      <w:u w:val="single"/>
    </w:rPr>
  </w:style>
  <w:style w:type="character" w:styleId="30">
    <w:name w:val="annotation reference"/>
    <w:basedOn w:val="24"/>
    <w:qFormat/>
    <w:uiPriority w:val="0"/>
    <w:rPr>
      <w:sz w:val="21"/>
      <w:szCs w:val="21"/>
    </w:rPr>
  </w:style>
  <w:style w:type="character" w:styleId="31">
    <w:name w:val="footnote reference"/>
    <w:basedOn w:val="24"/>
    <w:qFormat/>
    <w:uiPriority w:val="0"/>
    <w:rPr>
      <w:vertAlign w:val="superscript"/>
    </w:rPr>
  </w:style>
  <w:style w:type="character" w:customStyle="1" w:styleId="32">
    <w:name w:val="闻政正文 Char"/>
    <w:link w:val="3"/>
    <w:qFormat/>
    <w:uiPriority w:val="3"/>
    <w:rPr>
      <w:rFonts w:ascii="Times New Roman" w:hAnsi="Times New Roman" w:eastAsia="仿宋_GB2312"/>
      <w:kern w:val="0"/>
      <w:sz w:val="32"/>
      <w:szCs w:val="28"/>
      <w:lang w:val="zh-CN"/>
    </w:rPr>
  </w:style>
  <w:style w:type="character" w:customStyle="1" w:styleId="33">
    <w:name w:val="批注文字 字符"/>
    <w:basedOn w:val="24"/>
    <w:link w:val="10"/>
    <w:qFormat/>
    <w:uiPriority w:val="0"/>
    <w:rPr>
      <w:rFonts w:ascii="Calibri" w:hAnsi="Calibri" w:eastAsia="仿宋_GB2312" w:cs="Times New Roman"/>
      <w:kern w:val="2"/>
      <w:sz w:val="28"/>
      <w:szCs w:val="24"/>
    </w:rPr>
  </w:style>
  <w:style w:type="character" w:customStyle="1" w:styleId="34">
    <w:name w:val="批注主题 字符"/>
    <w:basedOn w:val="33"/>
    <w:link w:val="20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35">
    <w:name w:val="font11"/>
    <w:basedOn w:val="2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font01"/>
    <w:basedOn w:val="24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37">
    <w:name w:val="font51"/>
    <w:basedOn w:val="24"/>
    <w:qFormat/>
    <w:uiPriority w:val="0"/>
    <w:rPr>
      <w:rFonts w:ascii="仿宋_GB2312" w:hAnsi="仿宋_GB2312" w:eastAsia="仿宋_GB2312" w:cs="仿宋_GB2312"/>
      <w:b/>
      <w:color w:val="000000"/>
      <w:sz w:val="20"/>
      <w:szCs w:val="20"/>
      <w:u w:val="none"/>
    </w:rPr>
  </w:style>
  <w:style w:type="character" w:customStyle="1" w:styleId="38">
    <w:name w:val="font41"/>
    <w:basedOn w:val="24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paragraph" w:customStyle="1" w:styleId="39">
    <w:name w:val="Revision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0">
    <w:name w:val="星耀封面标题"/>
    <w:basedOn w:val="1"/>
    <w:next w:val="41"/>
    <w:qFormat/>
    <w:uiPriority w:val="0"/>
    <w:pPr>
      <w:jc w:val="center"/>
    </w:pPr>
    <w:rPr>
      <w:rFonts w:ascii="Times New Roman" w:hAnsi="Times New Roman" w:eastAsia="黑体"/>
      <w:snapToGrid w:val="0"/>
      <w:sz w:val="48"/>
      <w:szCs w:val="24"/>
    </w:rPr>
  </w:style>
  <w:style w:type="paragraph" w:customStyle="1" w:styleId="41">
    <w:name w:val="星耀封面项目信息"/>
    <w:basedOn w:val="1"/>
    <w:qFormat/>
    <w:uiPriority w:val="0"/>
    <w:pPr>
      <w:spacing w:before="120"/>
      <w:ind w:left="800" w:leftChars="800"/>
      <w:jc w:val="left"/>
    </w:pPr>
    <w:rPr>
      <w:rFonts w:ascii="Times New Roman" w:hAnsi="Times New Roman" w:eastAsia="仿宋_GB2312"/>
      <w:kern w:val="0"/>
      <w:sz w:val="32"/>
      <w:szCs w:val="2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2624</Words>
  <Characters>2753</Characters>
  <Lines>213</Lines>
  <Paragraphs>60</Paragraphs>
  <TotalTime>10</TotalTime>
  <ScaleCrop>false</ScaleCrop>
  <LinksUpToDate>false</LinksUpToDate>
  <CharactersWithSpaces>2756</CharactersWithSpaces>
  <Application>WPS Office_11.8.2.10682_F1E327BC-269C-435d-A152-05C5408002CA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2022-06-04T18:50:00Z</dcterms:created>
  <dc:creator>ftf</dc:creator>
  <cp:lastModifiedBy>刘丹维</cp:lastModifiedBy>
  <cp:lastPrinted>2022-12-16T07:03:00Z</cp:lastPrinted>
  <dcterms:modified xsi:type="dcterms:W3CDTF">2022-12-15T10:37:14Z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2052-11.8.2.10682</vt:lpwstr>
  </property>
  <property fmtid="{D5CDD505-2E9C-101B-9397-08002B2CF9AE}" pid="3" name="ICV">
    <vt:lpwstr>9FB8F1C9C5AD79B935AA9163BC79CC87</vt:lpwstr>
  </property>
</Properties>
</file>