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beforeLines="0" w:afterLines="0" w:line="240" w:lineRule="auto"/>
        <w:ind w:firstLine="1064" w:firstLineChars="200"/>
        <w:jc w:val="center"/>
        <w:rPr>
          <w:rFonts w:hint="default" w:ascii="黑体" w:hAnsi="黑体" w:eastAsia="黑体" w:cs="宋体-18030"/>
          <w:b/>
          <w:color w:val="000000"/>
          <w:sz w:val="52"/>
          <w:szCs w:val="52"/>
        </w:rPr>
      </w:pPr>
      <w:bookmarkStart w:id="0" w:name="_Toc110889684"/>
      <w:bookmarkStart w:id="1" w:name="_Toc120943024"/>
      <w:bookmarkStart w:id="2" w:name="_Toc110887218"/>
    </w:p>
    <w:p>
      <w:pPr>
        <w:pStyle w:val="2"/>
        <w:rPr>
          <w:rFonts w:hint="default"/>
        </w:rPr>
      </w:pPr>
    </w:p>
    <w:p>
      <w:pPr>
        <w:kinsoku w:val="0"/>
        <w:overflowPunct w:val="0"/>
        <w:autoSpaceDE w:val="0"/>
        <w:autoSpaceDN w:val="0"/>
        <w:adjustRightInd w:val="0"/>
        <w:snapToGrid w:val="0"/>
        <w:spacing w:beforeLines="0" w:afterLines="0" w:line="240" w:lineRule="auto"/>
        <w:ind w:firstLine="1064" w:firstLineChars="200"/>
        <w:jc w:val="center"/>
        <w:rPr>
          <w:rFonts w:hint="default" w:ascii="黑体" w:hAnsi="黑体" w:eastAsia="黑体" w:cs="宋体-18030"/>
          <w:b/>
          <w:color w:val="000000"/>
          <w:sz w:val="52"/>
          <w:szCs w:val="52"/>
        </w:rPr>
      </w:pPr>
    </w:p>
    <w:p>
      <w:pPr>
        <w:kinsoku w:val="0"/>
        <w:overflowPunct w:val="0"/>
        <w:autoSpaceDE w:val="0"/>
        <w:autoSpaceDN w:val="0"/>
        <w:adjustRightInd w:val="0"/>
        <w:snapToGrid w:val="0"/>
        <w:spacing w:beforeLines="0" w:afterLines="0" w:line="240" w:lineRule="auto"/>
        <w:ind w:firstLine="0" w:firstLineChars="0"/>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val="0"/>
          <w:bCs/>
          <w:color w:val="000000"/>
          <w:sz w:val="44"/>
          <w:szCs w:val="44"/>
        </w:rPr>
        <w:t>深圳市大鹏新区生产安全事故应急预案</w:t>
      </w:r>
    </w:p>
    <w:p>
      <w:pPr>
        <w:kinsoku w:val="0"/>
        <w:overflowPunct w:val="0"/>
        <w:autoSpaceDE w:val="0"/>
        <w:autoSpaceDN w:val="0"/>
        <w:adjustRightInd w:val="0"/>
        <w:snapToGrid w:val="0"/>
        <w:spacing w:beforeLines="0" w:afterLines="0" w:line="240" w:lineRule="auto"/>
        <w:ind w:firstLine="0" w:firstLineChars="0"/>
        <w:jc w:val="center"/>
        <w:rPr>
          <w:rFonts w:hint="eastAsia" w:ascii="楷体_GB2312" w:hAnsi="楷体_GB2312" w:eastAsia="楷体_GB2312" w:cs="楷体_GB2312"/>
          <w:bCs/>
          <w:color w:val="000000"/>
        </w:rPr>
      </w:pPr>
    </w:p>
    <w:p>
      <w:pPr>
        <w:kinsoku w:val="0"/>
        <w:overflowPunct w:val="0"/>
        <w:autoSpaceDE w:val="0"/>
        <w:autoSpaceDN w:val="0"/>
        <w:adjustRightInd w:val="0"/>
        <w:snapToGrid w:val="0"/>
        <w:spacing w:beforeLines="0" w:afterLines="0" w:line="560" w:lineRule="exact"/>
        <w:ind w:firstLine="1064" w:firstLineChars="200"/>
        <w:jc w:val="center"/>
        <w:rPr>
          <w:rFonts w:hint="eastAsia" w:ascii="黑体" w:hAnsi="黑体" w:eastAsia="黑体" w:cs="宋体-18030"/>
          <w:b/>
          <w:color w:val="000000"/>
          <w:sz w:val="52"/>
          <w:szCs w:val="52"/>
        </w:rPr>
      </w:pPr>
    </w:p>
    <w:p>
      <w:pPr>
        <w:kinsoku w:val="0"/>
        <w:overflowPunct w:val="0"/>
        <w:autoSpaceDE w:val="0"/>
        <w:autoSpaceDN w:val="0"/>
        <w:adjustRightInd w:val="0"/>
        <w:snapToGrid w:val="0"/>
        <w:spacing w:beforeLines="0" w:afterLines="0" w:line="560" w:lineRule="exact"/>
        <w:ind w:firstLine="904" w:firstLineChars="200"/>
        <w:jc w:val="center"/>
        <w:rPr>
          <w:rFonts w:hint="eastAsia" w:cs="宋体-18030"/>
          <w:b/>
          <w:color w:val="000000"/>
          <w:sz w:val="44"/>
        </w:rPr>
      </w:pPr>
    </w:p>
    <w:p>
      <w:pPr>
        <w:kinsoku w:val="0"/>
        <w:overflowPunct w:val="0"/>
        <w:autoSpaceDE w:val="0"/>
        <w:autoSpaceDN w:val="0"/>
        <w:adjustRightInd w:val="0"/>
        <w:snapToGrid w:val="0"/>
        <w:spacing w:beforeLines="0" w:afterLines="0" w:line="560" w:lineRule="exact"/>
        <w:ind w:firstLine="904" w:firstLineChars="200"/>
        <w:jc w:val="center"/>
        <w:rPr>
          <w:rFonts w:hint="eastAsia" w:cs="宋体-18030"/>
          <w:b/>
          <w:color w:val="000000"/>
          <w:sz w:val="44"/>
        </w:rPr>
      </w:pPr>
    </w:p>
    <w:p>
      <w:pPr>
        <w:kinsoku w:val="0"/>
        <w:overflowPunct w:val="0"/>
        <w:autoSpaceDE w:val="0"/>
        <w:autoSpaceDN w:val="0"/>
        <w:adjustRightInd w:val="0"/>
        <w:snapToGrid w:val="0"/>
        <w:spacing w:beforeLines="0" w:afterLines="0" w:line="560" w:lineRule="exact"/>
        <w:ind w:firstLine="904" w:firstLineChars="200"/>
        <w:jc w:val="center"/>
        <w:rPr>
          <w:rFonts w:hint="eastAsia" w:cs="宋体-18030"/>
          <w:b/>
          <w:color w:val="000000"/>
          <w:sz w:val="44"/>
        </w:rPr>
      </w:pPr>
    </w:p>
    <w:p>
      <w:pPr>
        <w:kinsoku w:val="0"/>
        <w:overflowPunct w:val="0"/>
        <w:autoSpaceDE w:val="0"/>
        <w:autoSpaceDN w:val="0"/>
        <w:adjustRightInd w:val="0"/>
        <w:snapToGrid w:val="0"/>
        <w:spacing w:beforeLines="0" w:afterLines="0" w:line="560" w:lineRule="exact"/>
        <w:ind w:firstLine="904" w:firstLineChars="200"/>
        <w:jc w:val="center"/>
        <w:rPr>
          <w:rFonts w:hint="eastAsia" w:cs="宋体-18030"/>
          <w:b/>
          <w:color w:val="000000"/>
          <w:sz w:val="44"/>
        </w:rPr>
      </w:pPr>
    </w:p>
    <w:p>
      <w:pPr>
        <w:widowControl w:val="0"/>
        <w:kinsoku w:val="0"/>
        <w:overflowPunct w:val="0"/>
        <w:autoSpaceDE w:val="0"/>
        <w:autoSpaceDN w:val="0"/>
        <w:adjustRightInd w:val="0"/>
        <w:snapToGrid w:val="0"/>
        <w:spacing w:beforeLines="0" w:afterLines="0" w:line="560" w:lineRule="exact"/>
        <w:ind w:firstLine="744" w:firstLineChars="200"/>
        <w:jc w:val="center"/>
        <w:rPr>
          <w:b/>
          <w:color w:val="000000"/>
          <w:sz w:val="36"/>
          <w:szCs w:val="36"/>
        </w:rPr>
      </w:pPr>
    </w:p>
    <w:p>
      <w:pPr>
        <w:widowControl w:val="0"/>
        <w:kinsoku w:val="0"/>
        <w:overflowPunct w:val="0"/>
        <w:autoSpaceDE w:val="0"/>
        <w:autoSpaceDN w:val="0"/>
        <w:adjustRightInd w:val="0"/>
        <w:snapToGrid w:val="0"/>
        <w:spacing w:beforeLines="0" w:afterLines="0" w:line="560" w:lineRule="exact"/>
        <w:ind w:firstLine="744" w:firstLineChars="200"/>
        <w:jc w:val="center"/>
        <w:rPr>
          <w:b/>
          <w:color w:val="000000"/>
          <w:sz w:val="36"/>
          <w:szCs w:val="36"/>
        </w:rPr>
      </w:pPr>
    </w:p>
    <w:p>
      <w:pPr>
        <w:pStyle w:val="2"/>
        <w:rPr>
          <w:b/>
          <w:color w:val="000000"/>
          <w:sz w:val="36"/>
          <w:szCs w:val="36"/>
        </w:rPr>
      </w:pPr>
    </w:p>
    <w:p>
      <w:pPr>
        <w:pStyle w:val="2"/>
        <w:rPr>
          <w:b/>
          <w:color w:val="000000"/>
          <w:sz w:val="36"/>
          <w:szCs w:val="36"/>
        </w:rPr>
      </w:pPr>
    </w:p>
    <w:p>
      <w:pPr>
        <w:pStyle w:val="2"/>
        <w:rPr>
          <w:b/>
          <w:color w:val="000000"/>
          <w:sz w:val="36"/>
          <w:szCs w:val="36"/>
        </w:rPr>
      </w:pPr>
    </w:p>
    <w:p>
      <w:pPr>
        <w:pStyle w:val="2"/>
        <w:rPr>
          <w:b/>
          <w:color w:val="000000"/>
          <w:sz w:val="36"/>
          <w:szCs w:val="36"/>
        </w:rPr>
      </w:pPr>
    </w:p>
    <w:p>
      <w:pPr>
        <w:pStyle w:val="2"/>
        <w:rPr>
          <w:b/>
          <w:color w:val="000000"/>
          <w:sz w:val="36"/>
          <w:szCs w:val="36"/>
        </w:rPr>
      </w:pPr>
    </w:p>
    <w:p>
      <w:pPr>
        <w:widowControl w:val="0"/>
        <w:kinsoku w:val="0"/>
        <w:overflowPunct w:val="0"/>
        <w:autoSpaceDE w:val="0"/>
        <w:autoSpaceDN w:val="0"/>
        <w:adjustRightInd w:val="0"/>
        <w:snapToGrid w:val="0"/>
        <w:spacing w:beforeLines="0" w:afterLines="0" w:line="560" w:lineRule="exact"/>
        <w:ind w:firstLine="744" w:firstLineChars="200"/>
        <w:jc w:val="center"/>
        <w:rPr>
          <w:b/>
          <w:color w:val="000000"/>
          <w:sz w:val="36"/>
          <w:szCs w:val="36"/>
        </w:rPr>
      </w:pPr>
    </w:p>
    <w:p>
      <w:pPr>
        <w:widowControl w:val="0"/>
        <w:kinsoku w:val="0"/>
        <w:overflowPunct w:val="0"/>
        <w:autoSpaceDE w:val="0"/>
        <w:autoSpaceDN w:val="0"/>
        <w:adjustRightInd w:val="0"/>
        <w:snapToGrid w:val="0"/>
        <w:spacing w:beforeLines="0" w:afterLines="0" w:line="560" w:lineRule="exact"/>
        <w:ind w:firstLine="744" w:firstLineChars="200"/>
        <w:jc w:val="center"/>
        <w:rPr>
          <w:b/>
          <w:color w:val="000000"/>
          <w:sz w:val="36"/>
          <w:szCs w:val="36"/>
        </w:rPr>
      </w:pPr>
    </w:p>
    <w:p>
      <w:pPr>
        <w:widowControl w:val="0"/>
        <w:kinsoku w:val="0"/>
        <w:overflowPunct w:val="0"/>
        <w:autoSpaceDE w:val="0"/>
        <w:autoSpaceDN w:val="0"/>
        <w:adjustRightInd w:val="0"/>
        <w:snapToGrid w:val="0"/>
        <w:spacing w:beforeLines="0" w:afterLines="0" w:line="560" w:lineRule="exact"/>
        <w:ind w:firstLine="0" w:firstLineChars="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编制单位：深圳市大鹏新区应急管理局</w:t>
      </w:r>
    </w:p>
    <w:p>
      <w:pPr>
        <w:widowControl w:val="0"/>
        <w:kinsoku w:val="0"/>
        <w:overflowPunct w:val="0"/>
        <w:autoSpaceDE w:val="0"/>
        <w:autoSpaceDN w:val="0"/>
        <w:adjustRightInd w:val="0"/>
        <w:snapToGrid w:val="0"/>
        <w:spacing w:beforeLines="0" w:afterLines="0" w:line="560" w:lineRule="exact"/>
        <w:ind w:firstLine="0" w:firstLineChars="0"/>
        <w:jc w:val="center"/>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二○二</w:t>
      </w:r>
      <w:r>
        <w:rPr>
          <w:rFonts w:hint="default" w:ascii="楷体_GB2312" w:hAnsi="楷体_GB2312" w:eastAsia="楷体_GB2312" w:cs="楷体_GB2312"/>
          <w:b w:val="0"/>
          <w:bCs/>
          <w:color w:val="000000"/>
          <w:sz w:val="32"/>
          <w:szCs w:val="32"/>
        </w:rPr>
        <w:t>二</w:t>
      </w:r>
      <w:r>
        <w:rPr>
          <w:rFonts w:hint="eastAsia" w:ascii="楷体_GB2312" w:hAnsi="楷体_GB2312" w:eastAsia="楷体_GB2312" w:cs="楷体_GB2312"/>
          <w:b w:val="0"/>
          <w:bCs/>
          <w:color w:val="000000"/>
          <w:sz w:val="32"/>
          <w:szCs w:val="32"/>
        </w:rPr>
        <w:t>年一月</w:t>
      </w:r>
    </w:p>
    <w:p>
      <w:pPr>
        <w:kinsoku w:val="0"/>
        <w:overflowPunct w:val="0"/>
        <w:autoSpaceDE w:val="0"/>
        <w:autoSpaceDN w:val="0"/>
        <w:adjustRightInd w:val="0"/>
        <w:snapToGrid w:val="0"/>
        <w:spacing w:before="0" w:beforeLines="0" w:after="0" w:afterLines="0" w:line="560" w:lineRule="exact"/>
        <w:ind w:firstLine="664" w:firstLineChars="200"/>
        <w:jc w:val="center"/>
        <w:rPr>
          <w:rFonts w:hint="eastAsia" w:ascii="黑体" w:hAnsi="黑体" w:eastAsia="黑体" w:cs="宋体-18030"/>
          <w:color w:val="000000"/>
          <w:szCs w:val="32"/>
        </w:rPr>
      </w:pPr>
    </w:p>
    <w:p>
      <w:pPr>
        <w:pStyle w:val="2"/>
        <w:ind w:left="0" w:leftChars="0" w:firstLine="0" w:firstLineChars="0"/>
        <w:rPr>
          <w:rFonts w:hint="eastAsia" w:ascii="黑体" w:hAnsi="黑体" w:eastAsia="黑体" w:cs="宋体-18030"/>
          <w:color w:val="000000"/>
          <w:szCs w:val="32"/>
        </w:rPr>
        <w:sectPr>
          <w:footerReference r:id="rId5" w:type="default"/>
          <w:pgSz w:w="11906" w:h="16838"/>
          <w:pgMar w:top="2098" w:right="1474" w:bottom="1984" w:left="1587" w:header="851" w:footer="1701" w:gutter="170"/>
          <w:pgBorders>
            <w:top w:val="none" w:sz="0" w:space="0"/>
            <w:left w:val="none" w:sz="0" w:space="0"/>
            <w:bottom w:val="none" w:sz="0" w:space="0"/>
            <w:right w:val="none" w:sz="0" w:space="0"/>
          </w:pgBorders>
          <w:pgNumType w:fmt="upperRoman" w:start="1"/>
          <w:cols w:space="720" w:num="1"/>
          <w:rtlGutter w:val="0"/>
          <w:docGrid w:type="linesAndChars" w:linePitch="312" w:charSpace="2617"/>
        </w:sectPr>
      </w:pPr>
    </w:p>
    <w:p>
      <w:pPr>
        <w:kinsoku w:val="0"/>
        <w:overflowPunct w:val="0"/>
        <w:autoSpaceDE w:val="0"/>
        <w:autoSpaceDN w:val="0"/>
        <w:adjustRightInd w:val="0"/>
        <w:snapToGrid w:val="0"/>
        <w:spacing w:before="0" w:beforeLines="0" w:after="0" w:afterLines="0" w:line="560" w:lineRule="exact"/>
        <w:ind w:firstLine="664" w:firstLineChars="200"/>
        <w:jc w:val="center"/>
        <w:outlineLvl w:val="0"/>
        <w:rPr>
          <w:rFonts w:hint="eastAsia" w:ascii="黑体" w:hAnsi="黑体" w:eastAsia="黑体" w:cs="宋体-18030"/>
          <w:color w:val="000000"/>
          <w:szCs w:val="32"/>
        </w:rPr>
      </w:pPr>
      <w:r>
        <w:rPr>
          <w:rFonts w:hint="eastAsia" w:ascii="黑体" w:hAnsi="黑体" w:eastAsia="黑体" w:cs="宋体-18030"/>
          <w:color w:val="000000"/>
          <w:szCs w:val="32"/>
        </w:rPr>
        <w:t>目  录</w:t>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04" w:firstLineChars="200"/>
        <w:rPr>
          <w:rFonts w:hint="eastAsia" w:ascii="仿宋_GB2312" w:hAnsi="等线" w:eastAsia="仿宋_GB2312"/>
          <w:b w:val="0"/>
          <w:bCs w:val="0"/>
          <w:caps w:val="0"/>
          <w:color w:val="000000"/>
          <w:sz w:val="28"/>
          <w:szCs w:val="28"/>
        </w:rPr>
      </w:pPr>
      <w:r>
        <w:rPr>
          <w:rFonts w:hint="eastAsia" w:ascii="仿宋_GB2312" w:hAnsi="仿宋_GB2312" w:eastAsia="仿宋_GB2312" w:cs="仿宋_GB2312"/>
          <w:bCs w:val="0"/>
          <w:caps w:val="0"/>
          <w:smallCaps/>
          <w:color w:val="000000"/>
          <w:sz w:val="24"/>
        </w:rPr>
        <w:fldChar w:fldCharType="begin"/>
      </w:r>
      <w:r>
        <w:rPr>
          <w:rFonts w:hint="eastAsia" w:ascii="仿宋_GB2312" w:hAnsi="仿宋_GB2312" w:eastAsia="仿宋_GB2312" w:cs="仿宋_GB2312"/>
          <w:bCs w:val="0"/>
          <w:caps w:val="0"/>
          <w:smallCaps/>
          <w:color w:val="000000"/>
          <w:sz w:val="24"/>
        </w:rPr>
        <w:instrText xml:space="preserve"> TOC \o "1-3" \h \z \u </w:instrText>
      </w:r>
      <w:r>
        <w:rPr>
          <w:rFonts w:hint="eastAsia" w:ascii="仿宋_GB2312" w:hAnsi="仿宋_GB2312" w:eastAsia="仿宋_GB2312" w:cs="仿宋_GB2312"/>
          <w:bCs w:val="0"/>
          <w:caps w:val="0"/>
          <w:smallCaps/>
          <w:color w:val="000000"/>
          <w:sz w:val="24"/>
        </w:rPr>
        <w:fldChar w:fldCharType="separate"/>
      </w: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"_Toc87345167"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1 总则</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_Toc87345167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"_Toc87345168"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1.1</w:t>
      </w:r>
      <w:r>
        <w:rPr>
          <w:rStyle w:val="42"/>
          <w:rFonts w:hint="eastAsia" w:ascii="仿宋_GB2312" w:eastAsia="仿宋_GB2312"/>
          <w:color w:val="000000"/>
          <w:sz w:val="28"/>
          <w:szCs w:val="28"/>
        </w:rPr>
        <w:t xml:space="preserve"> 编制目的</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_Toc87345168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"_Toc87345169"</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1.2 编制依据</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_Toc87345169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"_Toc87345170"</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1.3 工作原则</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_Toc87345170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"_Toc87345171"</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1.4 事故分级</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_Toc87345171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"_Toc87345172"</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1.4.1 事故分级</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_Toc87345172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- 5 -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"_Toc87345173"</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1.4.2 响应分级</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_Toc87345173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- 6 -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"_Toc87345174"</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1.5 适用范围</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_Toc87345174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"_Toc87345175"</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1.6 应急预案体系</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_Toc87345175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- 9 -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"_Toc87345176"</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1.7 生产安全事故风险分析</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_Toc87345176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- 10 -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84" w:firstLineChars="200"/>
        <w:rPr>
          <w:rFonts w:hint="eastAsia" w:ascii="仿宋_GB2312" w:hAnsi="等线" w:eastAsia="仿宋_GB2312"/>
          <w:b w:val="0"/>
          <w:bCs w:val="0"/>
          <w: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2 组织机构与职责</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_Toc87345177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"_Toc87345178"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2.1 应急指挥部及职责</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_Toc87345178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"_Toc87345179"</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2.1.1 应急指挥部</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_Toc87345179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- 11 -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"_Toc87345180"</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2.1.2 应急指挥部职责</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_Toc87345180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- 12 -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"_Toc87345181"</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2.2 应急指挥部办公室及职责</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_Toc87345181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- 12 -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"_Toc87345182"</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2.2.1 应急指挥部办公室</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_Toc87345182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- 12 -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"_Toc87345183"</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2.2.2 应急指挥部办公室职责</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_Toc87345183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- 12 -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"_Toc87345184"</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2.3 各成员单位职责</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_Toc87345184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"_Toc87345185"</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2.4 现场指挥部</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_Toc87345185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- 19 -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"_Toc87345186"</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2.4.1 现场指挥部与现场指挥官</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_Toc87345186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- 19 -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"_Toc87345187"</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2.4.2 现场指挥部职责</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_Toc87345187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- 21 -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"_Toc87345188"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2.5 应急救援队伍及职责</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_Toc87345188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- 22 -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"_Toc87345189"</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2.5.1 应急救援队伍组织</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_Toc87345189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"_Toc87345190"</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2.5.2 应急救援队职责</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_Toc87345190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"_Toc87345191"</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2.5.3 应急工作小组职责</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_Toc87345191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- 23 -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84" w:firstLineChars="200"/>
        <w:rPr>
          <w:rFonts w:hint="eastAsia" w:ascii="仿宋_GB2312" w:hAnsi="等线" w:eastAsia="仿宋_GB2312"/>
          <w:b w:val="0"/>
          <w:bCs w:val="0"/>
          <w: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"_Toc87345192"</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3 运行机制</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_Toc87345192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- 28 -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"_Toc87345193"</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3.1 预防、监测与预警</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_Toc87345193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- 28 -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"_Toc87345194"</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3.1.1 预防</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_Toc87345194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- 28 -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"_Toc87345195"</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3.1.2 监测</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_Toc87345195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- 29 -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"_Toc87345196"</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3.1.3 预警</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_Toc87345196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- 30 -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"_Toc87345197"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3.2 应急处置与救援</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_Toc87345197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- 33 -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"_Toc87345198"</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3.2.1 信息报告和共享</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_Toc87345198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- 33 -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"_Toc87345199"</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3.2.2 先期处置</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_Toc87345199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- 35 -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"_Toc87345200"</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3.2.3 应急响应</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_Toc87345200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- 35 -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"_Toc87345201"</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3.2.4 指挥协调</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_Toc87345201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- 37 -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"_Toc87345202"</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3.2.5 处置措施</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_Toc87345202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- 37 -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"_Toc87345203"</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3.2.6 响应升级</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_Toc87345203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- 39 -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"_Toc87345204"</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3.2.7 社会动员</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_Toc87345204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- 39 -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"_Toc87345205"</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3.2.8 信息发布</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_Toc87345205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- 39 -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"_Toc87345206"</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3.2.9 舆情应对</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_Toc87345206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- 40 -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"_Toc87345207"</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3.2.10应急结束</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_Toc87345207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- 40 -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"_Toc87345208"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3.3 后期处置</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_Toc87345208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- 40 -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"_Toc87345209"</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3.3.1 善后处置</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_Toc87345209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- 40 -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"_Toc87345210"</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3.3.2 社会救助</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_Toc87345210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- 41 -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"_Toc87345211"</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3.3.3 保险</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_Toc87345211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- 41 -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"_Toc87345212"</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3.3.4 调查评估</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_Toc87345212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- 41 -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14"/>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i w:val="0"/>
          <w:iCs w:val="0"/>
          <w:color w:val="000000"/>
          <w:sz w:val="28"/>
          <w:szCs w:val="28"/>
        </w:rPr>
      </w:pPr>
      <w:r>
        <w:rPr>
          <w:rStyle w:val="42"/>
          <w:rFonts w:hint="eastAsia" w:ascii="仿宋_GB2312" w:eastAsia="仿宋_GB2312"/>
          <w:i w:val="0"/>
          <w:iCs w:val="0"/>
          <w:color w:val="000000"/>
          <w:sz w:val="28"/>
          <w:szCs w:val="28"/>
        </w:rPr>
        <w:fldChar w:fldCharType="begin"/>
      </w:r>
      <w:r>
        <w:rPr>
          <w:rStyle w:val="42"/>
          <w:rFonts w:hint="eastAsia" w:ascii="仿宋_GB2312" w:eastAsia="仿宋_GB2312"/>
          <w:i w:val="0"/>
          <w:iCs w:val="0"/>
          <w:color w:val="000000"/>
          <w:sz w:val="28"/>
          <w:szCs w:val="28"/>
        </w:rPr>
        <w:instrText xml:space="preserve"> </w:instrText>
      </w:r>
      <w:r>
        <w:rPr>
          <w:rFonts w:hint="eastAsia" w:ascii="仿宋_GB2312" w:eastAsia="仿宋_GB2312"/>
          <w:i w:val="0"/>
          <w:iCs w:val="0"/>
          <w:color w:val="000000"/>
          <w:sz w:val="28"/>
          <w:szCs w:val="28"/>
        </w:rPr>
        <w:instrText xml:space="preserve">HYPERLINK \l "_Toc87345213"</w:instrText>
      </w:r>
      <w:r>
        <w:rPr>
          <w:rStyle w:val="42"/>
          <w:rFonts w:hint="eastAsia" w:ascii="仿宋_GB2312" w:eastAsia="仿宋_GB2312"/>
          <w:i w:val="0"/>
          <w:iCs w:val="0"/>
          <w:color w:val="000000"/>
          <w:sz w:val="28"/>
          <w:szCs w:val="28"/>
        </w:rPr>
        <w:instrText xml:space="preserve"> </w:instrText>
      </w:r>
      <w:r>
        <w:rPr>
          <w:rStyle w:val="42"/>
          <w:rFonts w:hint="eastAsia" w:ascii="仿宋_GB2312" w:eastAsia="仿宋_GB2312"/>
          <w:i w:val="0"/>
          <w:iCs w:val="0"/>
          <w:color w:val="000000"/>
          <w:sz w:val="28"/>
          <w:szCs w:val="28"/>
        </w:rPr>
        <w:fldChar w:fldCharType="separate"/>
      </w:r>
      <w:r>
        <w:rPr>
          <w:rStyle w:val="42"/>
          <w:rFonts w:hint="eastAsia" w:ascii="仿宋_GB2312" w:eastAsia="仿宋_GB2312"/>
          <w:i w:val="0"/>
          <w:iCs w:val="0"/>
          <w:color w:val="000000"/>
          <w:sz w:val="28"/>
          <w:szCs w:val="28"/>
        </w:rPr>
        <w:t>3.3.5 恢复重建</w:t>
      </w:r>
      <w:r>
        <w:rPr>
          <w:rFonts w:hint="eastAsia" w:ascii="仿宋_GB2312" w:eastAsia="仿宋_GB2312"/>
          <w:i w:val="0"/>
          <w:iCs w:val="0"/>
          <w:color w:val="000000"/>
          <w:sz w:val="28"/>
          <w:szCs w:val="28"/>
        </w:rPr>
        <w:tab/>
      </w:r>
      <w:r>
        <w:rPr>
          <w:rFonts w:hint="eastAsia" w:ascii="仿宋_GB2312" w:eastAsia="仿宋_GB2312"/>
          <w:i w:val="0"/>
          <w:iCs w:val="0"/>
          <w:color w:val="000000"/>
          <w:sz w:val="28"/>
          <w:szCs w:val="28"/>
        </w:rPr>
        <w:fldChar w:fldCharType="begin"/>
      </w:r>
      <w:r>
        <w:rPr>
          <w:rFonts w:hint="eastAsia" w:ascii="仿宋_GB2312" w:eastAsia="仿宋_GB2312"/>
          <w:i w:val="0"/>
          <w:iCs w:val="0"/>
          <w:color w:val="000000"/>
          <w:sz w:val="28"/>
          <w:szCs w:val="28"/>
        </w:rPr>
        <w:instrText xml:space="preserve"> PAGEREF _Toc87345213 \h </w:instrText>
      </w:r>
      <w:r>
        <w:rPr>
          <w:rFonts w:hint="eastAsia" w:ascii="仿宋_GB2312" w:eastAsia="仿宋_GB2312"/>
          <w:i w:val="0"/>
          <w:iCs w:val="0"/>
          <w:color w:val="000000"/>
          <w:sz w:val="28"/>
          <w:szCs w:val="28"/>
        </w:rPr>
        <w:fldChar w:fldCharType="separate"/>
      </w:r>
      <w:r>
        <w:rPr>
          <w:rFonts w:hint="eastAsia" w:ascii="仿宋_GB2312" w:eastAsia="仿宋_GB2312"/>
          <w:i w:val="0"/>
          <w:iCs w:val="0"/>
          <w:color w:val="000000"/>
          <w:sz w:val="28"/>
          <w:szCs w:val="28"/>
        </w:rPr>
        <w:t>- 42 -</w:t>
      </w:r>
      <w:r>
        <w:rPr>
          <w:rFonts w:hint="eastAsia" w:ascii="仿宋_GB2312" w:eastAsia="仿宋_GB2312"/>
          <w:i w:val="0"/>
          <w:iCs w:val="0"/>
          <w:color w:val="000000"/>
          <w:sz w:val="28"/>
          <w:szCs w:val="28"/>
        </w:rPr>
        <w:fldChar w:fldCharType="end"/>
      </w:r>
      <w:r>
        <w:rPr>
          <w:rStyle w:val="42"/>
          <w:rFonts w:hint="eastAsia" w:ascii="仿宋_GB2312" w:eastAsia="仿宋_GB2312"/>
          <w:i w:val="0"/>
          <w:iCs w:val="0"/>
          <w:color w:val="000000"/>
          <w:sz w:val="28"/>
          <w:szCs w:val="28"/>
        </w:rPr>
        <w:fldChar w:fldCharType="end"/>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84" w:firstLineChars="200"/>
        <w:rPr>
          <w:rFonts w:hint="eastAsia" w:ascii="仿宋_GB2312" w:hAnsi="等线" w:eastAsia="仿宋_GB2312"/>
          <w:b w:val="0"/>
          <w:bCs w:val="0"/>
          <w: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"_Toc87345214"</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4 应急保障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_Toc87345214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"_Toc87345215"</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 指挥系统保障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_Toc87345215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"_Toc87345216"</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4.2 人力资源保障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_Toc87345216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4.3 经费保障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_Toc87345217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- 44 -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4.4 物资保障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- 44 -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"_Toc87345219"</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4.5 医疗卫生保障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_Toc87345219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- 45 -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"_Toc87345220"</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4.6 交通运输保障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_Toc87345220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- 45 -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"_Toc87345221"</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4.7 治安保障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_Toc87345221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- 46 -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"_Toc87345222"</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4.8 人员防护保障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_Toc87345222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- 46 -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"_Toc87345223"</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4.9 通信和信息保障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_Toc87345223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- 47 -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"_Toc87345224"</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4.10 现场救援和工程抢险装备保障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_Toc87345224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- 47 -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"_Toc87345225"</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4.11 应急避难场所保障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_Toc87345225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- 47 -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"_Toc87345226"</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4.12 科技支撑保障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_Toc87345226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4.13 法制保障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_Toc87345227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4.14 气象服务保障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- 48 -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"_Toc87345229"</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4.15 其他应急保障</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_Toc87345229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- 49 -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84" w:firstLineChars="200"/>
        <w:rPr>
          <w:rFonts w:hint="eastAsia" w:ascii="仿宋_GB2312" w:hAnsi="等线" w:eastAsia="仿宋_GB2312"/>
          <w:b w:val="0"/>
          <w:bCs w:val="0"/>
          <w: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"_Toc87345230"</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5 监督管理</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_Toc87345230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- 50 -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"_Toc87345231"</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5.1 预案管理</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_Toc87345231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- 50 -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"_Toc87345232"</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5.2 应急演练</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_Toc87345232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- 50 -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"_Toc87345233"</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5.3 宣传培训</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_Toc87345233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"_Toc87345234"</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5.4 责任与奖惩</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_Toc87345234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- 51 -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"_Toc87345235"</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5.5 预案实施</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_Toc87345235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- 52 -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1"/>
        <w:tabs>
          <w:tab w:val="right" w:leader="dot" w:pos="8664"/>
        </w:tabs>
        <w:kinsoku w:val="0"/>
        <w:overflowPunct w:val="0"/>
        <w:autoSpaceDE w:val="0"/>
        <w:autoSpaceDN w:val="0"/>
        <w:adjustRightInd w:val="0"/>
        <w:snapToGrid w:val="0"/>
        <w:spacing w:before="0" w:beforeLines="0" w:after="0" w:afterLines="0" w:line="560" w:lineRule="exact"/>
        <w:ind w:firstLine="584" w:firstLineChars="200"/>
        <w:rPr>
          <w:rFonts w:hint="eastAsia" w:ascii="仿宋_GB2312" w:hAnsi="等线" w:eastAsia="仿宋_GB2312"/>
          <w:b w:val="0"/>
          <w:bCs w:val="0"/>
          <w: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"_Toc87345236"</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黑体" w:eastAsia="仿宋_GB2312"/>
          <w:color w:val="000000"/>
          <w:sz w:val="28"/>
          <w:szCs w:val="28"/>
        </w:rPr>
        <w:t>6 附件</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_Toc87345236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- 53 -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"_Toc87345237"</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附件</w:t>
      </w:r>
      <w:r>
        <w:rPr>
          <w:rStyle w:val="42"/>
          <w:rFonts w:hint="default" w:ascii="仿宋_GB2312" w:hAnsi="楷体" w:eastAsia="仿宋_GB2312"/>
          <w:color w:val="000000"/>
          <w:sz w:val="28"/>
          <w:szCs w:val="28"/>
        </w:rPr>
        <w:t>1</w:t>
      </w:r>
      <w:r>
        <w:rPr>
          <w:rStyle w:val="42"/>
          <w:rFonts w:hint="eastAsia" w:ascii="仿宋_GB2312" w:hAnsi="楷体" w:eastAsia="仿宋_GB2312"/>
          <w:color w:val="000000"/>
          <w:sz w:val="28"/>
          <w:szCs w:val="28"/>
        </w:rPr>
        <w:t>：大鹏新区生产安全事故应急指挥部设置图</w:t>
      </w:r>
      <w:r>
        <w:rPr>
          <w:rFonts w:hint="eastAsia" w:ascii="仿宋_GB2312" w:eastAsia="仿宋_GB2312"/>
          <w:color w:val="000000"/>
          <w:sz w:val="28"/>
          <w:szCs w:val="28"/>
        </w:rPr>
        <w:tab/>
      </w:r>
      <w:r>
        <w:rPr>
          <w:rStyle w:val="42"/>
          <w:rFonts w:hint="default" w:ascii="仿宋_GB2312" w:hAnsi="楷体" w:eastAsia="仿宋_GB2312"/>
          <w:color w:val="000000"/>
          <w:sz w:val="28"/>
          <w:szCs w:val="28"/>
        </w:rPr>
        <w:t xml:space="preserve"> </w:t>
      </w:r>
      <w:r>
        <w:rPr>
          <w:rFonts w:hint="eastAsia" w:ascii="仿宋_GB2312" w:hAnsi="Times New Roman" w:eastAsia="仿宋_GB2312" w:cs="Times New Roman"/>
          <w:smallCaps/>
          <w:color w:val="000000"/>
          <w:sz w:val="28"/>
          <w:szCs w:val="28"/>
        </w:rPr>
        <w:fldChar w:fldCharType="begin"/>
      </w:r>
      <w:r>
        <w:rPr>
          <w:rFonts w:hint="eastAsia" w:ascii="仿宋_GB2312" w:hAnsi="Times New Roman" w:eastAsia="仿宋_GB2312" w:cs="Times New Roman"/>
          <w:smallCaps/>
          <w:color w:val="000000"/>
          <w:sz w:val="28"/>
          <w:szCs w:val="28"/>
        </w:rPr>
        <w:instrText xml:space="preserve"> PAGEREF _Toc87345237 \h </w:instrText>
      </w:r>
      <w:r>
        <w:rPr>
          <w:rFonts w:hint="eastAsia" w:ascii="仿宋_GB2312" w:hAnsi="Times New Roman" w:eastAsia="仿宋_GB2312" w:cs="Times New Roman"/>
          <w:smallCaps/>
          <w:color w:val="000000"/>
          <w:sz w:val="28"/>
          <w:szCs w:val="28"/>
        </w:rPr>
        <w:fldChar w:fldCharType="separate"/>
      </w:r>
      <w:r>
        <w:rPr>
          <w:rFonts w:hint="eastAsia" w:ascii="仿宋_GB2312" w:hAnsi="Times New Roman" w:eastAsia="仿宋_GB2312" w:cs="Times New Roman"/>
          <w:smallCaps/>
          <w:color w:val="000000"/>
          <w:sz w:val="28"/>
          <w:szCs w:val="28"/>
        </w:rPr>
        <w:t>-</w:t>
      </w:r>
      <w:r>
        <w:rPr>
          <w:rFonts w:hint="default" w:ascii="仿宋_GB2312" w:hAnsi="Times New Roman" w:eastAsia="仿宋_GB2312" w:cs="Times New Roman"/>
          <w:smallCaps/>
          <w:color w:val="000000"/>
          <w:sz w:val="28"/>
          <w:szCs w:val="28"/>
        </w:rPr>
        <w:t xml:space="preserve"> 54 </w:t>
      </w:r>
      <w:r>
        <w:rPr>
          <w:rFonts w:hint="eastAsia" w:ascii="仿宋_GB2312" w:hAnsi="Times New Roman" w:eastAsia="仿宋_GB2312" w:cs="Times New Roman"/>
          <w:smallCaps/>
          <w:color w:val="000000"/>
          <w:sz w:val="28"/>
          <w:szCs w:val="28"/>
        </w:rPr>
        <w:t>-</w:t>
      </w:r>
      <w:r>
        <w:rPr>
          <w:rFonts w:hint="eastAsia" w:ascii="仿宋_GB2312" w:hAnsi="Times New Roman" w:eastAsia="仿宋_GB2312" w:cs="Times New Roman"/>
          <w:smallCaps/>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"_Toc87345238"</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附件2：大鹏新区生产安全事故现场指挥部设置图</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_Toc87345238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w:t>
      </w:r>
      <w:r>
        <w:rPr>
          <w:rFonts w:hint="default" w:ascii="仿宋_GB2312" w:eastAsia="仿宋_GB2312"/>
          <w:color w:val="000000"/>
          <w:sz w:val="28"/>
          <w:szCs w:val="28"/>
        </w:rPr>
        <w:t xml:space="preserve"> 55 </w:t>
      </w:r>
      <w:r>
        <w:rPr>
          <w:rFonts w:hint="eastAsia" w:ascii="仿宋_GB2312" w:eastAsia="仿宋_GB2312"/>
          <w:color w:val="000000"/>
          <w:sz w:val="28"/>
          <w:szCs w:val="28"/>
        </w:rPr>
        <w:t>-</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584" w:firstLineChars="200"/>
        <w:rPr>
          <w:rFonts w:hint="eastAsia" w:ascii="仿宋_GB2312" w:hAnsi="等线" w:eastAsia="仿宋_GB2312"/>
          <w:smallCaps w:val="0"/>
          <w:color w:val="000000"/>
          <w:sz w:val="28"/>
          <w:szCs w:val="28"/>
        </w:rPr>
      </w:pPr>
      <w:r>
        <w:rPr>
          <w:rStyle w:val="42"/>
          <w:rFonts w:hint="eastAsia" w:ascii="仿宋_GB2312" w:eastAsia="仿宋_GB2312"/>
          <w:color w:val="000000"/>
          <w:sz w:val="28"/>
          <w:szCs w:val="28"/>
        </w:rPr>
        <w:fldChar w:fldCharType="begin"/>
      </w:r>
      <w:r>
        <w:rPr>
          <w:rStyle w:val="42"/>
          <w:rFonts w:hint="eastAsia" w:ascii="仿宋_GB2312" w:eastAsia="仿宋_GB2312"/>
          <w:color w:val="000000"/>
          <w:sz w:val="28"/>
          <w:szCs w:val="28"/>
        </w:rPr>
        <w:instrText xml:space="preserve"> </w:instrText>
      </w:r>
      <w:r>
        <w:rPr>
          <w:rFonts w:hint="eastAsia" w:ascii="仿宋_GB2312" w:eastAsia="仿宋_GB2312"/>
          <w:color w:val="000000"/>
          <w:sz w:val="28"/>
          <w:szCs w:val="28"/>
        </w:rPr>
        <w:instrText xml:space="preserve">HYPERLINK \l "_Toc87345239"</w:instrText>
      </w:r>
      <w:r>
        <w:rPr>
          <w:rStyle w:val="42"/>
          <w:rFonts w:hint="eastAsia" w:ascii="仿宋_GB2312" w:eastAsia="仿宋_GB2312"/>
          <w:color w:val="000000"/>
          <w:sz w:val="28"/>
          <w:szCs w:val="28"/>
        </w:rPr>
        <w:instrText xml:space="preserve"> </w:instrText>
      </w:r>
      <w:r>
        <w:rPr>
          <w:rStyle w:val="42"/>
          <w:rFonts w:hint="eastAsia" w:ascii="仿宋_GB2312" w:eastAsia="仿宋_GB2312"/>
          <w:color w:val="000000"/>
          <w:sz w:val="28"/>
          <w:szCs w:val="28"/>
        </w:rPr>
        <w:fldChar w:fldCharType="separate"/>
      </w:r>
      <w:r>
        <w:rPr>
          <w:rStyle w:val="42"/>
          <w:rFonts w:hint="eastAsia" w:ascii="仿宋_GB2312" w:hAnsi="楷体" w:eastAsia="仿宋_GB2312"/>
          <w:color w:val="000000"/>
          <w:sz w:val="28"/>
          <w:szCs w:val="28"/>
        </w:rPr>
        <w:t>附件3：大鹏新区生产安全事故应急处置工作流程图</w:t>
      </w:r>
      <w:r>
        <w:rPr>
          <w:rFonts w:hint="eastAsia" w:ascii="仿宋_GB2312" w:eastAsia="仿宋_GB2312"/>
          <w:color w:val="000000"/>
          <w:sz w:val="28"/>
          <w:szCs w:val="28"/>
        </w:rPr>
        <w:tab/>
      </w:r>
      <w:r>
        <w:rPr>
          <w:rFonts w:hint="eastAsia" w:ascii="仿宋_GB2312" w:eastAsia="仿宋_GB2312"/>
          <w:color w:val="000000"/>
          <w:sz w:val="28"/>
          <w:szCs w:val="28"/>
        </w:rPr>
        <w:fldChar w:fldCharType="begin"/>
      </w:r>
      <w:r>
        <w:rPr>
          <w:rFonts w:hint="eastAsia" w:ascii="仿宋_GB2312" w:eastAsia="仿宋_GB2312"/>
          <w:color w:val="000000"/>
          <w:sz w:val="28"/>
          <w:szCs w:val="28"/>
        </w:rPr>
        <w:instrText xml:space="preserve"> PAGEREF _Toc87345239 \h </w:instrText>
      </w:r>
      <w:r>
        <w:rPr>
          <w:rFonts w:hint="eastAsia" w:ascii="仿宋_GB2312" w:eastAsia="仿宋_GB2312"/>
          <w:color w:val="000000"/>
          <w:sz w:val="28"/>
          <w:szCs w:val="28"/>
        </w:rPr>
        <w:fldChar w:fldCharType="separate"/>
      </w:r>
      <w:r>
        <w:rPr>
          <w:rFonts w:hint="eastAsia" w:ascii="仿宋_GB2312" w:eastAsia="仿宋_GB2312"/>
          <w:color w:val="000000"/>
          <w:sz w:val="28"/>
          <w:szCs w:val="28"/>
        </w:rPr>
        <w:t xml:space="preserve">- </w:t>
      </w:r>
      <w:r>
        <w:rPr>
          <w:rFonts w:hint="default" w:ascii="仿宋_GB2312" w:eastAsia="仿宋_GB2312"/>
          <w:color w:val="000000"/>
          <w:sz w:val="28"/>
          <w:szCs w:val="28"/>
        </w:rPr>
        <w:t>56</w:t>
      </w:r>
      <w:r>
        <w:rPr>
          <w:rFonts w:hint="eastAsia" w:ascii="仿宋_GB2312" w:eastAsia="仿宋_GB2312"/>
          <w:color w:val="000000"/>
          <w:sz w:val="28"/>
          <w:szCs w:val="28"/>
        </w:rPr>
        <w:t xml:space="preserve"> -</w:t>
      </w:r>
      <w:r>
        <w:rPr>
          <w:rFonts w:hint="eastAsia" w:ascii="仿宋_GB2312" w:eastAsia="仿宋_GB2312"/>
          <w:color w:val="000000"/>
          <w:sz w:val="28"/>
          <w:szCs w:val="28"/>
        </w:rPr>
        <w:fldChar w:fldCharType="end"/>
      </w:r>
      <w:r>
        <w:rPr>
          <w:rStyle w:val="42"/>
          <w:rFonts w:hint="eastAsia" w:ascii="仿宋_GB2312" w:eastAsia="仿宋_GB2312"/>
          <w:color w:val="000000"/>
          <w:sz w:val="28"/>
          <w:szCs w:val="28"/>
        </w:rPr>
        <w:fldChar w:fldCharType="end"/>
      </w:r>
    </w:p>
    <w:p>
      <w:pPr>
        <w:pStyle w:val="25"/>
        <w:tabs>
          <w:tab w:val="right" w:leader="dot" w:pos="8664"/>
        </w:tabs>
        <w:kinsoku w:val="0"/>
        <w:overflowPunct w:val="0"/>
        <w:autoSpaceDE w:val="0"/>
        <w:autoSpaceDN w:val="0"/>
        <w:adjustRightInd w:val="0"/>
        <w:snapToGrid w:val="0"/>
        <w:spacing w:beforeLines="0" w:afterLines="0" w:line="560" w:lineRule="exact"/>
        <w:ind w:left="0" w:firstLine="444" w:firstLineChars="200"/>
        <w:rPr>
          <w:rFonts w:hAnsi="等线"/>
          <w:smallCaps w:val="0"/>
          <w:color w:val="000000"/>
          <w:sz w:val="21"/>
          <w:szCs w:val="22"/>
        </w:rPr>
      </w:pPr>
    </w:p>
    <w:p>
      <w:pPr>
        <w:pStyle w:val="25"/>
        <w:tabs>
          <w:tab w:val="right" w:leader="dot" w:pos="8674"/>
        </w:tabs>
        <w:kinsoku w:val="0"/>
        <w:overflowPunct w:val="0"/>
        <w:autoSpaceDE w:val="0"/>
        <w:autoSpaceDN w:val="0"/>
        <w:adjustRightInd w:val="0"/>
        <w:snapToGrid w:val="0"/>
        <w:spacing w:before="0" w:beforeLines="0" w:afterLines="0" w:line="560" w:lineRule="exact"/>
        <w:ind w:left="0" w:firstLine="504" w:firstLineChars="200"/>
        <w:rPr>
          <w:rFonts w:hint="eastAsia" w:ascii="仿宋_GB2312" w:eastAsia="仿宋_GB2312"/>
          <w:bCs/>
          <w:color w:val="000000"/>
          <w:sz w:val="28"/>
          <w:szCs w:val="28"/>
        </w:rPr>
      </w:pPr>
      <w:r>
        <w:rPr>
          <w:rFonts w:hint="eastAsia" w:ascii="仿宋_GB2312" w:hAnsi="仿宋_GB2312" w:eastAsia="仿宋_GB2312" w:cs="仿宋_GB2312"/>
          <w:bCs/>
          <w:caps/>
          <w:smallCaps w:val="0"/>
          <w:color w:val="000000"/>
          <w:sz w:val="24"/>
        </w:rPr>
        <w:fldChar w:fldCharType="end"/>
      </w:r>
    </w:p>
    <w:p>
      <w:pPr>
        <w:kinsoku w:val="0"/>
        <w:overflowPunct w:val="0"/>
        <w:autoSpaceDE w:val="0"/>
        <w:autoSpaceDN w:val="0"/>
        <w:adjustRightInd w:val="0"/>
        <w:snapToGrid w:val="0"/>
        <w:spacing w:beforeLines="0" w:afterLines="0" w:line="560" w:lineRule="exact"/>
        <w:ind w:firstLine="584" w:firstLineChars="200"/>
        <w:jc w:val="left"/>
        <w:rPr>
          <w:rFonts w:hint="eastAsia"/>
          <w:color w:val="000000"/>
          <w:sz w:val="28"/>
          <w:szCs w:val="28"/>
        </w:rPr>
        <w:sectPr>
          <w:footerReference r:id="rId6" w:type="default"/>
          <w:pgSz w:w="11906" w:h="16838"/>
          <w:pgMar w:top="2098" w:right="1474" w:bottom="1984" w:left="1587" w:header="851" w:footer="1701" w:gutter="170"/>
          <w:pgBorders>
            <w:top w:val="none" w:sz="0" w:space="0"/>
            <w:left w:val="none" w:sz="0" w:space="0"/>
            <w:bottom w:val="none" w:sz="0" w:space="0"/>
            <w:right w:val="none" w:sz="0" w:space="0"/>
          </w:pgBorders>
          <w:pgNumType w:fmt="upperRoman" w:start="1"/>
          <w:cols w:space="720" w:num="1"/>
          <w:rtlGutter w:val="0"/>
          <w:docGrid w:type="linesAndChars" w:linePitch="312" w:charSpace="2617"/>
        </w:sectPr>
      </w:pPr>
    </w:p>
    <w:p>
      <w:pPr>
        <w:pStyle w:val="29"/>
        <w:kinsoku/>
        <w:overflowPunct w:val="0"/>
        <w:topLinePunct/>
        <w:autoSpaceDE w:val="0"/>
        <w:autoSpaceDN w:val="0"/>
        <w:adjustRightInd w:val="0"/>
        <w:snapToGrid w:val="0"/>
        <w:spacing w:beforeLines="0" w:after="0" w:afterLines="0" w:line="560" w:lineRule="exact"/>
        <w:ind w:firstLine="0" w:firstLineChars="0"/>
        <w:jc w:val="center"/>
        <w:rPr>
          <w:rFonts w:hint="eastAsia" w:ascii="黑体" w:hAnsi="黑体" w:eastAsia="黑体"/>
          <w:color w:val="000000"/>
          <w:sz w:val="32"/>
        </w:rPr>
      </w:pPr>
      <w:bookmarkStart w:id="3" w:name="_Toc87345167"/>
      <w:bookmarkStart w:id="4" w:name="_Toc27745359"/>
      <w:bookmarkStart w:id="5" w:name="_Toc29786"/>
      <w:bookmarkStart w:id="6" w:name="_Toc630"/>
      <w:bookmarkStart w:id="7" w:name="_Toc421778776"/>
      <w:bookmarkStart w:id="8" w:name="_Toc42857103"/>
      <w:bookmarkStart w:id="9" w:name="_Toc32531"/>
      <w:r>
        <w:rPr>
          <w:rFonts w:hint="eastAsia" w:ascii="黑体" w:hAnsi="黑体" w:eastAsia="黑体"/>
          <w:color w:val="000000"/>
          <w:sz w:val="32"/>
        </w:rPr>
        <w:t>1 总则</w:t>
      </w:r>
      <w:bookmarkEnd w:id="0"/>
      <w:bookmarkEnd w:id="1"/>
      <w:bookmarkEnd w:id="2"/>
      <w:bookmarkEnd w:id="3"/>
      <w:bookmarkEnd w:id="4"/>
      <w:bookmarkEnd w:id="5"/>
      <w:bookmarkEnd w:id="6"/>
      <w:bookmarkEnd w:id="7"/>
      <w:bookmarkEnd w:id="8"/>
      <w:bookmarkEnd w:id="9"/>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0" w:name="_Toc120943025"/>
      <w:bookmarkStart w:id="11" w:name="_Toc87345168"/>
      <w:bookmarkStart w:id="12" w:name="_Toc110887219"/>
      <w:bookmarkStart w:id="13" w:name="_Toc13540"/>
      <w:bookmarkStart w:id="14" w:name="_Toc27447"/>
      <w:bookmarkStart w:id="15" w:name="_Toc110889685"/>
      <w:bookmarkStart w:id="16" w:name="_Toc421778777"/>
      <w:bookmarkStart w:id="17" w:name="_Toc42857104"/>
      <w:bookmarkStart w:id="18" w:name="_Toc27745360"/>
      <w:bookmarkStart w:id="19" w:name="_Toc3264"/>
      <w:r>
        <w:rPr>
          <w:rFonts w:hint="eastAsia" w:hAnsi="楷体"/>
          <w:color w:val="000000"/>
        </w:rPr>
        <w:t>1.1</w:t>
      </w:r>
      <w:r>
        <w:rPr>
          <w:rFonts w:hint="eastAsia"/>
          <w:color w:val="000000"/>
        </w:rPr>
        <w:t xml:space="preserve"> 编制目的</w:t>
      </w:r>
      <w:bookmarkEnd w:id="10"/>
      <w:bookmarkEnd w:id="11"/>
      <w:bookmarkEnd w:id="12"/>
      <w:bookmarkEnd w:id="13"/>
      <w:bookmarkEnd w:id="14"/>
      <w:bookmarkEnd w:id="15"/>
      <w:bookmarkEnd w:id="16"/>
      <w:bookmarkEnd w:id="17"/>
      <w:bookmarkEnd w:id="18"/>
      <w:bookmarkEnd w:id="19"/>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坚持以习近平新时代中国特色社会主义思想为指导，坚决防范化解重大安全风险，科学应对生产安全事故，进一步规范大鹏新区生产安全事故应急救援工作，提高对生产安全事故的防范和应对能力，最大限度地避免或减少事故造成人员伤亡和财产损失，维护国家安全和社会稳定，促进经济社会协调健康发展，结合大鹏新区实际情况，制定本预案。</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20" w:name="_Toc110889686"/>
      <w:bookmarkStart w:id="21" w:name="_Toc110887220"/>
      <w:bookmarkStart w:id="22" w:name="_Toc120943026"/>
      <w:bookmarkStart w:id="23" w:name="_Toc42857105"/>
      <w:bookmarkStart w:id="24" w:name="_Toc27745361"/>
      <w:bookmarkStart w:id="25" w:name="_Toc1456"/>
      <w:bookmarkStart w:id="26" w:name="_Toc22105"/>
      <w:bookmarkStart w:id="27" w:name="_Toc421778778"/>
      <w:bookmarkStart w:id="28" w:name="_Toc28703"/>
      <w:bookmarkStart w:id="29" w:name="_Toc87345169"/>
      <w:r>
        <w:rPr>
          <w:rFonts w:hint="eastAsia" w:hAnsi="楷体"/>
          <w:color w:val="000000"/>
        </w:rPr>
        <w:t xml:space="preserve">1.2 </w:t>
      </w:r>
      <w:bookmarkEnd w:id="20"/>
      <w:bookmarkEnd w:id="21"/>
      <w:bookmarkEnd w:id="22"/>
      <w:r>
        <w:rPr>
          <w:rFonts w:hint="eastAsia" w:hAnsi="楷体"/>
          <w:color w:val="000000"/>
        </w:rPr>
        <w:t>编制依据</w:t>
      </w:r>
      <w:bookmarkEnd w:id="23"/>
      <w:bookmarkEnd w:id="24"/>
      <w:bookmarkEnd w:id="25"/>
      <w:bookmarkEnd w:id="26"/>
      <w:bookmarkEnd w:id="27"/>
      <w:bookmarkEnd w:id="28"/>
      <w:bookmarkEnd w:id="29"/>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（1）《中华人民共和国安全生产法》（中华人民共和国主席令〔20</w:t>
      </w:r>
      <w:r>
        <w:rPr>
          <w:color w:val="000000"/>
        </w:rPr>
        <w:t>21</w:t>
      </w:r>
      <w:r>
        <w:rPr>
          <w:rFonts w:hint="eastAsia"/>
          <w:color w:val="000000"/>
        </w:rPr>
        <w:t>〕第八十八号）；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（2）《中华人民共和国突发事件应对法》（中华人民共和国主席令〔2007〕第六十九号）；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（3）《中华人民共和国消防法》（中华人民共和国主席令〔2</w:t>
      </w:r>
      <w:r>
        <w:rPr>
          <w:color w:val="000000"/>
        </w:rPr>
        <w:t>00</w:t>
      </w:r>
      <w:r>
        <w:rPr>
          <w:rFonts w:hint="eastAsia"/>
          <w:color w:val="000000"/>
        </w:rPr>
        <w:t>9〕第六号</w:t>
      </w:r>
      <w:r>
        <w:rPr>
          <w:rFonts w:hint="default"/>
          <w:color w:val="000000"/>
        </w:rPr>
        <w:t>，</w:t>
      </w:r>
      <w:r>
        <w:rPr>
          <w:rFonts w:hint="eastAsia"/>
          <w:color w:val="000000"/>
        </w:rPr>
        <w:t>中华人民共和国主席令〔2</w:t>
      </w:r>
      <w:r>
        <w:rPr>
          <w:color w:val="000000"/>
        </w:rPr>
        <w:t>0</w:t>
      </w:r>
      <w:r>
        <w:rPr>
          <w:rFonts w:hint="eastAsia"/>
          <w:color w:val="000000"/>
        </w:rPr>
        <w:t>19〕第二十九号修订）；</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4</w:t>
      </w:r>
      <w:r>
        <w:rPr>
          <w:rFonts w:hint="eastAsia"/>
          <w:color w:val="000000"/>
        </w:rPr>
        <w:t>）《生产安全事故报告和调查处理条例》（中华人民共和国国务院令〔2</w:t>
      </w:r>
      <w:r>
        <w:rPr>
          <w:color w:val="000000"/>
        </w:rPr>
        <w:t>007</w:t>
      </w:r>
      <w:r>
        <w:rPr>
          <w:rFonts w:hint="eastAsia"/>
          <w:color w:val="000000"/>
        </w:rPr>
        <w:t>〕第493号）；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5</w:t>
      </w:r>
      <w:r>
        <w:rPr>
          <w:rFonts w:hint="eastAsia"/>
          <w:color w:val="000000"/>
        </w:rPr>
        <w:t>）《生产安全事故应急条例》（中华人民共和国国务院令〔2</w:t>
      </w:r>
      <w:r>
        <w:rPr>
          <w:color w:val="000000"/>
        </w:rPr>
        <w:t>019</w:t>
      </w:r>
      <w:r>
        <w:rPr>
          <w:rFonts w:hint="eastAsia"/>
          <w:color w:val="000000"/>
        </w:rPr>
        <w:t>〕第7</w:t>
      </w:r>
      <w:r>
        <w:rPr>
          <w:color w:val="000000"/>
        </w:rPr>
        <w:t>08</w:t>
      </w:r>
      <w:r>
        <w:rPr>
          <w:rFonts w:hint="eastAsia"/>
          <w:color w:val="000000"/>
        </w:rPr>
        <w:t>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6</w:t>
      </w:r>
      <w:r>
        <w:rPr>
          <w:rFonts w:hint="eastAsia"/>
          <w:color w:val="000000"/>
        </w:rPr>
        <w:t>）《国务院办公厅关于印发突发事件应急预案管理办法的通知》（国办发〔2013〕101号）；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（7）生产经营单位生产安全事故应急预案编制导则(GB／T29639—2020)；</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（8）《生产经营单位生产安全事故应急预案评估指南》（AQ</w:t>
      </w:r>
      <w:r>
        <w:rPr>
          <w:rFonts w:hint="eastAsia" w:ascii="微软雅黑" w:hAnsi="微软雅黑" w:eastAsia="微软雅黑" w:cs="微软雅黑"/>
          <w:color w:val="000000"/>
        </w:rPr>
        <w:t>∕</w:t>
      </w:r>
      <w:r>
        <w:rPr>
          <w:rFonts w:hint="eastAsia"/>
          <w:color w:val="000000"/>
        </w:rPr>
        <w:t>T9011-2019）；</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（9）《生产安全事故应急演练基本规范》（</w:t>
      </w:r>
      <w:r>
        <w:rPr>
          <w:color w:val="000000"/>
        </w:rPr>
        <w:t>AQT9007-2019</w:t>
      </w:r>
      <w:r>
        <w:rPr>
          <w:rFonts w:hint="eastAsia"/>
          <w:color w:val="000000"/>
        </w:rPr>
        <w:t>）；</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10</w:t>
      </w:r>
      <w:r>
        <w:rPr>
          <w:rFonts w:hint="eastAsia"/>
          <w:color w:val="000000"/>
        </w:rPr>
        <w:t>）《生产安全事故应急预案管理办法》（国家安全生产监督管理总局令〔2</w:t>
      </w:r>
      <w:r>
        <w:rPr>
          <w:color w:val="000000"/>
        </w:rPr>
        <w:t>01</w:t>
      </w:r>
      <w:r>
        <w:rPr>
          <w:rFonts w:hint="eastAsia"/>
          <w:color w:val="000000"/>
        </w:rPr>
        <w:t>6〕第88号公布，根据应急管理部令〔2</w:t>
      </w:r>
      <w:r>
        <w:rPr>
          <w:color w:val="000000"/>
        </w:rPr>
        <w:t>019</w:t>
      </w:r>
      <w:r>
        <w:rPr>
          <w:rFonts w:hint="eastAsia"/>
          <w:color w:val="000000"/>
        </w:rPr>
        <w:t>〕第2号《应急管理部关于修改&lt;生产安全事故应急预案管理办法&gt;的决定》修正）；</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11</w:t>
      </w:r>
      <w:r>
        <w:rPr>
          <w:rFonts w:hint="eastAsia"/>
          <w:color w:val="000000"/>
        </w:rPr>
        <w:t>）《生产安全事故信息报告和处置办法》（国家安全生产监督管理总局令〔2</w:t>
      </w:r>
      <w:r>
        <w:rPr>
          <w:color w:val="000000"/>
        </w:rPr>
        <w:t>0</w:t>
      </w:r>
      <w:r>
        <w:rPr>
          <w:rFonts w:hint="eastAsia"/>
          <w:color w:val="000000"/>
        </w:rPr>
        <w:t>0</w:t>
      </w:r>
      <w:r>
        <w:rPr>
          <w:color w:val="000000"/>
        </w:rPr>
        <w:t>9</w:t>
      </w:r>
      <w:r>
        <w:rPr>
          <w:rFonts w:hint="eastAsia"/>
          <w:color w:val="000000"/>
        </w:rPr>
        <w:t>〕第21号）；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12</w:t>
      </w:r>
      <w:r>
        <w:rPr>
          <w:rFonts w:hint="eastAsia"/>
          <w:color w:val="000000"/>
        </w:rPr>
        <w:t>）《安全生产事故隐患排查治理暂行规定》（国家安全生产监督管理总局令〔2</w:t>
      </w:r>
      <w:r>
        <w:rPr>
          <w:color w:val="000000"/>
        </w:rPr>
        <w:t>0</w:t>
      </w:r>
      <w:r>
        <w:rPr>
          <w:rFonts w:hint="eastAsia"/>
          <w:color w:val="000000"/>
        </w:rPr>
        <w:t>07〕第</w:t>
      </w:r>
      <w:r>
        <w:rPr>
          <w:color w:val="000000"/>
        </w:rPr>
        <w:t>16</w:t>
      </w:r>
      <w:r>
        <w:rPr>
          <w:rFonts w:hint="eastAsia"/>
          <w:color w:val="000000"/>
        </w:rPr>
        <w:t>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3</w:t>
      </w:r>
      <w:r>
        <w:rPr>
          <w:rFonts w:hint="eastAsia"/>
          <w:color w:val="000000"/>
        </w:rPr>
        <w:t>）《广东省突发事件应对条例》（广东省第十一届人民代表大会常务委员会公告〔2</w:t>
      </w:r>
      <w:r>
        <w:rPr>
          <w:color w:val="000000"/>
        </w:rPr>
        <w:t>01</w:t>
      </w:r>
      <w:r>
        <w:rPr>
          <w:rFonts w:hint="eastAsia"/>
          <w:color w:val="000000"/>
        </w:rPr>
        <w:t>0〕第39号）；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4</w:t>
      </w:r>
      <w:r>
        <w:rPr>
          <w:rFonts w:hint="eastAsia"/>
          <w:color w:val="000000"/>
        </w:rPr>
        <w:t>）《广东省安全生产条例》（广东省第十二届人民代表大会常务委员会〔2017〕第94号公告）；</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5</w:t>
      </w:r>
      <w:r>
        <w:rPr>
          <w:rFonts w:hint="eastAsia"/>
          <w:color w:val="000000"/>
        </w:rPr>
        <w:t>）《广东省突发事件现场指挥官制度实施办法（试行）》（粤府办〔2014〕1号）；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6</w:t>
      </w:r>
      <w:r>
        <w:rPr>
          <w:rFonts w:hint="eastAsia"/>
          <w:color w:val="000000"/>
        </w:rPr>
        <w:t>）《广东省突发事件现场指挥官工作规范（试行）》（粤办函〔2015〕644号）；</w:t>
      </w:r>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30" w:name="_Hlk87108879"/>
      <w:r>
        <w:rPr>
          <w:rFonts w:hint="eastAsia"/>
          <w:color w:val="000000"/>
        </w:rPr>
        <w:t>（1</w:t>
      </w:r>
      <w:r>
        <w:rPr>
          <w:color w:val="000000"/>
        </w:rPr>
        <w:t>7</w:t>
      </w:r>
      <w:r>
        <w:rPr>
          <w:rFonts w:hint="eastAsia"/>
          <w:color w:val="000000"/>
        </w:rPr>
        <w:t>）《深圳市安全管理条例》（深圳市第六届人民代表大会常务委员会〔</w:t>
      </w:r>
      <w:r>
        <w:rPr>
          <w:color w:val="000000"/>
        </w:rPr>
        <w:t>2020</w:t>
      </w:r>
      <w:r>
        <w:rPr>
          <w:rFonts w:hint="eastAsia"/>
          <w:color w:val="000000"/>
        </w:rPr>
        <w:t>〕第</w:t>
      </w:r>
      <w:r>
        <w:rPr>
          <w:color w:val="000000"/>
        </w:rPr>
        <w:t>39</w:t>
      </w:r>
      <w:r>
        <w:rPr>
          <w:rFonts w:hint="eastAsia"/>
          <w:color w:val="000000"/>
        </w:rPr>
        <w:t>号公告）；</w:t>
      </w:r>
    </w:p>
    <w:bookmarkEnd w:id="30"/>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8</w:t>
      </w:r>
      <w:r>
        <w:rPr>
          <w:rFonts w:hint="eastAsia"/>
          <w:color w:val="000000"/>
        </w:rPr>
        <w:t>）《中共深圳市委深圳市人民政府关于印发&lt;深圳市机构改革方案&gt;的通知》（深发〔2019〕2号）；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9</w:t>
      </w:r>
      <w:r>
        <w:rPr>
          <w:rFonts w:hint="eastAsia"/>
          <w:color w:val="000000"/>
        </w:rPr>
        <w:t>）《深圳市人民政府办公厅关于印发突发事件预警信息发布若干规定的通知》（深府办函〔2016〕</w:t>
      </w:r>
      <w:r>
        <w:rPr>
          <w:color w:val="000000"/>
        </w:rPr>
        <w:t>206</w:t>
      </w:r>
      <w:r>
        <w:rPr>
          <w:rFonts w:hint="eastAsia"/>
          <w:color w:val="000000"/>
        </w:rPr>
        <w:t>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20</w:t>
      </w:r>
      <w:r>
        <w:rPr>
          <w:rFonts w:hint="eastAsia"/>
          <w:color w:val="000000"/>
        </w:rPr>
        <w:t>）《深圳市人民政府办公厅关于印发深圳市突发事件应急预案管理办法（修订版）的通知》（深府办函〔2016〕127号）；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21</w:t>
      </w:r>
      <w:r>
        <w:rPr>
          <w:rFonts w:hint="eastAsia"/>
          <w:color w:val="000000"/>
        </w:rPr>
        <w:t>）《深圳市人民政府办公厅关于印发深圳市生产安全事故应急预案的通知》（深府办函〔2017〕63号）；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22</w:t>
      </w:r>
      <w:r>
        <w:rPr>
          <w:rFonts w:hint="eastAsia"/>
          <w:color w:val="000000"/>
        </w:rPr>
        <w:t>）《关于印发&lt;深圳市突发事件总体应急预案框架指南&gt;等三个框架指南的通知》（深应急办字〔2013〕12号）；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w:t>
      </w:r>
      <w:r>
        <w:rPr>
          <w:color w:val="000000"/>
        </w:rPr>
        <w:t>3</w:t>
      </w:r>
      <w:r>
        <w:rPr>
          <w:rFonts w:hint="eastAsia"/>
          <w:color w:val="000000"/>
        </w:rPr>
        <w:t>）《深圳市人民政府应急指挥部关于进一步加强全市应急平台体系建设的指导意见》（深综合办〔2018〕63号）；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w:t>
      </w:r>
      <w:r>
        <w:rPr>
          <w:color w:val="000000"/>
        </w:rPr>
        <w:t>4</w:t>
      </w:r>
      <w:r>
        <w:rPr>
          <w:rFonts w:hint="eastAsia"/>
          <w:color w:val="000000"/>
        </w:rPr>
        <w:t>）《深圳市工矿商贸企业生产安全事故应急指挥部关于印发&lt;深圳市工矿商贸企业生产安全事故应急预案&gt;的通知</w:t>
      </w:r>
      <w:r>
        <w:rPr>
          <w:rFonts w:hint="default"/>
          <w:color w:val="000000"/>
        </w:rPr>
        <w:t>》</w:t>
      </w:r>
      <w:r>
        <w:rPr>
          <w:rFonts w:hint="eastAsia"/>
          <w:color w:val="000000"/>
        </w:rPr>
        <w:t>（深应急〔2019〕230号）；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w:t>
      </w:r>
      <w:r>
        <w:rPr>
          <w:color w:val="000000"/>
        </w:rPr>
        <w:t>5</w:t>
      </w:r>
      <w:r>
        <w:rPr>
          <w:rFonts w:hint="eastAsia"/>
          <w:color w:val="000000"/>
        </w:rPr>
        <w:t>）《关于印发&lt;深圳市大鹏新区突发事件总体应急预案&gt;的通知》（2017年）；</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w:t>
      </w:r>
      <w:r>
        <w:rPr>
          <w:color w:val="000000"/>
        </w:rPr>
        <w:t>6</w:t>
      </w:r>
      <w:r>
        <w:rPr>
          <w:rFonts w:hint="eastAsia"/>
          <w:color w:val="000000"/>
        </w:rPr>
        <w:t>）《关于印发&lt;深圳市大鹏新区生产安全事故报告和调查处理工作暂行规则&gt;的通知》（2016）。</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31" w:name="_Toc110887221"/>
      <w:bookmarkStart w:id="32" w:name="_Toc120943027"/>
      <w:bookmarkStart w:id="33" w:name="_Toc110889687"/>
      <w:bookmarkStart w:id="34" w:name="_Toc32071"/>
      <w:bookmarkStart w:id="35" w:name="_Toc16225"/>
      <w:bookmarkStart w:id="36" w:name="_Toc27745362"/>
      <w:bookmarkStart w:id="37" w:name="_Toc421778779"/>
      <w:bookmarkStart w:id="38" w:name="_Toc24270"/>
      <w:bookmarkStart w:id="39" w:name="_Toc87345170"/>
      <w:bookmarkStart w:id="40" w:name="_Toc42857106"/>
      <w:r>
        <w:rPr>
          <w:rFonts w:hint="eastAsia" w:hAnsi="楷体"/>
          <w:color w:val="000000"/>
        </w:rPr>
        <w:t xml:space="preserve">1.3 </w:t>
      </w:r>
      <w:bookmarkEnd w:id="31"/>
      <w:bookmarkEnd w:id="32"/>
      <w:bookmarkEnd w:id="33"/>
      <w:r>
        <w:rPr>
          <w:rFonts w:hint="eastAsia" w:hAnsi="楷体"/>
          <w:color w:val="000000"/>
        </w:rPr>
        <w:t>工作原则</w:t>
      </w:r>
      <w:bookmarkEnd w:id="34"/>
      <w:bookmarkEnd w:id="35"/>
      <w:bookmarkEnd w:id="36"/>
      <w:bookmarkEnd w:id="37"/>
      <w:bookmarkEnd w:id="38"/>
      <w:bookmarkEnd w:id="39"/>
      <w:bookmarkEnd w:id="40"/>
    </w:p>
    <w:p>
      <w:pPr>
        <w:kinsoku/>
        <w:overflowPunct w:val="0"/>
        <w:topLinePunct/>
        <w:autoSpaceDE w:val="0"/>
        <w:autoSpaceDN w:val="0"/>
        <w:adjustRightInd w:val="0"/>
        <w:snapToGrid w:val="0"/>
        <w:spacing w:beforeLines="0" w:afterLines="0" w:line="560" w:lineRule="exact"/>
        <w:ind w:firstLine="664"/>
        <w:outlineLvl w:val="2"/>
        <w:rPr>
          <w:rFonts w:hint="eastAsia"/>
          <w:color w:val="000000"/>
        </w:rPr>
      </w:pPr>
      <w:r>
        <w:rPr>
          <w:rFonts w:hint="eastAsia"/>
          <w:color w:val="000000"/>
        </w:rPr>
        <w:t>（</w:t>
      </w:r>
      <w:r>
        <w:rPr>
          <w:color w:val="000000"/>
        </w:rPr>
        <w:t>1</w:t>
      </w:r>
      <w:r>
        <w:rPr>
          <w:rFonts w:hint="eastAsia"/>
          <w:color w:val="000000"/>
        </w:rPr>
        <w:t>）统一领导，分级负责</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在大鹏新区党工委、管委会的领导下</w:t>
      </w:r>
      <w:bookmarkStart w:id="41" w:name="_Hlk79482462"/>
      <w:r>
        <w:rPr>
          <w:rFonts w:hint="eastAsia"/>
          <w:color w:val="000000"/>
        </w:rPr>
        <w:t>，</w:t>
      </w:r>
      <w:bookmarkEnd w:id="41"/>
      <w:r>
        <w:rPr>
          <w:rFonts w:hint="eastAsia"/>
          <w:color w:val="000000"/>
        </w:rPr>
        <w:t>各职能部门、各办事处分级负责组织生产安全事故的应对工作，及时启动应急响应，统一调度使用应急资源。注重组织动员社会力量广泛参与，形成工作合力。</w:t>
      </w:r>
    </w:p>
    <w:p>
      <w:pPr>
        <w:kinsoku/>
        <w:overflowPunct w:val="0"/>
        <w:topLinePunct/>
        <w:autoSpaceDE w:val="0"/>
        <w:autoSpaceDN w:val="0"/>
        <w:adjustRightInd w:val="0"/>
        <w:snapToGrid w:val="0"/>
        <w:spacing w:beforeLines="0" w:afterLines="0" w:line="560" w:lineRule="exact"/>
        <w:ind w:firstLine="664"/>
        <w:outlineLvl w:val="2"/>
        <w:rPr>
          <w:color w:val="000000"/>
        </w:rPr>
      </w:pPr>
      <w:r>
        <w:rPr>
          <w:rFonts w:hint="eastAsia"/>
          <w:color w:val="000000"/>
        </w:rPr>
        <w:t>（2）以人为本，减少危害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坚持人民至上、生命至上。树牢安全发展理念，把保护人民群众生命安全摆在首位，切实加强应急救援人员的安全防护，最大限度地减少事故造成的人员伤亡、财产损失和社会影响</w:t>
      </w:r>
      <w:bookmarkStart w:id="42" w:name="_Hlk76385844"/>
      <w:r>
        <w:rPr>
          <w:rFonts w:hint="eastAsia"/>
          <w:color w:val="000000"/>
        </w:rPr>
        <w:t>。</w:t>
      </w:r>
      <w:bookmarkEnd w:id="42"/>
    </w:p>
    <w:p>
      <w:pPr>
        <w:kinsoku/>
        <w:overflowPunct w:val="0"/>
        <w:topLinePunct/>
        <w:autoSpaceDE w:val="0"/>
        <w:autoSpaceDN w:val="0"/>
        <w:adjustRightInd w:val="0"/>
        <w:snapToGrid w:val="0"/>
        <w:spacing w:beforeLines="0" w:afterLines="0" w:line="560" w:lineRule="exact"/>
        <w:ind w:firstLine="664"/>
        <w:outlineLvl w:val="2"/>
        <w:rPr>
          <w:rFonts w:hint="eastAsia"/>
          <w:color w:val="000000"/>
        </w:rPr>
      </w:pPr>
      <w:r>
        <w:rPr>
          <w:rFonts w:hint="eastAsia"/>
          <w:color w:val="000000"/>
        </w:rPr>
        <w:t>（</w:t>
      </w:r>
      <w:r>
        <w:rPr>
          <w:color w:val="000000"/>
        </w:rPr>
        <w:t>3</w:t>
      </w:r>
      <w:r>
        <w:rPr>
          <w:rFonts w:hint="eastAsia"/>
          <w:color w:val="000000"/>
        </w:rPr>
        <w:t>）居安思危，预防为主</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坚持预防与应急相结合，常态与非常态相结合，推进安全管理标准化，将安全管理贯穿于生产活动的每个环节，防患于未然，预防生产安全事故的发生。</w:t>
      </w:r>
    </w:p>
    <w:p>
      <w:pPr>
        <w:kinsoku/>
        <w:overflowPunct w:val="0"/>
        <w:topLinePunct/>
        <w:autoSpaceDE w:val="0"/>
        <w:autoSpaceDN w:val="0"/>
        <w:adjustRightInd w:val="0"/>
        <w:snapToGrid w:val="0"/>
        <w:spacing w:beforeLines="0" w:afterLines="0" w:line="560" w:lineRule="exact"/>
        <w:ind w:firstLine="664"/>
        <w:outlineLvl w:val="2"/>
        <w:rPr>
          <w:color w:val="000000"/>
        </w:rPr>
      </w:pPr>
      <w:r>
        <w:rPr>
          <w:rFonts w:hint="eastAsia"/>
          <w:color w:val="000000"/>
        </w:rPr>
        <w:t>（</w:t>
      </w:r>
      <w:r>
        <w:rPr>
          <w:color w:val="000000"/>
        </w:rPr>
        <w:t>4</w:t>
      </w:r>
      <w:r>
        <w:rPr>
          <w:rFonts w:hint="eastAsia"/>
          <w:color w:val="000000"/>
        </w:rPr>
        <w:t>）依法规范，加强管理</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依据法律、法规和规章的相关要求，完善应急程序和处置措施，提高预防和应对生产安全事故的规范化、制度化和</w:t>
      </w:r>
      <w:bookmarkStart w:id="363" w:name="_GoBack"/>
      <w:bookmarkEnd w:id="363"/>
      <w:r>
        <w:rPr>
          <w:rFonts w:hint="eastAsia"/>
          <w:color w:val="000000"/>
        </w:rPr>
        <w:t>专业化水平。</w:t>
      </w:r>
    </w:p>
    <w:p>
      <w:pPr>
        <w:kinsoku/>
        <w:overflowPunct w:val="0"/>
        <w:topLinePunct/>
        <w:autoSpaceDE w:val="0"/>
        <w:autoSpaceDN w:val="0"/>
        <w:adjustRightInd w:val="0"/>
        <w:snapToGrid w:val="0"/>
        <w:spacing w:beforeLines="0" w:afterLines="0" w:line="560" w:lineRule="exact"/>
        <w:ind w:firstLine="664"/>
        <w:outlineLvl w:val="2"/>
        <w:rPr>
          <w:color w:val="000000"/>
        </w:rPr>
      </w:pPr>
      <w:r>
        <w:rPr>
          <w:rFonts w:hint="eastAsia"/>
          <w:color w:val="000000"/>
        </w:rPr>
        <w:t>（</w:t>
      </w:r>
      <w:r>
        <w:rPr>
          <w:color w:val="000000"/>
        </w:rPr>
        <w:t>5</w:t>
      </w:r>
      <w:r>
        <w:rPr>
          <w:rFonts w:hint="eastAsia"/>
          <w:color w:val="000000"/>
        </w:rPr>
        <w:t>）及时反应，协同应对</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发生生产安全事故后，新区、办事处按照事故级别及时启动相应的应急响应，确保应急救援工作及时有效。各应急工作组在现场指挥部的统一指挥下，规范有序，协同做好应急救援工作。加强与周边区级行政单位的沟通联络，提高区域应急合作能力。</w:t>
      </w:r>
    </w:p>
    <w:p>
      <w:pPr>
        <w:kinsoku/>
        <w:overflowPunct w:val="0"/>
        <w:topLinePunct/>
        <w:autoSpaceDE w:val="0"/>
        <w:autoSpaceDN w:val="0"/>
        <w:adjustRightInd w:val="0"/>
        <w:snapToGrid w:val="0"/>
        <w:spacing w:beforeLines="0" w:afterLines="0" w:line="560" w:lineRule="exact"/>
        <w:ind w:firstLine="664"/>
        <w:outlineLvl w:val="2"/>
        <w:rPr>
          <w:color w:val="000000"/>
        </w:rPr>
      </w:pPr>
      <w:r>
        <w:rPr>
          <w:rFonts w:hint="eastAsia"/>
          <w:color w:val="000000"/>
        </w:rPr>
        <w:t>（</w:t>
      </w:r>
      <w:r>
        <w:rPr>
          <w:color w:val="000000"/>
        </w:rPr>
        <w:t>6</w:t>
      </w:r>
      <w:r>
        <w:rPr>
          <w:rFonts w:hint="eastAsia"/>
          <w:color w:val="000000"/>
        </w:rPr>
        <w:t>）依靠科技，科学施救</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通过大鹏新区综合信息平台提供的有效信息，依据应急救援专家的研判和评估，利用先进装备和器材等科学手段，提高应急处置能力和应急救援效率。</w:t>
      </w:r>
    </w:p>
    <w:p>
      <w:pPr>
        <w:kinsoku/>
        <w:overflowPunct w:val="0"/>
        <w:topLinePunct/>
        <w:autoSpaceDE w:val="0"/>
        <w:autoSpaceDN w:val="0"/>
        <w:adjustRightInd w:val="0"/>
        <w:snapToGrid w:val="0"/>
        <w:spacing w:beforeLines="0" w:afterLines="0" w:line="560" w:lineRule="exact"/>
        <w:ind w:firstLine="664"/>
        <w:outlineLvl w:val="2"/>
        <w:rPr>
          <w:rFonts w:hint="eastAsia"/>
          <w:color w:val="000000"/>
        </w:rPr>
      </w:pPr>
      <w:r>
        <w:rPr>
          <w:rFonts w:hint="eastAsia"/>
          <w:color w:val="000000"/>
        </w:rPr>
        <w:t>（</w:t>
      </w:r>
      <w:r>
        <w:rPr>
          <w:color w:val="000000"/>
        </w:rPr>
        <w:t>7</w:t>
      </w:r>
      <w:r>
        <w:rPr>
          <w:rFonts w:hint="eastAsia"/>
          <w:color w:val="000000"/>
        </w:rPr>
        <w:t>）公开透明，及时发布</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遵循“及时准确、公开透明、有序开放、有效管理、正确引导”的方针，按照“以公开为原则，不公开为例外”的要求，及时、真实、准确、有效、主动地发布生产安全事故权威信息。</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43" w:name="_Toc30784"/>
      <w:bookmarkStart w:id="44" w:name="_Toc27745363"/>
      <w:bookmarkStart w:id="45" w:name="_Toc42857107"/>
      <w:bookmarkStart w:id="46" w:name="_Toc22128"/>
      <w:bookmarkStart w:id="47" w:name="_Toc10704"/>
      <w:bookmarkStart w:id="48" w:name="_Toc87345171"/>
      <w:bookmarkStart w:id="49" w:name="_Toc426382105"/>
      <w:bookmarkStart w:id="50" w:name="_Toc421778781"/>
      <w:bookmarkStart w:id="51" w:name="_Toc28252"/>
      <w:bookmarkStart w:id="52" w:name="_Toc331453517"/>
      <w:r>
        <w:rPr>
          <w:rFonts w:hint="eastAsia" w:hAnsi="楷体"/>
          <w:color w:val="000000"/>
        </w:rPr>
        <w:t>1.4 事故分级</w:t>
      </w:r>
      <w:bookmarkEnd w:id="43"/>
      <w:bookmarkEnd w:id="44"/>
      <w:bookmarkEnd w:id="45"/>
      <w:bookmarkEnd w:id="46"/>
      <w:bookmarkEnd w:id="47"/>
      <w:bookmarkEnd w:id="48"/>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53" w:name="_Toc12095"/>
      <w:bookmarkStart w:id="54" w:name="_Toc32400"/>
      <w:bookmarkStart w:id="55" w:name="_Toc4193"/>
      <w:bookmarkStart w:id="56" w:name="_Toc87345172"/>
      <w:r>
        <w:rPr>
          <w:rFonts w:hint="eastAsia"/>
          <w:color w:val="000000"/>
        </w:rPr>
        <w:t>1.</w:t>
      </w:r>
      <w:r>
        <w:rPr>
          <w:color w:val="000000"/>
        </w:rPr>
        <w:t>4.1</w:t>
      </w:r>
      <w:r>
        <w:rPr>
          <w:rFonts w:hint="eastAsia"/>
          <w:color w:val="000000"/>
        </w:rPr>
        <w:t xml:space="preserve"> 事故分级</w:t>
      </w:r>
      <w:bookmarkEnd w:id="53"/>
      <w:bookmarkEnd w:id="54"/>
      <w:bookmarkEnd w:id="55"/>
      <w:bookmarkEnd w:id="56"/>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根据事故的性质、危害程度、涉及范围，将生产安全事故由高到低划分为特别重大、重大、较大和一般四个级别。</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（1）特别重大生产安全事故，是指造成30人以上死亡，或者100人以上重伤（包括急性工业中毒，下同），或者1亿元以上直接经济损失的生产安全事故；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（2）重大生产安全事故，是指造成10人以上30人以下死亡，或者50人以上100人以下重伤，或者5000万元以上1亿元以下直接经济损失的生产安全事故；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（3）较大生产安全事故，是指造成3人以上10人以下死亡，或者10人以上50人以下重伤，或者1000万元以上5000万元以下直接经济损失的生产安全事故；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（4）一般生产安全事故，是指造成3人以下死亡，或者10人以下重伤，或者1000万元以下直接经济损失的生产安全事故。</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本预案所称“以上”含本数，“以下”不含本数。</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57" w:name="_Toc22202"/>
      <w:bookmarkStart w:id="58" w:name="_Toc6897"/>
      <w:bookmarkStart w:id="59" w:name="_Toc13451"/>
      <w:bookmarkStart w:id="60" w:name="_Toc87345173"/>
      <w:r>
        <w:rPr>
          <w:rFonts w:hint="eastAsia"/>
          <w:color w:val="000000"/>
        </w:rPr>
        <w:t>1.</w:t>
      </w:r>
      <w:r>
        <w:rPr>
          <w:color w:val="000000"/>
        </w:rPr>
        <w:t>4.2</w:t>
      </w:r>
      <w:r>
        <w:rPr>
          <w:rFonts w:hint="eastAsia"/>
          <w:color w:val="000000"/>
        </w:rPr>
        <w:t xml:space="preserve"> 响应分级</w:t>
      </w:r>
      <w:bookmarkEnd w:id="57"/>
      <w:bookmarkEnd w:id="58"/>
      <w:bookmarkEnd w:id="59"/>
      <w:bookmarkEnd w:id="60"/>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按照生产安全事故的可控性、严重程度和影响范围，应急响应级别原则上分为Ⅰ级、Ⅱ级、Ⅲ级、Ⅳ级。</w:t>
      </w:r>
    </w:p>
    <w:p>
      <w:pPr>
        <w:kinsoku/>
        <w:overflowPunct w:val="0"/>
        <w:topLinePunct/>
        <w:autoSpaceDE w:val="0"/>
        <w:autoSpaceDN w:val="0"/>
        <w:adjustRightInd w:val="0"/>
        <w:snapToGrid w:val="0"/>
        <w:spacing w:beforeLines="0" w:afterLines="0" w:line="560" w:lineRule="exact"/>
        <w:ind w:firstLine="664"/>
        <w:rPr>
          <w:b/>
          <w:bCs/>
          <w:color w:val="000000"/>
        </w:rPr>
      </w:pPr>
      <w:r>
        <w:rPr>
          <w:rFonts w:hint="eastAsia"/>
          <w:b/>
          <w:bCs/>
          <w:color w:val="000000"/>
        </w:rPr>
        <w:t>（</w:t>
      </w:r>
      <w:r>
        <w:rPr>
          <w:b/>
          <w:bCs/>
          <w:color w:val="000000"/>
        </w:rPr>
        <w:t>1</w:t>
      </w:r>
      <w:r>
        <w:rPr>
          <w:rFonts w:hint="eastAsia"/>
          <w:b/>
          <w:bCs/>
          <w:color w:val="000000"/>
        </w:rPr>
        <w:t>）Ⅰ级应急响应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出现下列情况之一启动Ⅰ级响应：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①造成</w:t>
      </w:r>
      <w:r>
        <w:rPr>
          <w:color w:val="000000"/>
        </w:rPr>
        <w:t>30</w:t>
      </w:r>
      <w:r>
        <w:rPr>
          <w:rFonts w:hint="eastAsia"/>
          <w:color w:val="000000"/>
        </w:rPr>
        <w:t>人以上死亡</w:t>
      </w:r>
      <w:r>
        <w:rPr>
          <w:color w:val="000000"/>
        </w:rPr>
        <w:t>(</w:t>
      </w:r>
      <w:r>
        <w:rPr>
          <w:rFonts w:hint="eastAsia"/>
          <w:color w:val="000000"/>
        </w:rPr>
        <w:t>含失踪</w:t>
      </w:r>
      <w:r>
        <w:rPr>
          <w:color w:val="000000"/>
        </w:rPr>
        <w:t>)</w:t>
      </w:r>
      <w:r>
        <w:rPr>
          <w:rFonts w:hint="eastAsia"/>
          <w:color w:val="000000"/>
        </w:rPr>
        <w:t>，或者</w:t>
      </w:r>
      <w:r>
        <w:rPr>
          <w:color w:val="000000"/>
        </w:rPr>
        <w:t>100</w:t>
      </w:r>
      <w:r>
        <w:rPr>
          <w:rFonts w:hint="eastAsia"/>
          <w:color w:val="000000"/>
        </w:rPr>
        <w:t>人以上重伤，或者直接经济损失</w:t>
      </w:r>
      <w:r>
        <w:rPr>
          <w:color w:val="000000"/>
        </w:rPr>
        <w:t>1</w:t>
      </w:r>
      <w:r>
        <w:rPr>
          <w:rFonts w:hint="eastAsia"/>
          <w:color w:val="000000"/>
        </w:rPr>
        <w:t>亿元以上的特别重大生产安全事故；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②需要紧急转移安置</w:t>
      </w:r>
      <w:r>
        <w:rPr>
          <w:color w:val="000000"/>
        </w:rPr>
        <w:t>10</w:t>
      </w:r>
      <w:r>
        <w:rPr>
          <w:rFonts w:hint="eastAsia"/>
          <w:color w:val="000000"/>
        </w:rPr>
        <w:t>万人以上的生产安全事故；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③超出广东省人民政府应急处置能力的生产安全事故；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④跨省级行政区、跨领域</w:t>
      </w:r>
      <w:r>
        <w:rPr>
          <w:color w:val="000000"/>
        </w:rPr>
        <w:t>(</w:t>
      </w:r>
      <w:r>
        <w:rPr>
          <w:rFonts w:hint="eastAsia"/>
          <w:color w:val="000000"/>
        </w:rPr>
        <w:t>行业和部门</w:t>
      </w:r>
      <w:r>
        <w:rPr>
          <w:color w:val="000000"/>
        </w:rPr>
        <w:t>)</w:t>
      </w:r>
      <w:r>
        <w:rPr>
          <w:rFonts w:hint="eastAsia"/>
          <w:color w:val="000000"/>
        </w:rPr>
        <w:t>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⑤国务院领导同志认为需要国务院安委会响应</w:t>
      </w:r>
      <w:r>
        <w:rPr>
          <w:rFonts w:hint="default"/>
          <w:color w:val="000000"/>
        </w:rPr>
        <w:t>的</w:t>
      </w:r>
      <w:r>
        <w:rPr>
          <w:rFonts w:hint="eastAsia"/>
          <w:color w:val="000000"/>
        </w:rPr>
        <w:t>生产安全事故。</w:t>
      </w:r>
    </w:p>
    <w:p>
      <w:pPr>
        <w:kinsoku/>
        <w:overflowPunct w:val="0"/>
        <w:topLinePunct/>
        <w:autoSpaceDE w:val="0"/>
        <w:autoSpaceDN w:val="0"/>
        <w:adjustRightInd w:val="0"/>
        <w:snapToGrid w:val="0"/>
        <w:spacing w:beforeLines="0" w:afterLines="0" w:line="560" w:lineRule="exact"/>
        <w:ind w:firstLine="664"/>
        <w:rPr>
          <w:b/>
          <w:bCs/>
          <w:color w:val="000000"/>
        </w:rPr>
      </w:pPr>
      <w:r>
        <w:rPr>
          <w:rFonts w:hint="eastAsia"/>
          <w:b/>
          <w:bCs/>
          <w:color w:val="000000"/>
        </w:rPr>
        <w:t>（</w:t>
      </w:r>
      <w:r>
        <w:rPr>
          <w:b/>
          <w:bCs/>
          <w:color w:val="000000"/>
        </w:rPr>
        <w:t>2</w:t>
      </w:r>
      <w:r>
        <w:rPr>
          <w:rFonts w:hint="eastAsia"/>
          <w:b/>
          <w:bCs/>
          <w:color w:val="000000"/>
        </w:rPr>
        <w:t>）Ⅱ级应急响应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出现下列情况之一启动Ⅱ级响应：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①造成</w:t>
      </w:r>
      <w:r>
        <w:rPr>
          <w:color w:val="000000"/>
        </w:rPr>
        <w:t>10</w:t>
      </w:r>
      <w:r>
        <w:rPr>
          <w:rFonts w:hint="eastAsia"/>
          <w:color w:val="000000"/>
        </w:rPr>
        <w:t>人以上、</w:t>
      </w:r>
      <w:r>
        <w:rPr>
          <w:color w:val="000000"/>
        </w:rPr>
        <w:t>30</w:t>
      </w:r>
      <w:r>
        <w:rPr>
          <w:rFonts w:hint="eastAsia"/>
          <w:color w:val="000000"/>
        </w:rPr>
        <w:t>人以下死亡</w:t>
      </w:r>
      <w:r>
        <w:rPr>
          <w:color w:val="000000"/>
        </w:rPr>
        <w:t>(</w:t>
      </w:r>
      <w:r>
        <w:rPr>
          <w:rFonts w:hint="eastAsia"/>
          <w:color w:val="000000"/>
        </w:rPr>
        <w:t>含失踪</w:t>
      </w:r>
      <w:r>
        <w:rPr>
          <w:color w:val="000000"/>
        </w:rPr>
        <w:t>)</w:t>
      </w:r>
      <w:r>
        <w:rPr>
          <w:rFonts w:hint="eastAsia"/>
          <w:color w:val="000000"/>
        </w:rPr>
        <w:t>，或者</w:t>
      </w:r>
      <w:r>
        <w:rPr>
          <w:color w:val="000000"/>
        </w:rPr>
        <w:t>50</w:t>
      </w:r>
      <w:r>
        <w:rPr>
          <w:rFonts w:hint="eastAsia"/>
          <w:color w:val="000000"/>
        </w:rPr>
        <w:t>人以上、</w:t>
      </w:r>
      <w:r>
        <w:rPr>
          <w:color w:val="000000"/>
        </w:rPr>
        <w:t>100</w:t>
      </w:r>
      <w:r>
        <w:rPr>
          <w:rFonts w:hint="eastAsia"/>
          <w:color w:val="000000"/>
        </w:rPr>
        <w:t>人以下重伤，或者直接经济损失</w:t>
      </w:r>
      <w:r>
        <w:rPr>
          <w:color w:val="000000"/>
        </w:rPr>
        <w:t>5000</w:t>
      </w:r>
      <w:r>
        <w:rPr>
          <w:rFonts w:hint="eastAsia"/>
          <w:color w:val="000000"/>
        </w:rPr>
        <w:t>万元以上、</w:t>
      </w:r>
      <w:r>
        <w:rPr>
          <w:color w:val="000000"/>
        </w:rPr>
        <w:t>l</w:t>
      </w:r>
      <w:r>
        <w:rPr>
          <w:rFonts w:hint="eastAsia"/>
          <w:color w:val="000000"/>
        </w:rPr>
        <w:t>亿元以下的生产安全事故；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②超出深圳市人民政府应急处置能力的生产安全事故；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③跨地级以上市行政区的生产安全事故；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④广东省政府认为有必要响应的生产安全事故。</w:t>
      </w:r>
    </w:p>
    <w:p>
      <w:pPr>
        <w:kinsoku/>
        <w:overflowPunct w:val="0"/>
        <w:topLinePunct/>
        <w:autoSpaceDE w:val="0"/>
        <w:autoSpaceDN w:val="0"/>
        <w:adjustRightInd w:val="0"/>
        <w:snapToGrid w:val="0"/>
        <w:spacing w:beforeLines="0" w:afterLines="0" w:line="560" w:lineRule="exact"/>
        <w:ind w:firstLine="664"/>
        <w:rPr>
          <w:b/>
          <w:bCs/>
          <w:color w:val="000000"/>
        </w:rPr>
      </w:pPr>
      <w:r>
        <w:rPr>
          <w:rFonts w:hint="eastAsia"/>
          <w:b/>
          <w:bCs/>
          <w:color w:val="000000"/>
        </w:rPr>
        <w:t>（</w:t>
      </w:r>
      <w:r>
        <w:rPr>
          <w:b/>
          <w:bCs/>
          <w:color w:val="000000"/>
        </w:rPr>
        <w:t>3</w:t>
      </w:r>
      <w:r>
        <w:rPr>
          <w:rFonts w:hint="eastAsia"/>
          <w:b/>
          <w:bCs/>
          <w:color w:val="000000"/>
        </w:rPr>
        <w:t>）Ⅲ级应急响应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出现下列情况之一启动Ⅲ级响应：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①造成</w:t>
      </w:r>
      <w:r>
        <w:rPr>
          <w:color w:val="000000"/>
        </w:rPr>
        <w:t>3</w:t>
      </w:r>
      <w:r>
        <w:rPr>
          <w:rFonts w:hint="eastAsia"/>
          <w:color w:val="000000"/>
        </w:rPr>
        <w:t>人以上、</w:t>
      </w:r>
      <w:r>
        <w:rPr>
          <w:color w:val="000000"/>
        </w:rPr>
        <w:t>10</w:t>
      </w:r>
      <w:r>
        <w:rPr>
          <w:rFonts w:hint="eastAsia"/>
          <w:color w:val="000000"/>
        </w:rPr>
        <w:t>人以下死亡</w:t>
      </w:r>
      <w:r>
        <w:rPr>
          <w:color w:val="000000"/>
        </w:rPr>
        <w:t>(</w:t>
      </w:r>
      <w:r>
        <w:rPr>
          <w:rFonts w:hint="eastAsia"/>
          <w:color w:val="000000"/>
        </w:rPr>
        <w:t>含失踪</w:t>
      </w:r>
      <w:r>
        <w:rPr>
          <w:color w:val="000000"/>
        </w:rPr>
        <w:t>)</w:t>
      </w:r>
      <w:r>
        <w:rPr>
          <w:rFonts w:hint="eastAsia"/>
          <w:color w:val="000000"/>
        </w:rPr>
        <w:t>，或者</w:t>
      </w:r>
      <w:r>
        <w:rPr>
          <w:color w:val="000000"/>
        </w:rPr>
        <w:t>10</w:t>
      </w:r>
      <w:r>
        <w:rPr>
          <w:rFonts w:hint="eastAsia"/>
          <w:color w:val="000000"/>
        </w:rPr>
        <w:t>人以上、</w:t>
      </w:r>
      <w:r>
        <w:rPr>
          <w:color w:val="000000"/>
        </w:rPr>
        <w:t>50</w:t>
      </w:r>
      <w:r>
        <w:rPr>
          <w:rFonts w:hint="eastAsia"/>
          <w:color w:val="000000"/>
        </w:rPr>
        <w:t>人以下重伤，或者直接经济损失</w:t>
      </w:r>
      <w:r>
        <w:rPr>
          <w:color w:val="000000"/>
        </w:rPr>
        <w:t>1000</w:t>
      </w:r>
      <w:r>
        <w:rPr>
          <w:rFonts w:hint="eastAsia"/>
          <w:color w:val="000000"/>
        </w:rPr>
        <w:t>万元以上、</w:t>
      </w:r>
      <w:r>
        <w:rPr>
          <w:color w:val="000000"/>
        </w:rPr>
        <w:t>5000</w:t>
      </w:r>
      <w:r>
        <w:rPr>
          <w:rFonts w:hint="eastAsia"/>
          <w:color w:val="000000"/>
        </w:rPr>
        <w:t>万元以下的生产安全事故；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②涉险</w:t>
      </w:r>
      <w:r>
        <w:rPr>
          <w:color w:val="000000"/>
        </w:rPr>
        <w:t>10</w:t>
      </w:r>
      <w:r>
        <w:rPr>
          <w:rFonts w:hint="eastAsia"/>
          <w:color w:val="000000"/>
        </w:rPr>
        <w:t>人以上，或造成</w:t>
      </w:r>
      <w:r>
        <w:rPr>
          <w:color w:val="000000"/>
        </w:rPr>
        <w:t>3</w:t>
      </w:r>
      <w:r>
        <w:rPr>
          <w:rFonts w:hint="eastAsia"/>
          <w:color w:val="000000"/>
        </w:rPr>
        <w:t>人以上被困或者下落不明，或需要紧急疏散人员</w:t>
      </w:r>
      <w:r>
        <w:rPr>
          <w:color w:val="000000"/>
        </w:rPr>
        <w:t>500</w:t>
      </w:r>
      <w:r>
        <w:rPr>
          <w:rFonts w:hint="eastAsia"/>
          <w:color w:val="000000"/>
        </w:rPr>
        <w:t>人以上，或对环境（生化［华大基因、生物制药］、生活水源、农田、河流、水库、湖泊、海域、</w:t>
      </w:r>
      <w:bookmarkStart w:id="61" w:name="_Hlk77236580"/>
      <w:r>
        <w:rPr>
          <w:rFonts w:hint="eastAsia"/>
          <w:color w:val="000000"/>
        </w:rPr>
        <w:t>核电</w:t>
      </w:r>
      <w:bookmarkEnd w:id="61"/>
      <w:r>
        <w:rPr>
          <w:rFonts w:hint="eastAsia"/>
          <w:color w:val="000000"/>
        </w:rPr>
        <w:t>等）造成严重污染，或危及重要场所和设施安全（核电、燃气电站、重要水利设施、危化品库、油气场站、公交场车站、地铁［建设中］、码头、港口及其他人员密集场所等），或存在较多衍生风险或可能引发严重衍生风险，或短时间内难以排除险情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③超出大鹏新区</w:t>
      </w:r>
      <w:r>
        <w:rPr>
          <w:rFonts w:hint="default"/>
          <w:color w:val="000000"/>
        </w:rPr>
        <w:t>管委会</w:t>
      </w:r>
      <w:r>
        <w:rPr>
          <w:rFonts w:hint="eastAsia"/>
          <w:color w:val="000000"/>
        </w:rPr>
        <w:t>应急处置能力的生产安全事故；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④发生跨区级行政区生产安全事故；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⑤深圳市人民政府认为有必要响应的生产安全事故。</w:t>
      </w:r>
    </w:p>
    <w:p>
      <w:pPr>
        <w:kinsoku/>
        <w:overflowPunct w:val="0"/>
        <w:topLinePunct/>
        <w:autoSpaceDE w:val="0"/>
        <w:autoSpaceDN w:val="0"/>
        <w:adjustRightInd w:val="0"/>
        <w:snapToGrid w:val="0"/>
        <w:spacing w:beforeLines="0" w:afterLines="0" w:line="560" w:lineRule="exact"/>
        <w:ind w:firstLine="664"/>
        <w:rPr>
          <w:b/>
          <w:bCs/>
          <w:color w:val="000000"/>
        </w:rPr>
      </w:pPr>
      <w:r>
        <w:rPr>
          <w:rFonts w:hint="eastAsia"/>
          <w:b/>
          <w:bCs/>
          <w:color w:val="000000"/>
        </w:rPr>
        <w:t>（</w:t>
      </w:r>
      <w:r>
        <w:rPr>
          <w:b/>
          <w:bCs/>
          <w:color w:val="000000"/>
        </w:rPr>
        <w:t>4</w:t>
      </w:r>
      <w:r>
        <w:rPr>
          <w:rFonts w:hint="eastAsia"/>
          <w:b/>
          <w:bCs/>
          <w:color w:val="000000"/>
        </w:rPr>
        <w:t>）Ⅳ级应急响应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出现下列情况之一启动Ⅳ级响应：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①造成</w:t>
      </w:r>
      <w:r>
        <w:rPr>
          <w:color w:val="000000"/>
        </w:rPr>
        <w:t>3</w:t>
      </w:r>
      <w:r>
        <w:rPr>
          <w:rFonts w:hint="eastAsia"/>
          <w:color w:val="000000"/>
        </w:rPr>
        <w:t>人以下死亡，或者</w:t>
      </w:r>
      <w:r>
        <w:rPr>
          <w:color w:val="000000"/>
        </w:rPr>
        <w:t>10</w:t>
      </w:r>
      <w:r>
        <w:rPr>
          <w:rFonts w:hint="eastAsia"/>
          <w:color w:val="000000"/>
        </w:rPr>
        <w:t>人以下重伤，或者</w:t>
      </w:r>
      <w:r>
        <w:rPr>
          <w:color w:val="000000"/>
        </w:rPr>
        <w:t>1000</w:t>
      </w:r>
      <w:r>
        <w:rPr>
          <w:rFonts w:hint="eastAsia"/>
          <w:color w:val="000000"/>
        </w:rPr>
        <w:t>万元以下直接经济损失的生产安全事故；</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②大鹏新区</w:t>
      </w:r>
      <w:r>
        <w:rPr>
          <w:rFonts w:hint="default"/>
          <w:color w:val="000000"/>
        </w:rPr>
        <w:t>管委会</w:t>
      </w:r>
      <w:r>
        <w:rPr>
          <w:rFonts w:hint="eastAsia"/>
          <w:color w:val="000000"/>
        </w:rPr>
        <w:t>认为有必要提级响应的生产安全事故。</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本节有关数量的表述中，“以上”含本数，“以下”不含本数。</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62" w:name="_Toc23307"/>
      <w:bookmarkStart w:id="63" w:name="_Toc87345174"/>
      <w:bookmarkStart w:id="64" w:name="_Toc3161"/>
      <w:bookmarkStart w:id="65" w:name="_Toc42857108"/>
      <w:bookmarkStart w:id="66" w:name="_Toc24939"/>
      <w:bookmarkStart w:id="67" w:name="_Toc27745364"/>
      <w:r>
        <w:rPr>
          <w:rFonts w:hint="eastAsia" w:hAnsi="楷体"/>
          <w:color w:val="000000"/>
        </w:rPr>
        <w:t>1.5 适用范围</w:t>
      </w:r>
      <w:bookmarkEnd w:id="49"/>
      <w:bookmarkEnd w:id="50"/>
      <w:bookmarkEnd w:id="51"/>
      <w:bookmarkEnd w:id="52"/>
      <w:bookmarkEnd w:id="62"/>
      <w:bookmarkEnd w:id="63"/>
      <w:bookmarkEnd w:id="64"/>
      <w:bookmarkEnd w:id="65"/>
      <w:bookmarkEnd w:id="66"/>
      <w:bookmarkEnd w:id="67"/>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本预案适用于</w:t>
      </w:r>
      <w:bookmarkStart w:id="68" w:name="_Hlk76395437"/>
      <w:r>
        <w:rPr>
          <w:rFonts w:hint="eastAsia"/>
          <w:color w:val="000000"/>
        </w:rPr>
        <w:t>大鹏新区</w:t>
      </w:r>
      <w:bookmarkEnd w:id="68"/>
      <w:r>
        <w:rPr>
          <w:rFonts w:hint="eastAsia"/>
          <w:color w:val="000000"/>
        </w:rPr>
        <w:t>辖区内的</w:t>
      </w:r>
      <w:bookmarkStart w:id="69" w:name="_Hlk76400187"/>
      <w:r>
        <w:rPr>
          <w:rFonts w:hint="eastAsia"/>
          <w:color w:val="000000"/>
        </w:rPr>
        <w:t>一般生产安全事故</w:t>
      </w:r>
      <w:bookmarkEnd w:id="69"/>
      <w:r>
        <w:rPr>
          <w:rFonts w:hint="eastAsia"/>
          <w:color w:val="000000"/>
        </w:rPr>
        <w:t>应急处置和较大及以上生产安全事故的先期处置工作。</w:t>
      </w:r>
    </w:p>
    <w:p>
      <w:pPr>
        <w:kinsoku/>
        <w:overflowPunct w:val="0"/>
        <w:topLinePunct/>
        <w:autoSpaceDE w:val="0"/>
        <w:autoSpaceDN w:val="0"/>
        <w:adjustRightInd w:val="0"/>
        <w:snapToGrid w:val="0"/>
        <w:spacing w:beforeLines="0" w:afterLines="0" w:line="560" w:lineRule="exact"/>
        <w:ind w:firstLine="664"/>
        <w:rPr>
          <w:color w:val="000000"/>
        </w:rPr>
      </w:pPr>
      <w:bookmarkStart w:id="70" w:name="_Hlk80112166"/>
      <w:r>
        <w:rPr>
          <w:rFonts w:hint="eastAsia"/>
          <w:color w:val="000000"/>
        </w:rPr>
        <w:t>发生一般生产安全事故，有适用</w:t>
      </w:r>
      <w:bookmarkStart w:id="71" w:name="_Hlk76400258"/>
      <w:r>
        <w:rPr>
          <w:rFonts w:hint="eastAsia"/>
          <w:color w:val="000000"/>
        </w:rPr>
        <w:t>的专项应急预案</w:t>
      </w:r>
      <w:bookmarkEnd w:id="71"/>
      <w:r>
        <w:rPr>
          <w:rFonts w:hint="default"/>
          <w:color w:val="000000"/>
        </w:rPr>
        <w:t>，应优先</w:t>
      </w:r>
      <w:r>
        <w:rPr>
          <w:rFonts w:hint="eastAsia"/>
          <w:color w:val="000000"/>
        </w:rPr>
        <w:t>启动</w:t>
      </w:r>
      <w:r>
        <w:rPr>
          <w:rFonts w:hint="default"/>
          <w:color w:val="000000"/>
        </w:rPr>
        <w:t>相关</w:t>
      </w:r>
      <w:r>
        <w:rPr>
          <w:rFonts w:hint="eastAsia"/>
          <w:color w:val="000000"/>
        </w:rPr>
        <w:t>专项应急预案</w:t>
      </w:r>
      <w:r>
        <w:rPr>
          <w:rFonts w:hint="default"/>
          <w:color w:val="000000"/>
        </w:rPr>
        <w:t>予以</w:t>
      </w:r>
      <w:r>
        <w:rPr>
          <w:rFonts w:hint="eastAsia"/>
          <w:color w:val="000000"/>
        </w:rPr>
        <w:t>处置</w:t>
      </w:r>
      <w:r>
        <w:rPr>
          <w:rFonts w:hint="default"/>
          <w:color w:val="000000"/>
        </w:rPr>
        <w:t>；</w:t>
      </w:r>
      <w:r>
        <w:rPr>
          <w:rFonts w:hint="eastAsia"/>
          <w:color w:val="000000"/>
        </w:rPr>
        <w:t>无</w:t>
      </w:r>
      <w:r>
        <w:rPr>
          <w:rFonts w:hint="default"/>
          <w:color w:val="000000"/>
        </w:rPr>
        <w:t>适用</w:t>
      </w:r>
      <w:r>
        <w:rPr>
          <w:rFonts w:hint="eastAsia"/>
          <w:color w:val="000000"/>
        </w:rPr>
        <w:t>专项应急预案的，</w:t>
      </w:r>
      <w:r>
        <w:rPr>
          <w:rFonts w:hint="default"/>
          <w:color w:val="000000"/>
        </w:rPr>
        <w:t>依规定请示新区</w:t>
      </w:r>
      <w:r>
        <w:rPr>
          <w:rFonts w:hint="eastAsia"/>
          <w:color w:val="000000"/>
        </w:rPr>
        <w:t>领导同意后，启动本预案。</w:t>
      </w:r>
    </w:p>
    <w:bookmarkEnd w:id="70"/>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法律、法规另有规定的，从其规定。</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72" w:name="_Toc421778782"/>
      <w:bookmarkStart w:id="73" w:name="_Toc42857109"/>
      <w:bookmarkStart w:id="74" w:name="_Toc27745365"/>
      <w:bookmarkStart w:id="75" w:name="_Toc19010"/>
      <w:bookmarkStart w:id="76" w:name="_Toc23428"/>
      <w:bookmarkStart w:id="77" w:name="_Toc25312"/>
      <w:bookmarkStart w:id="78" w:name="_Toc87345175"/>
      <w:bookmarkStart w:id="79" w:name="_Toc110887224"/>
      <w:bookmarkStart w:id="80" w:name="_Toc110889690"/>
      <w:bookmarkStart w:id="81" w:name="_Toc120943030"/>
      <w:r>
        <w:rPr>
          <w:rFonts w:hint="eastAsia" w:hAnsi="楷体"/>
          <w:color w:val="000000"/>
        </w:rPr>
        <w:t xml:space="preserve">1.6 </w:t>
      </w:r>
      <w:bookmarkEnd w:id="72"/>
      <w:r>
        <w:rPr>
          <w:rFonts w:hint="eastAsia" w:hAnsi="楷体"/>
          <w:color w:val="000000"/>
        </w:rPr>
        <w:t>应急预案体系</w:t>
      </w:r>
      <w:bookmarkEnd w:id="73"/>
      <w:bookmarkEnd w:id="74"/>
      <w:bookmarkEnd w:id="75"/>
      <w:bookmarkEnd w:id="76"/>
      <w:bookmarkEnd w:id="77"/>
      <w:bookmarkEnd w:id="78"/>
    </w:p>
    <w:bookmarkEnd w:id="79"/>
    <w:bookmarkEnd w:id="80"/>
    <w:bookmarkEnd w:id="81"/>
    <w:p>
      <w:pPr>
        <w:kinsoku/>
        <w:overflowPunct w:val="0"/>
        <w:topLinePunct/>
        <w:autoSpaceDE w:val="0"/>
        <w:autoSpaceDN w:val="0"/>
        <w:adjustRightInd w:val="0"/>
        <w:snapToGrid w:val="0"/>
        <w:spacing w:beforeLines="0" w:afterLines="0" w:line="560" w:lineRule="exact"/>
        <w:ind w:firstLine="664"/>
        <w:rPr>
          <w:color w:val="000000"/>
        </w:rPr>
      </w:pPr>
      <w:bookmarkStart w:id="82" w:name="_Toc421778783"/>
      <w:bookmarkStart w:id="83" w:name="_Toc120943033"/>
      <w:bookmarkStart w:id="84" w:name="_Toc110887227"/>
      <w:bookmarkStart w:id="85" w:name="_Toc110889693"/>
      <w:r>
        <w:rPr>
          <w:rFonts w:hint="eastAsia"/>
          <w:color w:val="000000"/>
        </w:rPr>
        <w:t>大鹏新区生产安全事故应急预案体系由新区级生产安全事故应急预案、办事处级生产安全事故应急行动方案、企事业单位生产安全事故应急预案等三大类组成。</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b/>
          <w:bCs/>
          <w:color w:val="000000"/>
        </w:rPr>
        <w:t>（1）新区级生产安全事故应急预案。</w:t>
      </w:r>
      <w:r>
        <w:rPr>
          <w:rFonts w:hint="eastAsia"/>
          <w:color w:val="000000"/>
        </w:rPr>
        <w:t>包括《深圳市大鹏新区生产安全事故应急预案》、事故灾难领域其他有关生产安全事故的专项应急预案和部门应急预案；《深圳市大鹏新区生产安全事故应急预案》是《深圳市大鹏新区突发事件总体应急预案》的子预案。各有关部门（单位）应根据专项应急预案的规定，结合自身职责，制定本部门应急预案。</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b/>
          <w:bCs/>
          <w:color w:val="000000"/>
        </w:rPr>
        <w:t>（2）办事处级生产安全事故应急行动方案。</w:t>
      </w:r>
      <w:r>
        <w:rPr>
          <w:rFonts w:hint="eastAsia"/>
          <w:color w:val="000000"/>
        </w:rPr>
        <w:t>各办事处应根据新区级生产安全事故应急预案和其他类型应急预案制定应急行动方案，社区工作站等基层组织应根据职能，协助办事处开展应急救援工作。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b/>
          <w:bCs/>
          <w:color w:val="000000"/>
        </w:rPr>
        <w:t>（3）企事业单位生产安全事故应急预案。</w:t>
      </w:r>
      <w:r>
        <w:rPr>
          <w:rFonts w:hint="eastAsia"/>
          <w:color w:val="000000"/>
        </w:rPr>
        <w:t>企事业单位应急预案是企事业单位根据有关法律法规和规章并结合本单位实际制定的应急预案。</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应急预案制定单位应当根据实际需要，制定预案简明操作手册、行动指南，增强预案的实用性、可操作性和便携性；应当依托各级应急平台，建立应急预案数据库，提高应急预案管理的信息化水平。</w:t>
      </w:r>
    </w:p>
    <w:p>
      <w:pPr>
        <w:pStyle w:val="5"/>
        <w:keepNext w:val="0"/>
        <w:keepLines w:val="0"/>
        <w:kinsoku/>
        <w:overflowPunct w:val="0"/>
        <w:topLinePunct/>
        <w:autoSpaceDE w:val="0"/>
        <w:autoSpaceDN w:val="0"/>
        <w:adjustRightInd w:val="0"/>
        <w:snapToGrid w:val="0"/>
        <w:spacing w:before="0" w:beforeLines="0" w:after="0" w:afterLines="0" w:line="540" w:lineRule="exact"/>
        <w:ind w:firstLine="692" w:firstLineChars="200"/>
        <w:rPr>
          <w:rFonts w:hint="eastAsia" w:hAnsi="楷体"/>
          <w:color w:val="000000"/>
        </w:rPr>
      </w:pPr>
      <w:bookmarkStart w:id="86" w:name="_Toc14747"/>
      <w:bookmarkStart w:id="87" w:name="_Toc27745366"/>
      <w:bookmarkStart w:id="88" w:name="_Toc42857110"/>
      <w:bookmarkStart w:id="89" w:name="_Toc87345176"/>
      <w:bookmarkStart w:id="90" w:name="_Toc308"/>
      <w:bookmarkStart w:id="91" w:name="_Toc1751"/>
      <w:r>
        <w:rPr>
          <w:rFonts w:hint="eastAsia" w:hAnsi="楷体"/>
          <w:color w:val="000000"/>
        </w:rPr>
        <w:t>1.7 生产安全事故风险分析</w:t>
      </w:r>
      <w:bookmarkEnd w:id="86"/>
      <w:bookmarkEnd w:id="87"/>
      <w:bookmarkEnd w:id="88"/>
      <w:bookmarkEnd w:id="89"/>
      <w:bookmarkEnd w:id="90"/>
      <w:bookmarkEnd w:id="91"/>
    </w:p>
    <w:p>
      <w:pPr>
        <w:kinsoku/>
        <w:overflowPunct w:val="0"/>
        <w:topLinePunct/>
        <w:autoSpaceDE w:val="0"/>
        <w:autoSpaceDN w:val="0"/>
        <w:adjustRightInd w:val="0"/>
        <w:snapToGrid w:val="0"/>
        <w:spacing w:beforeLines="0" w:afterLines="0" w:line="540" w:lineRule="exact"/>
        <w:ind w:firstLine="664"/>
        <w:jc w:val="both"/>
        <w:rPr>
          <w:color w:val="000000"/>
        </w:rPr>
      </w:pPr>
      <w:r>
        <w:rPr>
          <w:rFonts w:hint="eastAsia"/>
          <w:color w:val="000000"/>
          <w:w w:val="100"/>
        </w:rPr>
        <w:t>大鹏新区是深圳市的一个功能新区，位于深圳东南部，</w:t>
      </w:r>
      <w:r>
        <w:rPr>
          <w:rFonts w:hint="eastAsia"/>
          <w:color w:val="000000"/>
        </w:rPr>
        <w:t>北起马峦山，东靠排牙山，南接七娘山，形成三山环绕格局。东侧大亚湾、西侧大鹏湾三面环海，东临大亚湾，与惠州接壤，西抱大鹏湾，遥望香港新界。辖区面积600平方</w:t>
      </w:r>
      <w:r>
        <w:rPr>
          <w:rFonts w:hint="eastAsia"/>
          <w:color w:val="000000"/>
          <w:w w:val="100"/>
        </w:rPr>
        <w:t>公里，其中陆域面积295平方公里，海域面积3</w:t>
      </w:r>
      <w:r>
        <w:rPr>
          <w:color w:val="000000"/>
          <w:w w:val="100"/>
        </w:rPr>
        <w:t>05</w:t>
      </w:r>
      <w:r>
        <w:rPr>
          <w:rFonts w:hint="eastAsia"/>
          <w:color w:val="000000"/>
          <w:w w:val="100"/>
        </w:rPr>
        <w:t>平方公里，</w:t>
      </w:r>
      <w:r>
        <w:rPr>
          <w:rFonts w:hint="eastAsia"/>
          <w:color w:val="000000"/>
        </w:rPr>
        <w:t>约占深圳市六分之一。下辖葵涌、大鹏、南澳3个办事处，25个社区，常住人口近</w:t>
      </w:r>
      <w:r>
        <w:rPr>
          <w:color w:val="000000"/>
        </w:rPr>
        <w:t>16</w:t>
      </w:r>
      <w:r>
        <w:rPr>
          <w:rFonts w:hint="eastAsia"/>
          <w:color w:val="000000"/>
        </w:rPr>
        <w:t>万人。</w:t>
      </w:r>
    </w:p>
    <w:p>
      <w:pPr>
        <w:kinsoku/>
        <w:overflowPunct w:val="0"/>
        <w:topLinePunct/>
        <w:autoSpaceDE w:val="0"/>
        <w:autoSpaceDN w:val="0"/>
        <w:adjustRightInd w:val="0"/>
        <w:snapToGrid w:val="0"/>
        <w:spacing w:beforeLines="0" w:afterLines="0" w:line="540" w:lineRule="exact"/>
        <w:ind w:firstLine="664"/>
        <w:rPr>
          <w:color w:val="000000"/>
        </w:rPr>
      </w:pPr>
      <w:r>
        <w:rPr>
          <w:rFonts w:hint="eastAsia"/>
          <w:color w:val="000000"/>
        </w:rPr>
        <w:t>根据《企业职工伤亡事故分类》（GB6441-1986），大鹏新区在生产经营过程中主要存在1</w:t>
      </w:r>
      <w:r>
        <w:rPr>
          <w:color w:val="000000"/>
        </w:rPr>
        <w:t>7</w:t>
      </w:r>
      <w:r>
        <w:rPr>
          <w:rFonts w:hint="eastAsia"/>
          <w:color w:val="000000"/>
        </w:rPr>
        <w:t>种事故类型：物体打击、车辆伤害、机械伤害、起重伤害、淹溺、触电、灼烫、火灾、高处坠落、坍塌、冒顶片帮、透水、锅炉爆炸、容器爆炸、</w:t>
      </w:r>
      <w:r>
        <w:rPr>
          <w:rFonts w:hint="default"/>
          <w:color w:val="000000"/>
        </w:rPr>
        <w:t>其他</w:t>
      </w:r>
      <w:r>
        <w:rPr>
          <w:rFonts w:hint="eastAsia"/>
          <w:color w:val="000000"/>
        </w:rPr>
        <w:t>爆炸（含粉尘爆炸、涂层烘干室爆炸、锂离子电池爆炸、施工爆破）、中毒和窒息、</w:t>
      </w:r>
      <w:r>
        <w:rPr>
          <w:rFonts w:hint="default"/>
          <w:color w:val="000000"/>
        </w:rPr>
        <w:t>其他</w:t>
      </w:r>
      <w:r>
        <w:rPr>
          <w:rFonts w:hint="eastAsia"/>
          <w:color w:val="000000"/>
        </w:rPr>
        <w:t>伤害（核辐射等）。</w:t>
      </w:r>
    </w:p>
    <w:p>
      <w:pPr>
        <w:kinsoku/>
        <w:overflowPunct w:val="0"/>
        <w:topLinePunct/>
        <w:autoSpaceDE w:val="0"/>
        <w:autoSpaceDN w:val="0"/>
        <w:adjustRightInd w:val="0"/>
        <w:snapToGrid w:val="0"/>
        <w:spacing w:beforeLines="0" w:afterLines="0" w:line="540" w:lineRule="exact"/>
        <w:ind w:firstLine="664"/>
        <w:jc w:val="center"/>
        <w:rPr>
          <w:rFonts w:hint="eastAsia" w:ascii="黑体" w:hAnsi="黑体" w:eastAsia="黑体"/>
          <w:color w:val="000000"/>
          <w:sz w:val="32"/>
        </w:rPr>
      </w:pPr>
      <w:r>
        <w:rPr>
          <w:rFonts w:hint="eastAsia"/>
          <w:color w:val="000000"/>
        </w:rPr>
        <w:t>大鹏新区企业涉及行业较多，其风险点、危险源多，事故风险高。危险化学品贮存和使用企业、粉尘燃爆企业、电池生产加工和储存企业、涉氨企业、洁净厂房企业、有限空间作业企业、涂层烘干室企业、渔业生产、地铁施工、核电站、垃圾填埋场、</w:t>
      </w:r>
      <w:bookmarkStart w:id="92" w:name="_Hlk87108889"/>
      <w:r>
        <w:rPr>
          <w:rFonts w:hint="eastAsia"/>
          <w:color w:val="000000"/>
        </w:rPr>
        <w:t>工程施工爆破</w:t>
      </w:r>
      <w:bookmarkEnd w:id="92"/>
      <w:r>
        <w:rPr>
          <w:rFonts w:hint="eastAsia"/>
          <w:color w:val="000000"/>
        </w:rPr>
        <w:t>、人员密集场所等</w:t>
      </w:r>
      <w:r>
        <w:rPr>
          <w:color w:val="000000"/>
        </w:rPr>
        <w:t>11</w:t>
      </w:r>
      <w:r>
        <w:rPr>
          <w:rFonts w:hint="eastAsia"/>
          <w:color w:val="000000"/>
        </w:rPr>
        <w:t>种风险较高的企业，是大鹏新区安全生产重点监管的对象。</w:t>
      </w:r>
      <w:bookmarkStart w:id="93" w:name="_Toc42857111"/>
      <w:bookmarkStart w:id="94" w:name="_Toc27745367"/>
      <w:bookmarkStart w:id="95" w:name="_Toc87345177"/>
      <w:bookmarkStart w:id="96" w:name="_Toc12958"/>
      <w:bookmarkStart w:id="97" w:name="_Toc14751"/>
      <w:bookmarkStart w:id="98" w:name="_Toc24691"/>
      <w:r>
        <w:rPr>
          <w:rFonts w:hint="eastAsia" w:ascii="黑体" w:hAnsi="黑体" w:eastAsia="黑体"/>
          <w:color w:val="000000"/>
          <w:sz w:val="32"/>
        </w:rPr>
        <w:br w:type="page"/>
      </w:r>
      <w:r>
        <w:rPr>
          <w:rFonts w:hint="eastAsia" w:ascii="黑体" w:hAnsi="黑体" w:eastAsia="黑体"/>
          <w:color w:val="000000"/>
          <w:sz w:val="32"/>
        </w:rPr>
        <w:t>2 组织机构与职责</w:t>
      </w:r>
      <w:bookmarkEnd w:id="82"/>
      <w:bookmarkEnd w:id="93"/>
      <w:bookmarkEnd w:id="94"/>
      <w:bookmarkEnd w:id="95"/>
      <w:bookmarkEnd w:id="96"/>
      <w:bookmarkEnd w:id="97"/>
      <w:bookmarkEnd w:id="98"/>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99" w:name="_Toc421778784"/>
      <w:bookmarkStart w:id="100" w:name="_Toc25716"/>
      <w:bookmarkStart w:id="101" w:name="_Toc29751"/>
      <w:bookmarkStart w:id="102" w:name="_Toc42857112"/>
      <w:bookmarkStart w:id="103" w:name="_Toc4640"/>
      <w:bookmarkStart w:id="104" w:name="_Toc27745368"/>
      <w:bookmarkStart w:id="105" w:name="_Hlk79487729"/>
      <w:r>
        <w:rPr>
          <w:rFonts w:hint="eastAsia"/>
          <w:color w:val="000000"/>
        </w:rPr>
        <w:t>大鹏新区突发事件应急委员会（以下简称“新区应急委”）是突发事件应急领导机构，新区生产安全事故应急指挥部（以下简称“应急指挥部”）是在新区应急委领导下指挥、协调生产安全事故应急处置工作的机构。</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发生生产安全事故时，有专项预案的按照专项应急预案执行；需启动本预案的，成立应急指挥部，统一组织、指挥、协调应急处置工作。</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106" w:name="_Toc87345178"/>
      <w:r>
        <w:rPr>
          <w:rFonts w:hint="eastAsia" w:hAnsi="楷体"/>
          <w:color w:val="000000"/>
        </w:rPr>
        <w:t xml:space="preserve">2.1 </w:t>
      </w:r>
      <w:bookmarkEnd w:id="99"/>
      <w:bookmarkStart w:id="107" w:name="_Hlk79487236"/>
      <w:r>
        <w:rPr>
          <w:rFonts w:hint="eastAsia" w:hAnsi="楷体"/>
          <w:color w:val="000000"/>
        </w:rPr>
        <w:t>应急指挥部</w:t>
      </w:r>
      <w:bookmarkEnd w:id="107"/>
      <w:r>
        <w:rPr>
          <w:rFonts w:hint="eastAsia" w:hAnsi="楷体"/>
          <w:color w:val="000000"/>
        </w:rPr>
        <w:t>及职责</w:t>
      </w:r>
      <w:bookmarkEnd w:id="100"/>
      <w:bookmarkEnd w:id="101"/>
      <w:bookmarkEnd w:id="102"/>
      <w:bookmarkEnd w:id="103"/>
      <w:bookmarkEnd w:id="104"/>
      <w:bookmarkEnd w:id="106"/>
    </w:p>
    <w:bookmarkEnd w:id="105"/>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08" w:name="_Toc87345179"/>
      <w:bookmarkStart w:id="109" w:name="_Hlk79499927"/>
      <w:r>
        <w:rPr>
          <w:color w:val="000000"/>
        </w:rPr>
        <w:t>2.1.1</w:t>
      </w:r>
      <w:r>
        <w:rPr>
          <w:rFonts w:hint="eastAsia"/>
          <w:color w:val="000000"/>
        </w:rPr>
        <w:t xml:space="preserve"> 应急指挥部</w:t>
      </w:r>
      <w:bookmarkEnd w:id="108"/>
    </w:p>
    <w:bookmarkEnd w:id="109"/>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应急指挥部由总指挥、副总指挥</w:t>
      </w:r>
      <w:r>
        <w:rPr>
          <w:rFonts w:hint="default"/>
          <w:color w:val="000000"/>
        </w:rPr>
        <w:t>和成员单位</w:t>
      </w:r>
      <w:r>
        <w:rPr>
          <w:rFonts w:hint="eastAsia"/>
          <w:color w:val="000000"/>
        </w:rPr>
        <w:t>组成。</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总指挥：大鹏新区管委会分管应急管理</w:t>
      </w:r>
      <w:r>
        <w:rPr>
          <w:rFonts w:hint="default"/>
          <w:color w:val="000000"/>
        </w:rPr>
        <w:t>工作的领导</w:t>
      </w:r>
      <w:r>
        <w:rPr>
          <w:rFonts w:hint="eastAsia"/>
          <w:color w:val="000000"/>
        </w:rPr>
        <w:t>担任，</w:t>
      </w:r>
      <w:r>
        <w:rPr>
          <w:rFonts w:hint="default"/>
          <w:color w:val="000000"/>
        </w:rPr>
        <w:t>负责</w:t>
      </w:r>
      <w:r>
        <w:rPr>
          <w:rFonts w:hint="eastAsia"/>
          <w:color w:val="000000"/>
        </w:rPr>
        <w:t>主持应急指挥部全面工作。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副总指挥：负责协助总指挥开展工作。副总指挥3名，1名副总指挥由新区应急管理局主要负责人担任，负责生产安全事故信息报送工作，协调相关应急资源参与处置；1名副总指挥由</w:t>
      </w:r>
      <w:r>
        <w:rPr>
          <w:rFonts w:hint="default"/>
          <w:color w:val="000000"/>
        </w:rPr>
        <w:t>相关</w:t>
      </w:r>
      <w:r>
        <w:rPr>
          <w:rFonts w:hint="eastAsia"/>
          <w:color w:val="000000"/>
        </w:rPr>
        <w:t>行业</w:t>
      </w:r>
      <w:r>
        <w:rPr>
          <w:rFonts w:hint="default"/>
          <w:color w:val="000000"/>
        </w:rPr>
        <w:t>领域</w:t>
      </w:r>
      <w:r>
        <w:rPr>
          <w:rFonts w:hint="eastAsia"/>
          <w:color w:val="000000"/>
        </w:rPr>
        <w:t>主管部门主要负责人担任，负责行业领域协调、处置工作；1名副总指挥由事发地办事处主要负责人担任，指挥本辖区有关应急资源和应急力量参与应急处置工作。</w:t>
      </w:r>
    </w:p>
    <w:p>
      <w:pPr>
        <w:kinsoku/>
        <w:overflowPunct w:val="0"/>
        <w:topLinePunct/>
        <w:autoSpaceDE w:val="0"/>
        <w:autoSpaceDN w:val="0"/>
        <w:adjustRightInd w:val="0"/>
        <w:snapToGrid w:val="0"/>
        <w:spacing w:beforeLines="0" w:afterLines="0" w:line="560" w:lineRule="exact"/>
        <w:ind w:firstLine="664"/>
        <w:rPr>
          <w:rFonts w:hint="eastAsia"/>
          <w:color w:val="auto"/>
        </w:rPr>
      </w:pPr>
      <w:r>
        <w:rPr>
          <w:rFonts w:hint="eastAsia"/>
          <w:color w:val="auto"/>
        </w:rPr>
        <w:t>大鹏新区生产安全事故应急指挥部设置图见附件</w:t>
      </w:r>
      <w:r>
        <w:rPr>
          <w:rFonts w:hint="default"/>
          <w:color w:val="auto"/>
        </w:rPr>
        <w:t>1</w:t>
      </w:r>
      <w:r>
        <w:rPr>
          <w:rFonts w:hint="eastAsia"/>
          <w:color w:val="auto"/>
        </w:rPr>
        <w:t>；</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color w:val="000000"/>
        </w:rPr>
      </w:pPr>
      <w:bookmarkStart w:id="110" w:name="_Toc87345180"/>
      <w:bookmarkStart w:id="111" w:name="_Hlk79496896"/>
      <w:r>
        <w:rPr>
          <w:rFonts w:hint="eastAsia"/>
          <w:color w:val="000000"/>
        </w:rPr>
        <w:t>2.1.2</w:t>
      </w:r>
      <w:r>
        <w:rPr>
          <w:color w:val="000000"/>
        </w:rPr>
        <w:t xml:space="preserve"> </w:t>
      </w:r>
      <w:r>
        <w:rPr>
          <w:rFonts w:hint="eastAsia"/>
          <w:color w:val="000000"/>
        </w:rPr>
        <w:t>应急指挥部职责</w:t>
      </w:r>
      <w:bookmarkEnd w:id="110"/>
    </w:p>
    <w:bookmarkEnd w:id="111"/>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（1）贯彻执行预防和应对有关生产安全事故的法律、法规、规章和政策；</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w:t>
      </w:r>
      <w:r>
        <w:rPr>
          <w:rFonts w:hint="eastAsia"/>
          <w:color w:val="000000"/>
        </w:rPr>
        <w:t>）及时确定生产安全事故的等级与响应级别，按预案规定程序启动和结束应急响应，组织和指挥有关力量和资源参与应急救援工作；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3</w:t>
      </w:r>
      <w:r>
        <w:rPr>
          <w:rFonts w:hint="eastAsia"/>
          <w:color w:val="000000"/>
        </w:rPr>
        <w:t>）指导、协调或协助应急指挥部成员单位、各办事处开展生产安全事故应急预防和应对工作；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（4）决定和批准抢险救援工作的重大事项；</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5</w:t>
      </w:r>
      <w:r>
        <w:rPr>
          <w:rFonts w:hint="eastAsia"/>
          <w:color w:val="000000"/>
        </w:rPr>
        <w:t>）承办新区党工委、管委会交办的其他事项。</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112" w:name="_Toc87345181"/>
      <w:r>
        <w:rPr>
          <w:rFonts w:hint="eastAsia" w:hAnsi="楷体"/>
          <w:color w:val="000000"/>
        </w:rPr>
        <w:t>2.</w:t>
      </w:r>
      <w:r>
        <w:rPr>
          <w:rFonts w:hAnsi="楷体"/>
          <w:color w:val="000000"/>
        </w:rPr>
        <w:t xml:space="preserve">2 </w:t>
      </w:r>
      <w:r>
        <w:rPr>
          <w:rFonts w:hint="eastAsia" w:hAnsi="楷体"/>
          <w:color w:val="000000"/>
        </w:rPr>
        <w:t>应急指挥部</w:t>
      </w:r>
      <w:bookmarkStart w:id="113" w:name="_Hlk79500081"/>
      <w:r>
        <w:rPr>
          <w:rFonts w:hint="eastAsia" w:hAnsi="楷体"/>
          <w:color w:val="000000"/>
        </w:rPr>
        <w:t>办公室</w:t>
      </w:r>
      <w:bookmarkEnd w:id="113"/>
      <w:r>
        <w:rPr>
          <w:rFonts w:hint="eastAsia" w:hAnsi="楷体"/>
          <w:color w:val="000000"/>
        </w:rPr>
        <w:t>及职责</w:t>
      </w:r>
      <w:bookmarkEnd w:id="112"/>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14" w:name="_Toc87345182"/>
      <w:r>
        <w:rPr>
          <w:color w:val="000000"/>
        </w:rPr>
        <w:t>2.2.1</w:t>
      </w:r>
      <w:r>
        <w:rPr>
          <w:rFonts w:hint="eastAsia"/>
          <w:color w:val="000000"/>
        </w:rPr>
        <w:t xml:space="preserve"> 应急指挥部</w:t>
      </w:r>
      <w:bookmarkStart w:id="115" w:name="_Hlk79500092"/>
      <w:r>
        <w:rPr>
          <w:rFonts w:hint="eastAsia"/>
          <w:color w:val="000000"/>
        </w:rPr>
        <w:t>办公室</w:t>
      </w:r>
      <w:bookmarkEnd w:id="114"/>
      <w:bookmarkEnd w:id="115"/>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应急指挥部办公室设在新区应急管理局，作为应急指挥部的日常办事机构。办公室</w:t>
      </w:r>
      <w:bookmarkStart w:id="116" w:name="_Hlk79500219"/>
      <w:r>
        <w:rPr>
          <w:rFonts w:hint="eastAsia"/>
          <w:color w:val="000000"/>
        </w:rPr>
        <w:t>主任</w:t>
      </w:r>
      <w:bookmarkEnd w:id="116"/>
      <w:r>
        <w:rPr>
          <w:rFonts w:hint="eastAsia"/>
          <w:color w:val="000000"/>
        </w:rPr>
        <w:t>由新区应急管理局</w:t>
      </w:r>
      <w:r>
        <w:rPr>
          <w:rFonts w:hint="default"/>
          <w:color w:val="000000"/>
        </w:rPr>
        <w:t>分管领导</w:t>
      </w:r>
      <w:r>
        <w:rPr>
          <w:rFonts w:hint="eastAsia"/>
          <w:color w:val="000000"/>
        </w:rPr>
        <w:t>担任，副主任由相关业务科室</w:t>
      </w:r>
      <w:r>
        <w:rPr>
          <w:rFonts w:hint="default"/>
          <w:color w:val="000000"/>
        </w:rPr>
        <w:t>主要</w:t>
      </w:r>
      <w:r>
        <w:rPr>
          <w:rFonts w:hint="eastAsia"/>
          <w:color w:val="000000"/>
        </w:rPr>
        <w:t>负责人担任。</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大鹏新区应急指挥中心联系电话：</w:t>
      </w:r>
      <w:bookmarkStart w:id="117" w:name="_Hlk87283929"/>
      <w:r>
        <w:rPr>
          <w:rFonts w:hint="eastAsia"/>
          <w:color w:val="000000"/>
        </w:rPr>
        <w:t>0755-</w:t>
      </w:r>
      <w:bookmarkEnd w:id="117"/>
      <w:r>
        <w:rPr>
          <w:rFonts w:hint="eastAsia"/>
          <w:color w:val="000000"/>
        </w:rPr>
        <w:t>28333333，传真：</w:t>
      </w:r>
      <w:r>
        <w:rPr>
          <w:color w:val="000000"/>
        </w:rPr>
        <w:t>0755-</w:t>
      </w:r>
      <w:r>
        <w:rPr>
          <w:rFonts w:hint="eastAsia"/>
          <w:color w:val="000000"/>
        </w:rPr>
        <w:t>2</w:t>
      </w:r>
      <w:r>
        <w:rPr>
          <w:color w:val="000000"/>
        </w:rPr>
        <w:t>8333250</w:t>
      </w:r>
      <w:r>
        <w:rPr>
          <w:rFonts w:hint="eastAsia"/>
          <w:color w:val="000000"/>
        </w:rPr>
        <w:t>。</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18" w:name="_Toc87345183"/>
      <w:r>
        <w:rPr>
          <w:color w:val="000000"/>
        </w:rPr>
        <w:t>2.2.2</w:t>
      </w:r>
      <w:r>
        <w:rPr>
          <w:rFonts w:hint="eastAsia"/>
          <w:color w:val="000000"/>
        </w:rPr>
        <w:t xml:space="preserve"> 应急指挥部办公室职责</w:t>
      </w:r>
      <w:bookmarkEnd w:id="118"/>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（1）组织落实大鹏新区生产安全事故应急指挥部决定，协调和调动成员单位开展生产安全事故应急处置相关工作；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（2）组织开展大鹏新区生产安全事故应急指挥部应急值守相关工作；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（3）负责开展生产安全事故应急预案编制、修订和评审工作，监督、指导办事处和专业应急救援机构有关生产安全事故预防与应急准备工作；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4</w:t>
      </w:r>
      <w:r>
        <w:rPr>
          <w:rFonts w:hint="eastAsia"/>
          <w:color w:val="000000"/>
        </w:rPr>
        <w:t>）组织编制专业应急资源分布图谱，统筹专业应急物资、装备的储备和调用；</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5</w:t>
      </w:r>
      <w:r>
        <w:rPr>
          <w:rFonts w:hint="eastAsia"/>
          <w:color w:val="000000"/>
        </w:rPr>
        <w:t>）组织收集、分析有关工作信息，及时上报生产安全事故重要信息；</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6</w:t>
      </w:r>
      <w:r>
        <w:rPr>
          <w:rFonts w:hint="eastAsia"/>
          <w:color w:val="000000"/>
        </w:rPr>
        <w:t>）组织发布生产安全事故预警信息；</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7</w:t>
      </w:r>
      <w:r>
        <w:rPr>
          <w:rFonts w:hint="eastAsia"/>
          <w:color w:val="000000"/>
        </w:rPr>
        <w:t>）配合有关部门承担生产安全事故新闻发布工作；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8</w:t>
      </w:r>
      <w:r>
        <w:rPr>
          <w:rFonts w:hint="eastAsia"/>
          <w:color w:val="000000"/>
        </w:rPr>
        <w:t>）建设和完善生产安全事故应急指挥平台，纳入大鹏新区应急平台体系；</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9</w:t>
      </w:r>
      <w:r>
        <w:rPr>
          <w:rFonts w:hint="eastAsia"/>
          <w:color w:val="000000"/>
        </w:rPr>
        <w:t>）组织开展大鹏新区</w:t>
      </w:r>
      <w:bookmarkStart w:id="119" w:name="_Hlk87110653"/>
      <w:r>
        <w:rPr>
          <w:rFonts w:hint="eastAsia"/>
          <w:color w:val="000000"/>
        </w:rPr>
        <w:t>生产安全</w:t>
      </w:r>
      <w:bookmarkEnd w:id="119"/>
      <w:r>
        <w:rPr>
          <w:rFonts w:hint="eastAsia"/>
          <w:color w:val="000000"/>
        </w:rPr>
        <w:t>事故应急演练、培训、宣传工作；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10</w:t>
      </w:r>
      <w:r>
        <w:rPr>
          <w:rFonts w:hint="eastAsia"/>
          <w:color w:val="000000"/>
        </w:rPr>
        <w:t>）组织、协调有关应急救援队伍、专家的建设和管理；</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11</w:t>
      </w:r>
      <w:r>
        <w:rPr>
          <w:rFonts w:hint="eastAsia"/>
          <w:color w:val="000000"/>
        </w:rPr>
        <w:t>）承担大鹏新区生产安全事故应急指挥部日常工作。</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120" w:name="_Toc13383"/>
      <w:bookmarkStart w:id="121" w:name="_Toc27745369"/>
      <w:bookmarkStart w:id="122" w:name="_Toc30402"/>
      <w:bookmarkStart w:id="123" w:name="_Toc42857113"/>
      <w:bookmarkStart w:id="124" w:name="_Toc87345184"/>
      <w:bookmarkStart w:id="125" w:name="_Toc17366"/>
      <w:r>
        <w:rPr>
          <w:rFonts w:hint="eastAsia" w:hAnsi="楷体"/>
          <w:color w:val="000000"/>
        </w:rPr>
        <w:t>2.</w:t>
      </w:r>
      <w:r>
        <w:rPr>
          <w:rFonts w:hAnsi="楷体"/>
          <w:color w:val="000000"/>
        </w:rPr>
        <w:t>3</w:t>
      </w:r>
      <w:r>
        <w:rPr>
          <w:rFonts w:hint="eastAsia" w:hAnsi="楷体"/>
          <w:color w:val="000000"/>
        </w:rPr>
        <w:t xml:space="preserve"> 各成员单位职责</w:t>
      </w:r>
      <w:bookmarkEnd w:id="120"/>
      <w:bookmarkEnd w:id="121"/>
      <w:bookmarkEnd w:id="122"/>
      <w:bookmarkEnd w:id="123"/>
      <w:bookmarkEnd w:id="124"/>
      <w:bookmarkEnd w:id="125"/>
    </w:p>
    <w:p>
      <w:pPr>
        <w:kinsoku/>
        <w:overflowPunct w:val="0"/>
        <w:topLinePunct/>
        <w:autoSpaceDE w:val="0"/>
        <w:autoSpaceDN w:val="0"/>
        <w:adjustRightInd w:val="0"/>
        <w:snapToGrid w:val="0"/>
        <w:spacing w:beforeLines="0" w:afterLines="0" w:line="560" w:lineRule="exact"/>
        <w:ind w:firstLine="664"/>
        <w:rPr>
          <w:color w:val="000000"/>
        </w:rPr>
      </w:pPr>
      <w:bookmarkStart w:id="126" w:name="_Hlk79506704"/>
      <w:bookmarkStart w:id="127" w:name="_Hlk87186767"/>
      <w:bookmarkStart w:id="128" w:name="_Toc426382110"/>
      <w:bookmarkStart w:id="129" w:name="_Toc421778786"/>
      <w:r>
        <w:rPr>
          <w:rFonts w:hint="eastAsia"/>
          <w:color w:val="000000"/>
        </w:rPr>
        <w:t>（1）</w:t>
      </w:r>
      <w:bookmarkStart w:id="130" w:name="_Hlk87186667"/>
      <w:r>
        <w:rPr>
          <w:rFonts w:hint="eastAsia"/>
          <w:color w:val="000000"/>
        </w:rPr>
        <w:t>新区</w:t>
      </w:r>
      <w:bookmarkEnd w:id="126"/>
      <w:r>
        <w:rPr>
          <w:rFonts w:hint="eastAsia"/>
          <w:color w:val="000000"/>
        </w:rPr>
        <w:t>综合办公室</w:t>
      </w:r>
      <w:bookmarkEnd w:id="130"/>
      <w:r>
        <w:rPr>
          <w:rFonts w:hint="eastAsia"/>
          <w:color w:val="000000"/>
        </w:rPr>
        <w:t>：提出新闻发布工作意见，指导成员单位有序开展生产安全事故应急救援的新闻发布工作，收集网络舆情动态，指导成员单位开展舆情应对工作；负责协调涉外事务工作。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（2）新区统战和社会建设局：协助各办事处转移危险地区群众；负责协调涉港澳台</w:t>
      </w:r>
      <w:bookmarkStart w:id="131" w:name="_Hlk87284124"/>
      <w:r>
        <w:rPr>
          <w:rFonts w:hint="eastAsia"/>
          <w:color w:val="000000"/>
        </w:rPr>
        <w:t>事务工作</w:t>
      </w:r>
      <w:bookmarkEnd w:id="131"/>
      <w:r>
        <w:rPr>
          <w:rFonts w:hint="eastAsia"/>
          <w:color w:val="000000"/>
        </w:rPr>
        <w:t>；协助做好灾后善后处置工作；必要时，负责联系驻新区部队、深圳市警备区和其他区人武部、组织民兵预备役参加抢险救灾行动。</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（3）新区政法办公室：在生产安全事故发生期间，按照新区管委会要求，为生产安全事故突发事件应对提供必要的法律支撑服务。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（4）新区发展和财政局：负责据实做好生产安全事故应急处置工作所需经费保障。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5）新区教育和卫生健康局：负责调度新区医疗资源，做好生产安全事故受伤人员的救治和转移工作；开展现场救援区域的卫生防疫工作，预防和控制疫情、疾病的传播；为受伤人员和受灾群众提供心理卫生咨询和帮助；负责组织在校师生在生产安全事故时安全疏散，妥善解决受灾学生的就学问题。</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（6）新区科技创新和经济服务局：协调各通信运营商及时抢修损坏的电信设施，协调市级部门保障抢险救灾期间的电信、无线电的通畅；协调督促供电部门及时修复损毁的供电设施，尽快恢复供电。</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（7）新区住房和建设局：负责协调城镇燃气供应和大型工程装备的应急保障</w:t>
      </w:r>
      <w:r>
        <w:rPr>
          <w:rFonts w:hint="default"/>
          <w:color w:val="000000"/>
        </w:rPr>
        <w:t>；</w:t>
      </w:r>
      <w:r>
        <w:rPr>
          <w:rFonts w:hint="eastAsia"/>
          <w:color w:val="000000"/>
        </w:rPr>
        <w:t>负责指导新区城镇燃气、既有房屋建筑结构、物业管理从业单位、合法运营中的建筑废弃物受纳场、在建房建、市政工程项目的生产安全事故应急抢险、救援工作。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8）新区水务局：负责组织、指导水务工程建设及供排水企业相关应急资源参与生产安全事故应急救援工作，做好生产安全事故中有关供水、排水设施的抢险抢修工作，负责组织供水企业做好事故现场救援的供水保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9）新区文化广电旅游体育局：依职责负责文化、体育、旅游行业领域生产安全事故应急救援的综合协调工作；督促景区暂停营业或关闭，负责指导旅游企业做好滞留景区内游客和工作人员的安全疏散、救护、转移和安置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0</w:t>
      </w:r>
      <w:r>
        <w:rPr>
          <w:rFonts w:hint="eastAsia"/>
          <w:color w:val="000000"/>
        </w:rPr>
        <w:t>）新区应急管理局：负责组织、指导危险化学品的生产、储存（不含港区内）、经营、使用企业（指列入危险化学品安全使用许可适用行业目录、使用危险化学品从事生产并且达到危险化学品使用量的数量标准的化工企业），职责范围内工矿商贸企业、石油管道安全生产应急管理工作；负责新区安全生产应急救援体系建设、生产安全事故应急救援队伍和物资综合管理工作；及时掌握、收集、汇总生产安全突发事件事态信息，向市委、市政府总值班室、市应急</w:t>
      </w:r>
      <w:r>
        <w:rPr>
          <w:color w:val="000000"/>
        </w:rPr>
        <w:t>管理</w:t>
      </w:r>
      <w:r>
        <w:rPr>
          <w:rFonts w:hint="eastAsia"/>
          <w:color w:val="000000"/>
        </w:rPr>
        <w:t>局和新区管委会报告；协助开设现场指挥部，搭建现场指挥部架构</w:t>
      </w:r>
      <w:r>
        <w:rPr>
          <w:color w:val="000000"/>
        </w:rPr>
        <w:t>；</w:t>
      </w:r>
      <w:r>
        <w:rPr>
          <w:rFonts w:hint="eastAsia"/>
          <w:color w:val="000000"/>
        </w:rPr>
        <w:t>协调相关应急资源参与突发事件处置工作，传达并督促有关部门落实市委、市政府有关决定事项和新区领导指示、批示；组织相关单位开展救灾救济工作，协助办事处转移安置受灾群众至避难场所；依法组织指导或督导生产安全事故调查处理，督促事故查处和责任追究落实情况。</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1</w:t>
      </w:r>
      <w:r>
        <w:rPr>
          <w:rFonts w:hint="eastAsia"/>
          <w:color w:val="000000"/>
        </w:rPr>
        <w:t>）新区城市管理和综合执法局：负责协调事故区域市政工程的抢险、抢修工作；督促办事处配合清理疏通道路雨水篦子；组织协调清除阻碍道路交通倒伏的树木和路灯、广告牌等设施；负责垃圾填埋场生产安全事故应急管理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2</w:t>
      </w:r>
      <w:r>
        <w:rPr>
          <w:rFonts w:hint="eastAsia"/>
          <w:color w:val="000000"/>
        </w:rPr>
        <w:t>）新区政务服务数据管理局：落实安全生产应急管理制度，结合工作实际对行政服务大厅、政务云平台和大数据机房等重要场所进行全面安全检查，对存在的风险点进行专项排查。完成市政务服务数据管理局及新区管委会交办的其他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3</w:t>
      </w:r>
      <w:r>
        <w:rPr>
          <w:rFonts w:hint="eastAsia"/>
          <w:color w:val="000000"/>
        </w:rPr>
        <w:t>）新区城市更新和土地整备局：负责督促城市更新、土地整备项目实施单位应急处置工作。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4</w:t>
      </w:r>
      <w:r>
        <w:rPr>
          <w:rFonts w:hint="eastAsia"/>
          <w:color w:val="000000"/>
        </w:rPr>
        <w:t>）新区群团工作部：依法参加生产安全事故和职业危害事故的调查处理，向有关部门提出处理意见；负责协调志愿者参与协助生产安全事故的应急处置工作。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5</w:t>
      </w:r>
      <w:r>
        <w:rPr>
          <w:rFonts w:hint="eastAsia"/>
          <w:color w:val="000000"/>
        </w:rPr>
        <w:t>）新区机关事务管理中心：根据事故处置工作需要做好应急处置相关后勤保障工作。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6</w:t>
      </w:r>
      <w:r>
        <w:rPr>
          <w:rFonts w:hint="eastAsia"/>
          <w:color w:val="000000"/>
        </w:rPr>
        <w:t>）新区建筑工务署：负责所管辖在建工程安全生产应急管理工作；安全形势紧急时，督促所辖施工单位暂停作业，及时组织危险区域人员疏散、撤离；协调配合开展应急处置工作。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7</w:t>
      </w:r>
      <w:r>
        <w:rPr>
          <w:rFonts w:hint="eastAsia"/>
          <w:color w:val="000000"/>
        </w:rPr>
        <w:t>）市规划和自然资源局大鹏管理局：负责辖区规划和自然资源领域安全生产监督管理及应急处置协调工作，协助相关部门疏散、转移危险区域的人员。</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w:t>
      </w:r>
      <w:r>
        <w:rPr>
          <w:color w:val="000000"/>
        </w:rPr>
        <w:t>8</w:t>
      </w:r>
      <w:r>
        <w:rPr>
          <w:rFonts w:hint="eastAsia"/>
          <w:color w:val="000000"/>
        </w:rPr>
        <w:t>）市生态环境局大鹏管理局：负责组织生产安全事故次生突发环境事件的应急处置，协助市生态环境局指导环境修复、生态修复等工作；做好受污染环境应急监测工作，及时控制污染物扩散、消除危害。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w:t>
      </w:r>
      <w:r>
        <w:rPr>
          <w:color w:val="000000"/>
        </w:rPr>
        <w:t>9</w:t>
      </w:r>
      <w:r>
        <w:rPr>
          <w:rFonts w:hint="eastAsia"/>
          <w:color w:val="000000"/>
        </w:rPr>
        <w:t>）市交通运输局大鹏管理局：负责组织、指导新区港口、码头、公共交通、危险货物道路运输从业单位的安全生产应急管理工作；负责协调应急处置工作所必需的交通运输保障，做好抢险物资和人员输送工作；市政交通道路受损时，及时抢修损毁的管养市政道路、桥梁，及时修复、加固或拆除存在安全隐患或已损坏的管养市政道路设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20</w:t>
      </w:r>
      <w:r>
        <w:rPr>
          <w:rFonts w:hint="eastAsia"/>
          <w:color w:val="000000"/>
        </w:rPr>
        <w:t>）市公安局大鹏分局：负责生产安全事故危险区域内外警戒和封锁，做好现场安全保卫和维护治安秩序等工作；协助有关部门组织受灾群众安全疏散、撤离、转移和安置工作；协助相关事故的调查处理。</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21</w:t>
      </w:r>
      <w:r>
        <w:rPr>
          <w:rFonts w:hint="eastAsia"/>
          <w:color w:val="000000"/>
        </w:rPr>
        <w:t>）市公安局交通警察支队大鹏大队：</w:t>
      </w:r>
      <w:bookmarkStart w:id="132" w:name="_Hlk87113982"/>
      <w:r>
        <w:rPr>
          <w:rFonts w:hint="eastAsia"/>
          <w:color w:val="000000"/>
        </w:rPr>
        <w:t>负责组织、指导社会经营性停车场的安全生产应急管理工作</w:t>
      </w:r>
      <w:bookmarkStart w:id="133" w:name="_Hlk87287618"/>
      <w:r>
        <w:rPr>
          <w:rFonts w:hint="eastAsia"/>
          <w:color w:val="000000"/>
        </w:rPr>
        <w:t>；负责</w:t>
      </w:r>
      <w:bookmarkEnd w:id="133"/>
      <w:r>
        <w:rPr>
          <w:rFonts w:hint="eastAsia"/>
          <w:color w:val="000000"/>
        </w:rPr>
        <w:t>事故现场区域周边道路的交通管制、交通疏导分流，以及交通疏导信息的播发工作，禁止无关车辆进入危险区域；负责</w:t>
      </w:r>
      <w:r>
        <w:rPr>
          <w:color w:val="000000"/>
        </w:rPr>
        <w:t>协调</w:t>
      </w:r>
      <w:r>
        <w:rPr>
          <w:rFonts w:hint="eastAsia"/>
          <w:color w:val="000000"/>
        </w:rPr>
        <w:t>通往事故现场区域高速公路的交通管制、交通疏导分流，以及交通疏导信息的播发工作，保障救援道路的畅通；配合相关部门组织受灾群众疏散等工作。</w:t>
      </w:r>
      <w:bookmarkEnd w:id="132"/>
      <w:bookmarkStart w:id="134" w:name="_Hlk87287794"/>
    </w:p>
    <w:bookmarkEnd w:id="134"/>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22</w:t>
      </w:r>
      <w:r>
        <w:rPr>
          <w:rFonts w:hint="eastAsia"/>
          <w:color w:val="000000"/>
        </w:rPr>
        <w:t>）市市场监督管理局大鹏监管局：协调特种设备专家提出事故中涉及特种设备的应急处置方案，为生产安全事故中有关特种设备的应急处置工作提供技术支持；协调特种设备事故应急救援工作和调查处理。</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23</w:t>
      </w:r>
      <w:r>
        <w:rPr>
          <w:rFonts w:hint="eastAsia"/>
          <w:color w:val="000000"/>
        </w:rPr>
        <w:t>）市社会保险基金管理局大鹏分局：负责工伤员工的工伤认定以及核发已参保工伤员工的工伤保险待遇；配合有关部门做好事故善后处理工作。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24</w:t>
      </w:r>
      <w:r>
        <w:rPr>
          <w:rFonts w:hint="eastAsia"/>
          <w:color w:val="000000"/>
        </w:rPr>
        <w:t>）大鹏供电局：负责组织实施管辖范围内受生产安全事故影响电网的恢复及公用电力设备抢修工作</w:t>
      </w:r>
      <w:r>
        <w:rPr>
          <w:rFonts w:hint="default"/>
          <w:color w:val="000000"/>
        </w:rPr>
        <w:t>，</w:t>
      </w:r>
      <w:r>
        <w:rPr>
          <w:rFonts w:hint="eastAsia"/>
          <w:color w:val="000000"/>
        </w:rPr>
        <w:t>为事故应急救援提供电力保障；组织管辖范围内电力设备的停电及事后恢复工作。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w:t>
      </w:r>
      <w:r>
        <w:rPr>
          <w:color w:val="000000"/>
        </w:rPr>
        <w:t>25</w:t>
      </w:r>
      <w:r>
        <w:rPr>
          <w:rFonts w:hint="eastAsia"/>
          <w:color w:val="000000"/>
        </w:rPr>
        <w:t>）深圳市大鹏新区消防救援大队、</w:t>
      </w:r>
      <w:bookmarkStart w:id="135" w:name="_Hlk87288091"/>
      <w:r>
        <w:rPr>
          <w:rFonts w:hint="eastAsia"/>
          <w:color w:val="000000"/>
        </w:rPr>
        <w:t>深圳市消防救援支队大亚湾特勤大队</w:t>
      </w:r>
      <w:bookmarkEnd w:id="135"/>
      <w:r>
        <w:rPr>
          <w:rFonts w:hint="eastAsia"/>
          <w:color w:val="000000"/>
        </w:rPr>
        <w:t>、深圳市消防救援支队水上大队、深圳海警局大鹏工作站：负责组织人员搜救、火灾扑救和抢险救灾工作，会同行业专业抢险队伍进行现场应急抢险工作，组织灭灾和事故后的洗消工作。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26</w:t>
      </w:r>
      <w:r>
        <w:rPr>
          <w:rFonts w:hint="eastAsia"/>
          <w:color w:val="000000"/>
        </w:rPr>
        <w:t>）各办事处（葵涌、大鹏、南澳）：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按照属地管理原则，做好辖区内应急队伍建设及应急物资、装备储备工作，负责组织协调应急救援后勤保障、善后处置、事后恢复等工作；负责依法指挥、组织、协调本辖区内生产安全事故的应急救援和事故处置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27</w:t>
      </w:r>
      <w:r>
        <w:rPr>
          <w:rFonts w:hint="eastAsia"/>
          <w:color w:val="000000"/>
        </w:rPr>
        <w:t>）事发单位：生产安全事故发生时，事发单位应立即启动本单位应急预案，按照规定向事发地的办事处、</w:t>
      </w:r>
      <w:r>
        <w:rPr>
          <w:color w:val="000000"/>
        </w:rPr>
        <w:t>行业主管部</w:t>
      </w:r>
      <w:r>
        <w:rPr>
          <w:rFonts w:hint="eastAsia"/>
          <w:color w:val="000000"/>
        </w:rPr>
        <w:t>门、新区应急管理局上报事故信息，并及时通报可能受到事故危害的单位和居民；按照现场抢险指挥机构的要求，提供应急处置相关资料，参与事故抢险、救援和抢修等工作。相关涉事周边单位应协同应对，采取有效措施消除或减轻事故危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w:t>
      </w:r>
      <w:r>
        <w:rPr>
          <w:color w:val="000000"/>
        </w:rPr>
        <w:t>28</w:t>
      </w:r>
      <w:r>
        <w:rPr>
          <w:rFonts w:hint="eastAsia"/>
          <w:color w:val="000000"/>
        </w:rPr>
        <w:t>）其他成员单位：按本部门（单位）工作职责承担相应的应急处置工作。</w:t>
      </w:r>
    </w:p>
    <w:bookmarkEnd w:id="127"/>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136" w:name="_Toc5603"/>
      <w:bookmarkStart w:id="137" w:name="_Toc27745370"/>
      <w:bookmarkStart w:id="138" w:name="_Toc8444"/>
      <w:bookmarkStart w:id="139" w:name="_Toc42857114"/>
      <w:bookmarkStart w:id="140" w:name="_Toc31832"/>
      <w:bookmarkStart w:id="141" w:name="_Toc87345185"/>
      <w:r>
        <w:rPr>
          <w:rFonts w:hint="eastAsia" w:hAnsi="楷体"/>
          <w:color w:val="000000"/>
        </w:rPr>
        <w:t>2.</w:t>
      </w:r>
      <w:r>
        <w:rPr>
          <w:rFonts w:hAnsi="楷体"/>
          <w:color w:val="000000"/>
        </w:rPr>
        <w:t>4</w:t>
      </w:r>
      <w:r>
        <w:rPr>
          <w:rFonts w:hint="eastAsia" w:hAnsi="楷体"/>
          <w:color w:val="000000"/>
        </w:rPr>
        <w:t xml:space="preserve"> </w:t>
      </w:r>
      <w:bookmarkEnd w:id="128"/>
      <w:r>
        <w:rPr>
          <w:rFonts w:hint="eastAsia" w:hAnsi="楷体"/>
          <w:color w:val="000000"/>
        </w:rPr>
        <w:t>现场指挥部</w:t>
      </w:r>
      <w:bookmarkEnd w:id="136"/>
      <w:bookmarkEnd w:id="137"/>
      <w:bookmarkEnd w:id="138"/>
      <w:bookmarkEnd w:id="139"/>
      <w:bookmarkEnd w:id="140"/>
      <w:bookmarkEnd w:id="141"/>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42" w:name="_Toc87345186"/>
      <w:bookmarkStart w:id="143" w:name="_Hlk79586237"/>
      <w:r>
        <w:rPr>
          <w:rFonts w:hint="eastAsia"/>
          <w:color w:val="000000"/>
        </w:rPr>
        <w:t>2.</w:t>
      </w:r>
      <w:r>
        <w:rPr>
          <w:color w:val="000000"/>
        </w:rPr>
        <w:t>4</w:t>
      </w:r>
      <w:r>
        <w:rPr>
          <w:rFonts w:hint="eastAsia"/>
          <w:color w:val="000000"/>
        </w:rPr>
        <w:t>.1 现场指挥部与现场指挥官</w:t>
      </w:r>
      <w:bookmarkEnd w:id="142"/>
    </w:p>
    <w:bookmarkEnd w:id="143"/>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（1）</w:t>
      </w:r>
      <w:r>
        <w:rPr>
          <w:rFonts w:hint="eastAsia"/>
          <w:color w:val="000000"/>
        </w:rPr>
        <w:t>根据应急处置工作需要和新区有关应急预案，生产安全事故应急指挥部牵头，事发地办事处配合，成立生产安全事故现场指挥部，统一指挥和协调现场应急处置工作。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（2）</w:t>
      </w:r>
      <w:r>
        <w:rPr>
          <w:rFonts w:hint="eastAsia"/>
          <w:color w:val="000000"/>
        </w:rPr>
        <w:t>现场指挥部实行现场指挥官负责制。现场指挥官有权决定现场处置方案，指挥调度现场应急救援队伍和应急资源。现场指挥官由</w:t>
      </w:r>
      <w:r>
        <w:rPr>
          <w:rFonts w:hint="default"/>
          <w:color w:val="000000"/>
        </w:rPr>
        <w:t>相关</w:t>
      </w:r>
      <w:r>
        <w:rPr>
          <w:rFonts w:hint="eastAsia"/>
          <w:color w:val="000000"/>
        </w:rPr>
        <w:t>行业</w:t>
      </w:r>
      <w:r>
        <w:rPr>
          <w:rFonts w:hint="default"/>
          <w:color w:val="000000"/>
        </w:rPr>
        <w:t>领域</w:t>
      </w:r>
      <w:r>
        <w:rPr>
          <w:rFonts w:hint="eastAsia"/>
          <w:color w:val="000000"/>
        </w:rPr>
        <w:t>主管部门</w:t>
      </w:r>
      <w:r>
        <w:rPr>
          <w:rFonts w:hint="default"/>
          <w:color w:val="000000"/>
        </w:rPr>
        <w:t>主要</w:t>
      </w:r>
      <w:r>
        <w:rPr>
          <w:rFonts w:hint="eastAsia"/>
          <w:color w:val="000000"/>
        </w:rPr>
        <w:t>负责人</w:t>
      </w:r>
      <w:r>
        <w:rPr>
          <w:rFonts w:hint="default"/>
          <w:color w:val="000000"/>
        </w:rPr>
        <w:t>兼任</w:t>
      </w:r>
      <w:r>
        <w:rPr>
          <w:rFonts w:hint="eastAsia"/>
          <w:color w:val="000000"/>
        </w:rPr>
        <w:t>或</w:t>
      </w:r>
      <w:r>
        <w:rPr>
          <w:rFonts w:hint="default"/>
          <w:color w:val="000000"/>
        </w:rPr>
        <w:t>由应急</w:t>
      </w:r>
      <w:r>
        <w:rPr>
          <w:rFonts w:hint="eastAsia"/>
          <w:color w:val="000000"/>
        </w:rPr>
        <w:t>指挥部指定人员担任。</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（3）</w:t>
      </w:r>
      <w:r>
        <w:rPr>
          <w:rFonts w:hint="eastAsia"/>
          <w:color w:val="000000"/>
        </w:rPr>
        <w:t>现场副指挥官由</w:t>
      </w:r>
      <w:r>
        <w:rPr>
          <w:rFonts w:hint="default"/>
          <w:color w:val="000000"/>
        </w:rPr>
        <w:t>相关</w:t>
      </w:r>
      <w:r>
        <w:rPr>
          <w:rFonts w:hint="eastAsia"/>
          <w:color w:val="000000"/>
        </w:rPr>
        <w:t>行业</w:t>
      </w:r>
      <w:r>
        <w:rPr>
          <w:rFonts w:hint="default"/>
          <w:color w:val="000000"/>
        </w:rPr>
        <w:t>领域</w:t>
      </w:r>
      <w:r>
        <w:rPr>
          <w:rFonts w:hint="eastAsia"/>
          <w:color w:val="000000"/>
        </w:rPr>
        <w:t>主管部门分管负责人、消防救援部门负责人、事发地办事处分管负责人担任。其中，</w:t>
      </w:r>
      <w:r>
        <w:rPr>
          <w:rFonts w:hint="default"/>
          <w:color w:val="000000"/>
        </w:rPr>
        <w:t>相关</w:t>
      </w:r>
      <w:r>
        <w:rPr>
          <w:rFonts w:hint="eastAsia"/>
          <w:color w:val="000000"/>
        </w:rPr>
        <w:t>行业主管部门分管负责人负责协调行业领域的应急资源和力量参与处置工作；消防救援部门负责人负责指挥现场救援处置工作；事发地办事处分管负责人负责组织本辖区有关应急资源参与应急处置工作。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（4）</w:t>
      </w:r>
      <w:r>
        <w:rPr>
          <w:rFonts w:hint="eastAsia"/>
          <w:color w:val="000000"/>
        </w:rPr>
        <w:t>与事故有关的各部门（单位），应当主动向现场指挥部和参与事故处置的有关部门（单位）提供与应急处置有关的信息资料，为实施应急处置工作提供各种便利条件。</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（5）</w:t>
      </w:r>
      <w:r>
        <w:rPr>
          <w:rFonts w:hint="eastAsia"/>
          <w:color w:val="000000"/>
        </w:rPr>
        <w:t>同时，如需要调集武警部队、民兵预备役等驻大鹏新区各部队参与现场救援的，部队负责人也列为现场指挥部的副指挥官。</w:t>
      </w:r>
    </w:p>
    <w:p>
      <w:pPr>
        <w:kinsoku/>
        <w:overflowPunct w:val="0"/>
        <w:topLinePunct/>
        <w:autoSpaceDE w:val="0"/>
        <w:autoSpaceDN w:val="0"/>
        <w:adjustRightInd w:val="0"/>
        <w:snapToGrid w:val="0"/>
        <w:spacing w:beforeLines="0" w:afterLines="0" w:line="560" w:lineRule="exact"/>
        <w:ind w:firstLine="664"/>
        <w:rPr>
          <w:color w:val="000000"/>
        </w:rPr>
      </w:pPr>
      <w:r>
        <w:rPr>
          <w:color w:val="000000"/>
        </w:rPr>
        <w:t>（6）</w:t>
      </w:r>
      <w:r>
        <w:rPr>
          <w:rFonts w:hint="eastAsia"/>
          <w:color w:val="000000"/>
        </w:rPr>
        <w:t>现场指挥部下设综合协调组、应急专家组、抢险救灾组、治安疏导组、医疗卫生组、舆情应对组、交通运输组、后勤保障组、环境监测组、涉外联络组、调查评估组、善后处理组共12个工作组，各工作组组长由现场指挥官指定参与抢险救援部门（单位）的现场负责人担任。现场指挥部可根据应急救援需要增减应急工作组。</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大鹏新区生产安全事故现场指挥部设置图见附件</w:t>
      </w:r>
      <w:r>
        <w:rPr>
          <w:rFonts w:hint="default"/>
          <w:color w:val="000000"/>
        </w:rPr>
        <w:t>2</w:t>
      </w:r>
      <w:r>
        <w:rPr>
          <w:rFonts w:hint="eastAsia"/>
          <w:color w:val="000000"/>
        </w:rPr>
        <w:t>。</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44" w:name="_Toc87345187"/>
      <w:r>
        <w:rPr>
          <w:rFonts w:hint="eastAsia"/>
          <w:color w:val="000000"/>
        </w:rPr>
        <w:t>2.4.</w:t>
      </w:r>
      <w:r>
        <w:rPr>
          <w:color w:val="000000"/>
        </w:rPr>
        <w:t>2</w:t>
      </w:r>
      <w:r>
        <w:rPr>
          <w:rFonts w:hint="eastAsia"/>
          <w:color w:val="000000"/>
        </w:rPr>
        <w:t xml:space="preserve"> 现场指挥部职责</w:t>
      </w:r>
      <w:bookmarkEnd w:id="144"/>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现场指挥部根据应急指挥部的指令，指挥协调以下具体工作：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（1）根据现场救援工作需要，成立应急工作组，指挥各部门参与事故救援；</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（2）组织制订应急救援和防止事故引发次生灾害的方案，向各应急工作组下达工作任务；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（3）督促各应急工作组按照工作任务制订工作方案并实施，接受各工作组的工作汇报；</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（4）负责现场处置沟通协调、督查督办、信息报送，材料汇总等综合工作；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（5）针对事故引发或可能引发的次生灾害（如环境污染），适时通知与事发地相邻的其他区有关部门；</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（6）根据处置需要，决定依法征用有关单位和个人的设备、设施、场地、交通工具和其他物资；</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（7）及时向新区应急委、应急指挥部报告应急救援处置、事态评估情况和工作建议，落实新区管委会有关决定事项和新区领导批示、指示；</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（8）必要时，提请应急指挥部按报批程序请求驻新区部队参加应急救援行动；</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（9）组织现场指挥部的会务、政务活动等。</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145" w:name="_Toc87345188"/>
      <w:r>
        <w:rPr>
          <w:rFonts w:hint="eastAsia" w:hAnsi="楷体"/>
          <w:color w:val="000000"/>
        </w:rPr>
        <w:t>2.</w:t>
      </w:r>
      <w:r>
        <w:rPr>
          <w:rFonts w:hAnsi="楷体"/>
          <w:color w:val="000000"/>
        </w:rPr>
        <w:t>5</w:t>
      </w:r>
      <w:r>
        <w:rPr>
          <w:rFonts w:hint="eastAsia" w:hAnsi="楷体"/>
          <w:color w:val="000000"/>
        </w:rPr>
        <w:t xml:space="preserve"> 应急救援队伍及职责</w:t>
      </w:r>
      <w:bookmarkEnd w:id="145"/>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color w:val="000000"/>
        </w:rPr>
      </w:pPr>
      <w:bookmarkStart w:id="146" w:name="_Toc87345189"/>
      <w:r>
        <w:rPr>
          <w:rFonts w:hint="eastAsia"/>
          <w:color w:val="000000"/>
        </w:rPr>
        <w:t>2.</w:t>
      </w:r>
      <w:r>
        <w:rPr>
          <w:color w:val="000000"/>
        </w:rPr>
        <w:t>5</w:t>
      </w:r>
      <w:r>
        <w:rPr>
          <w:rFonts w:hint="eastAsia"/>
          <w:color w:val="000000"/>
        </w:rPr>
        <w:t>.1 应急救援队伍组织</w:t>
      </w:r>
      <w:bookmarkEnd w:id="146"/>
    </w:p>
    <w:p>
      <w:pPr>
        <w:kinsoku/>
        <w:overflowPunct w:val="0"/>
        <w:topLinePunct/>
        <w:autoSpaceDE w:val="0"/>
        <w:autoSpaceDN w:val="0"/>
        <w:adjustRightInd w:val="0"/>
        <w:snapToGrid w:val="0"/>
        <w:spacing w:beforeLines="0" w:afterLines="0" w:line="560" w:lineRule="exact"/>
        <w:ind w:firstLine="664"/>
        <w:rPr>
          <w:color w:val="000000"/>
        </w:rPr>
      </w:pPr>
      <w:r>
        <w:rPr>
          <w:color w:val="000000"/>
        </w:rPr>
        <w:t>（1）</w:t>
      </w:r>
      <w:r>
        <w:rPr>
          <w:rFonts w:hint="eastAsia"/>
          <w:color w:val="000000"/>
        </w:rPr>
        <w:t>生产安全事故应急救援队伍主要包括综合应急救援队伍、专业应急救援队伍、企业应急救援队伍、志愿者应急救援队伍</w:t>
      </w:r>
      <w:r>
        <w:rPr>
          <w:color w:val="000000"/>
        </w:rPr>
        <w:t>；</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（2）</w:t>
      </w:r>
      <w:r>
        <w:rPr>
          <w:rFonts w:hint="eastAsia"/>
          <w:color w:val="000000"/>
        </w:rPr>
        <w:t>综合应急救援队伍主要依托深圳市大鹏新区消防救援大队、深圳市消防救援支队大亚湾特勤大队、深圳市消防救援支队水上大队、深圳海警局大鹏工作站，是生产安全事故应急救援的主力；</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（3）</w:t>
      </w:r>
      <w:r>
        <w:rPr>
          <w:rFonts w:hint="eastAsia"/>
          <w:color w:val="000000"/>
        </w:rPr>
        <w:t>专业应急救援队伍由新区应急指挥部组织建立，是各企事业单位生产安全事故应急救援的骨干；</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color w:val="000000"/>
        </w:rPr>
        <w:t>（4）</w:t>
      </w:r>
      <w:r>
        <w:rPr>
          <w:rFonts w:hint="eastAsia"/>
          <w:color w:val="000000"/>
        </w:rPr>
        <w:t>企业应急救援队伍由各企业根据企业特点自行组建，是企业事故应急救援的基础力量；</w:t>
      </w:r>
    </w:p>
    <w:p>
      <w:pPr>
        <w:kinsoku/>
        <w:overflowPunct w:val="0"/>
        <w:topLinePunct/>
        <w:autoSpaceDE w:val="0"/>
        <w:autoSpaceDN w:val="0"/>
        <w:adjustRightInd w:val="0"/>
        <w:snapToGrid w:val="0"/>
        <w:spacing w:beforeLines="0" w:afterLines="0" w:line="560" w:lineRule="exact"/>
        <w:ind w:firstLine="664"/>
        <w:rPr>
          <w:color w:val="000000"/>
        </w:rPr>
      </w:pPr>
      <w:r>
        <w:rPr>
          <w:color w:val="000000"/>
        </w:rPr>
        <w:t>（5）</w:t>
      </w:r>
      <w:r>
        <w:rPr>
          <w:rFonts w:hint="eastAsia"/>
          <w:color w:val="000000"/>
        </w:rPr>
        <w:t>志愿者应急救援队伍由有相关知识、经验和资质的志愿者组成，是生产安全事故应急救援的补充力量。</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color w:val="000000"/>
        </w:rPr>
      </w:pPr>
      <w:bookmarkStart w:id="147" w:name="_Toc87345190"/>
      <w:r>
        <w:rPr>
          <w:rFonts w:hint="eastAsia"/>
          <w:color w:val="000000"/>
        </w:rPr>
        <w:t>2.</w:t>
      </w:r>
      <w:r>
        <w:rPr>
          <w:color w:val="000000"/>
        </w:rPr>
        <w:t>5</w:t>
      </w:r>
      <w:r>
        <w:rPr>
          <w:rFonts w:hint="eastAsia"/>
          <w:color w:val="000000"/>
        </w:rPr>
        <w:t>.2 应急救援队职责</w:t>
      </w:r>
      <w:bookmarkEnd w:id="147"/>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（1）综合应急救援队伍</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负责火灾扑救、人员搜救和事故现场清理，控制危险源，防止事故扩大及次生灾害发生，承担生产安全事故综合应急救援任务。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（2）专业应急救援队伍</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各专业应急救援队伍按照各自应急救援队伍的职责开展危险化学品、环境污染、交通、卫生、燃气、建筑工程、渔业、通信保障、电力、给排水等专业救援任务处置工作，并提供专业技术支持；参与应急演练，不断提高队伍的实战能力；加强应急救援装备、器材和物资的储备和管理，保持其性能和状态良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（3）企业应急救援队伍</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负责本单位事故的先期处置和应急救援工作，配合综合应急救援队伍、专业应急救援队伍开展抢险救援；建立预防检查责任制，定期进行预防性检查，消除事故隐患，并建立预防检查档案；按照编制的事故应急预案，定期组织演练。</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（4）志愿者应急救援队伍</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参与防灾避险、疏散安置、急救技能等应急知识的宣传、教育和普及工作，参与生产安全事故的信息报告、抢险救援、卫生防疫、群众安置、设施抢修和心理疏导等工作。</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color w:val="000000"/>
        </w:rPr>
      </w:pPr>
      <w:bookmarkStart w:id="148" w:name="_Toc87345191"/>
      <w:r>
        <w:rPr>
          <w:rFonts w:hint="eastAsia"/>
          <w:color w:val="000000"/>
        </w:rPr>
        <w:t>2.</w:t>
      </w:r>
      <w:r>
        <w:rPr>
          <w:color w:val="000000"/>
        </w:rPr>
        <w:t>5</w:t>
      </w:r>
      <w:r>
        <w:rPr>
          <w:rFonts w:hint="eastAsia"/>
          <w:color w:val="000000"/>
        </w:rPr>
        <w:t>.3 应急工作小组职责</w:t>
      </w:r>
      <w:bookmarkEnd w:id="148"/>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综合协调组。由应急指挥部指定行业主管部门牵头，新区有关部门（单位），涉事单位配合成立。主要职责是统筹组织生产安全事故现场应急救援的综合协调工作；协助现场指挥官做好现场指挥部的开设和撤离工作；负责应急指挥部指令的接收与转发，做好现场指挥部会议管理工作，做好会议记录以及对外发布文件的草拟工作；承担现场指挥部的值守工作，收集、汇总现场处置工作情况，编辑应急救援大事记，编制信息简报并上报；负责调配新区生产安全事故应急力量和资源，向应急指挥部请求应急支援；组织做好现场处置工作的总结评估，提出应急预案修改建议；做好应急救援工作文件、影像资料的搜集、整理、保管和归档等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应急专家组。由新区应急管理局牵头，新区有关部门（单位）选派的应急专家配合成立，主要职责是对事故发展趋势、救援方案、处置方法等进行分析、研判，为应急抢险救援行动的决策、指挥提供技术支持；参与生产安全事故调查和应急处置工作评估。</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（3）抢险救灾组。由</w:t>
      </w:r>
      <w:r>
        <w:rPr>
          <w:color w:val="000000"/>
        </w:rPr>
        <w:t>深圳市</w:t>
      </w:r>
      <w:r>
        <w:rPr>
          <w:rFonts w:hint="eastAsia"/>
          <w:color w:val="000000"/>
        </w:rPr>
        <w:t>大鹏新区消防救援大队、深圳市消防救援支队大亚湾特勤大队牵头，行业主管部门以及事发地办事处等相关单位参与。主要职责是负责组织、指挥应急救援、火灾扑救、人员搜救、堵漏、排险、工程加固和清理现场等工作；对危险源有效处置，防止次生、衍生事故发生；为事故调查提供有关资料。</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（4）治安疏导组。由市公安局大鹏分局牵头，市公安局交通警察支队大鹏大队、</w:t>
      </w:r>
      <w:bookmarkStart w:id="149" w:name="_Hlk87116801"/>
      <w:r>
        <w:rPr>
          <w:rFonts w:hint="eastAsia"/>
          <w:color w:val="000000"/>
        </w:rPr>
        <w:t>盐田交警大队盐坝中队、</w:t>
      </w:r>
      <w:bookmarkEnd w:id="149"/>
      <w:r>
        <w:rPr>
          <w:rFonts w:hint="eastAsia"/>
          <w:color w:val="000000"/>
        </w:rPr>
        <w:t>事发地办事处及涉事单位等相关单位配合。组织警力对生产安全事故现场及周边地区实施警戒，维持治安秩序，实施交通管制，疏散和撤离受灾人员。</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5）医疗卫生组。由新区教育和卫生健康局牵头，各医疗机构等相关单位参与。主要职责是组织调配专业医疗救护机构、医务人员、医疗设备及器械等资源和力量，做好对事故受伤人员的救治和康复工作；做好事故现场的卫生防疫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（6）</w:t>
      </w:r>
      <w:bookmarkStart w:id="150" w:name="_Hlk87020642"/>
      <w:r>
        <w:rPr>
          <w:rFonts w:hint="eastAsia"/>
          <w:color w:val="000000"/>
        </w:rPr>
        <w:t>舆情</w:t>
      </w:r>
      <w:bookmarkEnd w:id="150"/>
      <w:r>
        <w:rPr>
          <w:rFonts w:hint="eastAsia"/>
          <w:color w:val="000000"/>
        </w:rPr>
        <w:t>应对组。由新区综合办公室牵头，新区应急管理局、新区政务服务数据管理局协助。新区综合办公室指导、协调相关部门和事发地办事处做好信息发布工作。主要职责是组织有关单位起草新闻稿、开展新闻报道、分阶段新闻发布以及统筹协调事发地办事处或相关部门的新闻发言人第一时间发布基本信息等工作，并做好舆情监测、研判和引导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7）后勤保障组。由属地办事处牵头，新区应急管理局、新区科技创新和经济服务局、新区发展和财政局、市交通运输局大鹏管理局、新区住房和建设局、新区水务局等相关单位参与。主要职责是根据生产安全事故处置工作需求，及时提供资金、物资、装备、食品、交通、供电、供水、供气和通讯等方面的后勤服务和资源保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（8）交通运输组。由市交通运输局大鹏管理局牵头，盐田交警大队盐坝中队</w:t>
      </w:r>
      <w:r>
        <w:rPr>
          <w:color w:val="000000"/>
        </w:rPr>
        <w:t>配合</w:t>
      </w:r>
      <w:r>
        <w:rPr>
          <w:rFonts w:hint="eastAsia"/>
          <w:color w:val="000000"/>
        </w:rPr>
        <w:t>，负责应急交通运输保障，组织运送救援人员、受灾人员、救援设备、救援物资等，协助交警部门保障道路运输通道畅通。</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（9）环境监测组。由市生态环境局大鹏管理局牵头，行业主管部门等相关单位参与。主要职责是对涉事区域进行环境</w:t>
      </w:r>
      <w:bookmarkStart w:id="151" w:name="_Hlk79596652"/>
      <w:r>
        <w:rPr>
          <w:rFonts w:hint="eastAsia"/>
          <w:color w:val="000000"/>
        </w:rPr>
        <w:t>监测</w:t>
      </w:r>
      <w:bookmarkEnd w:id="151"/>
      <w:r>
        <w:rPr>
          <w:rFonts w:hint="eastAsia"/>
          <w:color w:val="000000"/>
        </w:rPr>
        <w:t>工作，提出控制污染扩散的建议，防止发生环境污染次生灾害。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（10）涉外联络组。由新区综合办公室、统战和社会建设局依据职能分工，分别牵头涉及外籍人员或港澳台人员伤亡、失踪、被困等生产安全事故的协商或处理，属地办事处配合。</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11）调查评估组。由新区应急管理局牵头，行业主管部门、市公安局大鹏分局、新区群团工作部、事发地办事处等相关单位参与。主要职责是及时查明生产安全事故的发生经过和原因，总结事故处置工作的经验教训，制定改进措施，评估事故损失，提出奖惩建议。</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12）善后处置组。由事发地办事处牵头，相关行业的主管部门配合、新区群团工作部、新区统战和社会建设局等相关单位参与。主要职责是做好善后处置、灾后重建的总协调工作；做好善后抢险救援人员后勤（就餐住宿、会务安排、生活设施、人员安排等）保障工作；做好受灾群众、死难（失联）人员亲属信息登记、食宿接待和安抚疏导等善后工作；做好遇难者遗体的保存、处理和殡葬服务等善后工作；做好遇难、受灾人员和受损企业的经济补偿等善后工作；接受和管理社会各界捐赠；提供心理咨询辅导和司法援助；预防和解决因处置事故引发的矛盾和纠纷。</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应急指挥部可根据应急救援需要增加相关专业应急行动组；应急行动组负责人可根据实际处置工作需要，增减相关应急行动组的参与单位。</w:t>
      </w:r>
    </w:p>
    <w:bookmarkEnd w:id="129"/>
    <w:p>
      <w:pPr>
        <w:pStyle w:val="29"/>
        <w:kinsoku/>
        <w:overflowPunct w:val="0"/>
        <w:topLinePunct/>
        <w:autoSpaceDE w:val="0"/>
        <w:autoSpaceDN w:val="0"/>
        <w:adjustRightInd w:val="0"/>
        <w:snapToGrid w:val="0"/>
        <w:spacing w:beforeLines="0" w:after="0" w:afterLines="0" w:line="560" w:lineRule="exact"/>
        <w:ind w:firstLine="692" w:firstLineChars="200"/>
        <w:rPr>
          <w:rFonts w:hint="eastAsia" w:ascii="黑体" w:hAnsi="黑体" w:eastAsia="黑体"/>
          <w:color w:val="000000"/>
          <w:sz w:val="32"/>
        </w:rPr>
      </w:pPr>
      <w:bookmarkStart w:id="152" w:name="_Toc421778788"/>
      <w:bookmarkStart w:id="153" w:name="_Toc27745374"/>
      <w:bookmarkStart w:id="154" w:name="_Toc42857118"/>
      <w:bookmarkStart w:id="155" w:name="_Toc27353"/>
      <w:bookmarkStart w:id="156" w:name="_Toc25021"/>
      <w:bookmarkStart w:id="157" w:name="_Toc5973"/>
      <w:r>
        <w:rPr>
          <w:rFonts w:ascii="黑体" w:hAnsi="黑体" w:eastAsia="黑体"/>
          <w:color w:val="000000"/>
          <w:sz w:val="32"/>
        </w:rPr>
        <w:br w:type="page"/>
      </w:r>
      <w:bookmarkStart w:id="158" w:name="_Toc87345192"/>
      <w:r>
        <w:rPr>
          <w:rFonts w:hint="eastAsia" w:ascii="黑体" w:hAnsi="黑体" w:eastAsia="黑体"/>
          <w:color w:val="000000"/>
          <w:sz w:val="32"/>
        </w:rPr>
        <w:t>3</w:t>
      </w:r>
      <w:bookmarkEnd w:id="83"/>
      <w:bookmarkEnd w:id="84"/>
      <w:bookmarkEnd w:id="85"/>
      <w:r>
        <w:rPr>
          <w:rFonts w:hint="eastAsia" w:ascii="黑体" w:hAnsi="黑体" w:eastAsia="黑体"/>
          <w:color w:val="000000"/>
          <w:sz w:val="32"/>
        </w:rPr>
        <w:t xml:space="preserve"> </w:t>
      </w:r>
      <w:bookmarkEnd w:id="152"/>
      <w:r>
        <w:rPr>
          <w:rFonts w:hint="eastAsia" w:ascii="黑体" w:hAnsi="黑体" w:eastAsia="黑体"/>
          <w:color w:val="000000"/>
          <w:sz w:val="32"/>
        </w:rPr>
        <w:t>运行机制</w:t>
      </w:r>
      <w:bookmarkEnd w:id="153"/>
      <w:bookmarkEnd w:id="154"/>
      <w:bookmarkEnd w:id="155"/>
      <w:bookmarkEnd w:id="156"/>
      <w:bookmarkEnd w:id="157"/>
      <w:bookmarkEnd w:id="158"/>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159" w:name="_Toc27745375"/>
      <w:bookmarkStart w:id="160" w:name="_Toc12440"/>
      <w:bookmarkStart w:id="161" w:name="_Toc19111"/>
      <w:bookmarkStart w:id="162" w:name="_Toc87345193"/>
      <w:bookmarkStart w:id="163" w:name="_Toc42857119"/>
      <w:bookmarkStart w:id="164" w:name="_Toc30860"/>
      <w:bookmarkStart w:id="165" w:name="_Toc408494671"/>
      <w:bookmarkStart w:id="166" w:name="_Toc421778790"/>
      <w:r>
        <w:rPr>
          <w:rFonts w:hAnsi="楷体"/>
          <w:color w:val="000000"/>
        </w:rPr>
        <w:t>3.1</w:t>
      </w:r>
      <w:r>
        <w:rPr>
          <w:rFonts w:hint="eastAsia" w:hAnsi="楷体"/>
          <w:color w:val="000000"/>
        </w:rPr>
        <w:t xml:space="preserve"> </w:t>
      </w:r>
      <w:r>
        <w:rPr>
          <w:rFonts w:hAnsi="楷体"/>
          <w:color w:val="000000"/>
        </w:rPr>
        <w:t>预防</w:t>
      </w:r>
      <w:r>
        <w:rPr>
          <w:rFonts w:hint="eastAsia" w:hAnsi="楷体"/>
          <w:color w:val="000000"/>
        </w:rPr>
        <w:t>、监测与预警</w:t>
      </w:r>
      <w:bookmarkEnd w:id="159"/>
      <w:bookmarkEnd w:id="160"/>
      <w:bookmarkEnd w:id="161"/>
      <w:bookmarkEnd w:id="162"/>
      <w:bookmarkEnd w:id="163"/>
      <w:bookmarkEnd w:id="164"/>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67" w:name="_Toc87345194"/>
      <w:bookmarkStart w:id="168" w:name="_Toc27745376"/>
      <w:bookmarkStart w:id="169" w:name="_Toc23211"/>
      <w:bookmarkStart w:id="170" w:name="_Toc42857120"/>
      <w:r>
        <w:rPr>
          <w:rFonts w:hint="eastAsia"/>
          <w:color w:val="000000"/>
        </w:rPr>
        <w:t>3</w:t>
      </w:r>
      <w:r>
        <w:rPr>
          <w:color w:val="000000"/>
        </w:rPr>
        <w:t>.</w:t>
      </w:r>
      <w:r>
        <w:rPr>
          <w:rFonts w:hint="eastAsia"/>
          <w:color w:val="000000"/>
        </w:rPr>
        <w:t>1</w:t>
      </w:r>
      <w:r>
        <w:rPr>
          <w:color w:val="000000"/>
        </w:rPr>
        <w:t>.</w:t>
      </w:r>
      <w:r>
        <w:rPr>
          <w:rFonts w:hint="eastAsia"/>
          <w:color w:val="000000"/>
        </w:rPr>
        <w:t>1 预防</w:t>
      </w:r>
      <w:bookmarkEnd w:id="167"/>
      <w:bookmarkEnd w:id="168"/>
      <w:bookmarkEnd w:id="169"/>
      <w:bookmarkEnd w:id="170"/>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新区城市规划和发展建设应当充分考虑土地、人口、资源、环境、自然灾害和公共安全等因素，科学回避生产安全事故风险，统筹安排应对生产安全事故必需的基础设施、物资设备和人力资源，实现统筹规划、合理布局、综合利用、同步实施，努力提高城市的综合防灾减灾能力。</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新区城市生命线工程（对社会生活、生产有重大影响的交通、通信、供水、排水、供电、供气、输油等工程系统）等重要基础设施、重要防护单位、公共服务场所、居住小区、人员密集场所、应急避难场所等应当科学选址、优化布局，增强防灾抗灾能力；应当严格执行抗震设防要求，提高重要基础设施、人员密集场所的抗震设防标准；应当严格执行国家建设标准及技术规范，严把设计、施工、材料质量关，确保工程质量。运营与维护单位应当建立完善的日常安全管理制度。新区有关部门（单位）和各办事处应当加强安全监督检查。</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新区公共交通工具、公共场所和其他人员密集场所的经营单位或者管理单位应当制定生产安全事故应急预案，为交通工具和有关场所配备报警装置和必要的应急救援设备、设施，注明使用方法，并显著标明安全撤离的通道、路线，保持安全通道、出口的畅通。有关单位应当定期检测、维护其报警装置和应急救援设备、设施，使其处于良好状态，确保正常使用。</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新区应当建立安全生产监督管理、行政执法责任制，完善风险管控和隐患排查治理双重预防机制，认真分析安全风险大的行业领域和关键环节，建立完善安全生产风险分级管控和隐患排查治理体系，指导、监督、检查生产经营单位建立、健全和落实安全生产责任制，事故防范、隐患排查和整改，重大危险源辨识、评估、监控等制度，实现安全生产总体状况与新区经济社会发展同步协调。</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5）生产经营单位落实企业主体责任，强化安全风险辨识评估，落实安全风险防控措施，加强安全生产应急管理。根据有关法律、法规、规章和相关标准，结合本单位组织管理体系、生产规模和事故风险特点，确立本单位的应急预案体系，制定相应的应急预案，按照有关规定上报备案，并对生产经营场所及周边环境开展隐患排查，及时采取措施消除事故隐患，防止事故发生。</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71" w:name="_Toc20933"/>
      <w:bookmarkStart w:id="172" w:name="_Toc27745377"/>
      <w:bookmarkStart w:id="173" w:name="_Toc87345195"/>
      <w:bookmarkStart w:id="174" w:name="_Toc42857121"/>
      <w:r>
        <w:rPr>
          <w:rFonts w:hint="eastAsia"/>
          <w:color w:val="000000"/>
        </w:rPr>
        <w:t>3</w:t>
      </w:r>
      <w:r>
        <w:rPr>
          <w:color w:val="000000"/>
        </w:rPr>
        <w:t>.</w:t>
      </w:r>
      <w:r>
        <w:rPr>
          <w:rFonts w:hint="eastAsia"/>
          <w:color w:val="000000"/>
        </w:rPr>
        <w:t>1</w:t>
      </w:r>
      <w:r>
        <w:rPr>
          <w:color w:val="000000"/>
        </w:rPr>
        <w:t>.</w:t>
      </w:r>
      <w:r>
        <w:rPr>
          <w:rFonts w:hint="eastAsia"/>
          <w:color w:val="000000"/>
        </w:rPr>
        <w:t>2 监测</w:t>
      </w:r>
      <w:bookmarkEnd w:id="171"/>
      <w:bookmarkEnd w:id="172"/>
      <w:bookmarkEnd w:id="173"/>
      <w:bookmarkEnd w:id="174"/>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新区应急委统一协调各成员单位建立生产安全事故监测、报告体系，加强安全生产信息管理和综合利用，实现互联互通和资源共享，在各自的职责范围内发布安全生产监督检查信息，建立畅通的信息监测和通报体系，对重大安全隐患做到早发现、早预防、早整治、早解决。</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（2）新区生产安全事故应急指挥部成员单位应当按照各自职责，加强对安全生产、危险化学品、交通运输（含海、陆、空、水、铁路等）、消防火灾、人员密集场所、特种设备等的日常安全监管。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（3）新区管委会有关部门（单位）负责建立健全本部门重大危险源监控方法与程序，对重大事故隐患和重大危险源实施监控。</w:t>
      </w:r>
    </w:p>
    <w:bookmarkEnd w:id="165"/>
    <w:bookmarkEnd w:id="166"/>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75" w:name="_Toc408494672"/>
      <w:bookmarkStart w:id="176" w:name="_Toc421778791"/>
      <w:bookmarkStart w:id="177" w:name="_Toc42857122"/>
      <w:bookmarkStart w:id="178" w:name="_Toc5817"/>
      <w:bookmarkStart w:id="179" w:name="_Toc27745378"/>
      <w:bookmarkStart w:id="180" w:name="_Toc87345196"/>
      <w:r>
        <w:rPr>
          <w:rFonts w:hint="eastAsia"/>
          <w:color w:val="000000"/>
        </w:rPr>
        <w:t>3.1.3 预警</w:t>
      </w:r>
      <w:bookmarkEnd w:id="175"/>
      <w:bookmarkEnd w:id="176"/>
      <w:bookmarkEnd w:id="177"/>
      <w:bookmarkEnd w:id="178"/>
      <w:bookmarkEnd w:id="179"/>
      <w:bookmarkEnd w:id="180"/>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hint="eastAsia" w:ascii="仿宋_GB2312" w:eastAsia="仿宋_GB2312"/>
          <w:color w:val="000000"/>
          <w:sz w:val="32"/>
          <w:szCs w:val="32"/>
        </w:rPr>
        <w:t>3.1.3.1 预警级别</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根据生产安全事故可能造成的危害程度、紧急程度和发展态势，预警级别分为Ⅰ级、Ⅱ级、Ⅲ级和Ⅳ级，对应Ⅰ级（特别</w:t>
      </w:r>
      <w:bookmarkStart w:id="181" w:name="_Hlk23438337"/>
      <w:r>
        <w:rPr>
          <w:rFonts w:hint="eastAsia"/>
          <w:color w:val="000000"/>
        </w:rPr>
        <w:t>重</w:t>
      </w:r>
      <w:bookmarkEnd w:id="181"/>
      <w:r>
        <w:rPr>
          <w:rFonts w:hint="eastAsia"/>
          <w:color w:val="000000"/>
        </w:rPr>
        <w:t>大）、Ⅱ级（重大）、Ⅲ级（较大）和Ⅳ级（一般）生产安全事故，分别用红色、橙色、黄色、蓝色表示，采用不同预防对策。预警级别按照国家和广东省、深圳市制定的具体划分标准执行。</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生产安全事故即将发生或发生的可能性增大时，应急指挥部对生产安全事故信息进行评估，预测生产安全事故发生可能性的大小、影响范围和强度以及可能发生的生产安全事故级别。</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1.</w:t>
      </w:r>
      <w:r>
        <w:rPr>
          <w:rFonts w:ascii="仿宋_GB2312" w:eastAsia="仿宋_GB2312"/>
          <w:color w:val="000000"/>
          <w:sz w:val="32"/>
          <w:szCs w:val="32"/>
        </w:rPr>
        <w:t>3.</w:t>
      </w:r>
      <w:r>
        <w:rPr>
          <w:rFonts w:hint="eastAsia" w:ascii="仿宋_GB2312" w:eastAsia="仿宋_GB2312"/>
          <w:color w:val="000000"/>
          <w:sz w:val="32"/>
          <w:szCs w:val="32"/>
        </w:rPr>
        <w:t>2 预警信息发布</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新区管委会根据相关规定的权限和程序，通过大鹏新区政府在线、部门网站等发布。同时充分利用各种有效通信手段和传播媒介，如广播电台、电视台、报刊、手机短信、移动互联网应用（手机客户端、微博、微信等）、热线电话、户外LED显示屏、交通诱导屏、车载电视等发布预警信息；对特殊人群以及特殊场所和警报盲区，应当采取指定专人负责预警信息传递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182" w:name="_Hlk80027206"/>
      <w:r>
        <w:rPr>
          <w:rFonts w:hint="eastAsia"/>
          <w:color w:val="000000"/>
        </w:rPr>
        <w:t>预警信息发布的内容包括：</w:t>
      </w:r>
      <w:r>
        <w:rPr>
          <w:color w:val="000000"/>
        </w:rPr>
        <w:t>发布机关、发布时间、可能发生的</w:t>
      </w:r>
      <w:r>
        <w:rPr>
          <w:rFonts w:hint="eastAsia"/>
          <w:color w:val="000000"/>
        </w:rPr>
        <w:t>生产安全事故</w:t>
      </w:r>
      <w:r>
        <w:rPr>
          <w:color w:val="000000"/>
        </w:rPr>
        <w:t>类别、起始时间、可能影响范围、预警级别、警示事项、事态发展、相关措施、咨询电话等。</w:t>
      </w:r>
    </w:p>
    <w:bookmarkEnd w:id="182"/>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Ⅲ级以上生产安全事故预警信息，由应急指挥部向上级应急指挥机构提出发布建议，上级应急指挥机构根据同级人民政府授权发布。特殊情况下，上一级人民政府认为有必要发布的预警信息，可不受预警级别限制。</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Ⅳ级生产安全事故预警信息根据</w:t>
      </w:r>
      <w:bookmarkStart w:id="183" w:name="_Hlk79754574"/>
      <w:r>
        <w:rPr>
          <w:rFonts w:hint="eastAsia"/>
          <w:color w:val="000000"/>
        </w:rPr>
        <w:t>大鹏</w:t>
      </w:r>
      <w:bookmarkEnd w:id="183"/>
      <w:r>
        <w:rPr>
          <w:rFonts w:hint="eastAsia"/>
          <w:color w:val="000000"/>
        </w:rPr>
        <w:t>新区管委会授权，由生产安全事故应急指挥部予以发布，并同时报告大鹏新区应急指挥中心、深圳市应急指挥部办公室。</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1.</w:t>
      </w:r>
      <w:r>
        <w:rPr>
          <w:rFonts w:ascii="仿宋_GB2312" w:eastAsia="仿宋_GB2312"/>
          <w:color w:val="000000"/>
          <w:sz w:val="32"/>
          <w:szCs w:val="32"/>
        </w:rPr>
        <w:t>3.</w:t>
      </w:r>
      <w:r>
        <w:rPr>
          <w:rFonts w:hint="eastAsia" w:ascii="仿宋_GB2312" w:eastAsia="仿宋_GB2312"/>
          <w:color w:val="000000"/>
          <w:sz w:val="32"/>
          <w:szCs w:val="32"/>
        </w:rPr>
        <w:t xml:space="preserve">3 </w:t>
      </w:r>
      <w:r>
        <w:rPr>
          <w:rFonts w:ascii="仿宋_GB2312" w:eastAsia="仿宋_GB2312"/>
          <w:color w:val="000000"/>
          <w:sz w:val="32"/>
          <w:szCs w:val="32"/>
        </w:rPr>
        <w:t>预警</w:t>
      </w:r>
      <w:r>
        <w:rPr>
          <w:rFonts w:hint="eastAsia" w:ascii="仿宋_GB2312" w:eastAsia="仿宋_GB2312"/>
          <w:color w:val="000000"/>
          <w:sz w:val="32"/>
          <w:szCs w:val="32"/>
        </w:rPr>
        <w:t>响应措施</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发布预警信息后，应急指挥部及成员单位根据实际情况和分级负责的原则，依法采取以下措施：</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（1）公布信息接报和咨询电话，及时收集和上报有关信息，向社会公告采取的有关特定措施、避免和减轻危害的建议和劝告。及时对收集的信息进行分析，研判事态的发展，是否启动应急响应。</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（2）组织应急救援队伍和负有特定职责的人员进入待命状态，动员后备人员做好应急准备。</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（3）调集应急救援所需物资、装备、设备和工具，准备应急设施和室内外临时避险场所，确保其随时可以投入正常使用。</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（4）加强事发区域重点单位、重要部位和重要基础设施的安全保卫。确保交通、通信、供水、供电、供气、输油等公共设施的安全运行。</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（5）转移、疏散或撤离易受生产安全事故危害的人员并予以妥善安置，转移重要财产。</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（6）关闭或限制使用易受生产安全事故危害的场所，控制或限制容易导致危害扩大的公共场所的活动。</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（7）其他必要的防范性、保护性措施。</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1.</w:t>
      </w:r>
      <w:r>
        <w:rPr>
          <w:rFonts w:ascii="仿宋_GB2312" w:eastAsia="仿宋_GB2312"/>
          <w:color w:val="000000"/>
          <w:sz w:val="32"/>
          <w:szCs w:val="32"/>
        </w:rPr>
        <w:t>3.</w:t>
      </w:r>
      <w:r>
        <w:rPr>
          <w:rFonts w:hint="eastAsia" w:ascii="仿宋_GB2312" w:eastAsia="仿宋_GB2312"/>
          <w:color w:val="000000"/>
          <w:sz w:val="32"/>
          <w:szCs w:val="32"/>
        </w:rPr>
        <w:t xml:space="preserve">4 </w:t>
      </w:r>
      <w:r>
        <w:rPr>
          <w:rFonts w:ascii="仿宋_GB2312" w:eastAsia="仿宋_GB2312"/>
          <w:color w:val="000000"/>
          <w:sz w:val="32"/>
          <w:szCs w:val="32"/>
        </w:rPr>
        <w:t>预警</w:t>
      </w:r>
      <w:r>
        <w:rPr>
          <w:rFonts w:hint="eastAsia" w:ascii="仿宋_GB2312" w:eastAsia="仿宋_GB2312"/>
          <w:color w:val="000000"/>
          <w:sz w:val="32"/>
          <w:szCs w:val="32"/>
        </w:rPr>
        <w:t>信息的调整</w:t>
      </w:r>
      <w:r>
        <w:rPr>
          <w:rFonts w:ascii="仿宋_GB2312" w:eastAsia="仿宋_GB2312"/>
          <w:color w:val="000000"/>
          <w:sz w:val="32"/>
          <w:szCs w:val="32"/>
        </w:rPr>
        <w:t>和解除</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预警信息实行动态管理。当事故扩大或可能发生的事故级别预测会升级，预计现场应急救援力量无法有效消除事故险情，事故等级将升级至较大级别甚至是重、特大级别时，应急指挥部办公室应及时报告应急指挥部，向上级应急指挥机构申请调整预警级别并重新发布。</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有事实证明不可能发生生产安全事故或者危险已经解除的，由应急指挥部办公室按程序宣布解除预警信息，终止预警。</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184" w:name="_Toc87345197"/>
      <w:bookmarkStart w:id="185" w:name="_Toc7632"/>
      <w:bookmarkStart w:id="186" w:name="_Toc8156"/>
      <w:bookmarkStart w:id="187" w:name="_Toc421778792"/>
      <w:bookmarkStart w:id="188" w:name="_Toc10754"/>
      <w:bookmarkStart w:id="189" w:name="_Toc27745379"/>
      <w:bookmarkStart w:id="190" w:name="_Toc42857123"/>
      <w:r>
        <w:rPr>
          <w:rFonts w:hint="eastAsia" w:hAnsi="楷体"/>
          <w:color w:val="000000"/>
        </w:rPr>
        <w:t>3.2 应急处置与救援</w:t>
      </w:r>
      <w:bookmarkEnd w:id="184"/>
      <w:bookmarkEnd w:id="185"/>
      <w:bookmarkEnd w:id="186"/>
      <w:bookmarkEnd w:id="187"/>
      <w:bookmarkEnd w:id="188"/>
      <w:bookmarkEnd w:id="189"/>
      <w:bookmarkEnd w:id="190"/>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191" w:name="_Toc331453530"/>
      <w:bookmarkStart w:id="192" w:name="_Toc426382118"/>
      <w:bookmarkStart w:id="193" w:name="_Toc421778793"/>
      <w:bookmarkStart w:id="194" w:name="_Toc27745380"/>
      <w:bookmarkStart w:id="195" w:name="_Toc26344"/>
      <w:bookmarkStart w:id="196" w:name="_Toc87345198"/>
      <w:bookmarkStart w:id="197" w:name="_Toc42857124"/>
      <w:bookmarkStart w:id="198" w:name="_Toc110889697"/>
      <w:bookmarkStart w:id="199" w:name="_Toc110887231"/>
      <w:bookmarkStart w:id="200" w:name="_Toc120943037"/>
      <w:r>
        <w:rPr>
          <w:rFonts w:hint="eastAsia"/>
          <w:color w:val="000000"/>
        </w:rPr>
        <w:t>3.2.1 信息报告</w:t>
      </w:r>
      <w:bookmarkEnd w:id="191"/>
      <w:bookmarkEnd w:id="192"/>
      <w:bookmarkEnd w:id="193"/>
      <w:r>
        <w:rPr>
          <w:rFonts w:hint="eastAsia"/>
          <w:color w:val="000000"/>
        </w:rPr>
        <w:t>和共享</w:t>
      </w:r>
      <w:bookmarkEnd w:id="194"/>
      <w:bookmarkEnd w:id="195"/>
      <w:bookmarkEnd w:id="196"/>
      <w:bookmarkEnd w:id="197"/>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hint="eastAsia" w:ascii="仿宋_GB2312" w:eastAsia="仿宋_GB2312"/>
          <w:color w:val="000000"/>
          <w:sz w:val="32"/>
          <w:szCs w:val="32"/>
        </w:rPr>
        <w:t>3.2.</w:t>
      </w:r>
      <w:r>
        <w:rPr>
          <w:rFonts w:ascii="仿宋_GB2312" w:eastAsia="仿宋_GB2312"/>
          <w:color w:val="000000"/>
          <w:sz w:val="32"/>
          <w:szCs w:val="32"/>
        </w:rPr>
        <w:t>1.1</w:t>
      </w:r>
      <w:r>
        <w:rPr>
          <w:rFonts w:hint="eastAsia" w:ascii="仿宋_GB2312" w:eastAsia="仿宋_GB2312"/>
          <w:color w:val="000000"/>
          <w:sz w:val="32"/>
          <w:szCs w:val="32"/>
        </w:rPr>
        <w:t xml:space="preserve"> 信息报告</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（1）生产安全事故发生后，事发单位应及时向所在办事处和大鹏新区</w:t>
      </w:r>
      <w:bookmarkStart w:id="201" w:name="_Hlk87339773"/>
      <w:r>
        <w:rPr>
          <w:rFonts w:hint="eastAsia"/>
          <w:color w:val="000000"/>
        </w:rPr>
        <w:t>行业主管部门</w:t>
      </w:r>
      <w:bookmarkEnd w:id="201"/>
      <w:r>
        <w:rPr>
          <w:rFonts w:hint="eastAsia"/>
          <w:color w:val="000000"/>
        </w:rPr>
        <w:t>报告。</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（2）大鹏新区有关部门（单位）获悉生产安全事故信息时，应按照事故信息报告时限和程序要求，向</w:t>
      </w:r>
      <w:bookmarkStart w:id="202" w:name="_Hlk87339984"/>
      <w:r>
        <w:rPr>
          <w:rFonts w:hint="eastAsia"/>
          <w:color w:val="000000"/>
        </w:rPr>
        <w:t>应急指挥中心</w:t>
      </w:r>
      <w:bookmarkEnd w:id="202"/>
      <w:r>
        <w:rPr>
          <w:rFonts w:hint="eastAsia"/>
          <w:color w:val="000000"/>
        </w:rPr>
        <w:t>及上一级行政主管部门报告。</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hint="eastAsia" w:ascii="仿宋_GB2312" w:eastAsia="仿宋_GB2312"/>
          <w:color w:val="000000"/>
          <w:sz w:val="32"/>
          <w:szCs w:val="32"/>
        </w:rPr>
        <w:t>3.2.1.2 事故信息报告时限和程序</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（1）当发生一般（Ⅳ级）生产安全事故时，事发单位负责人，要立即向属地办事处、大鹏新区应急管理局及</w:t>
      </w:r>
      <w:bookmarkStart w:id="203" w:name="_Hlk87340025"/>
      <w:r>
        <w:rPr>
          <w:rFonts w:hint="eastAsia"/>
          <w:color w:val="000000"/>
        </w:rPr>
        <w:t>行业主管部门</w:t>
      </w:r>
      <w:bookmarkEnd w:id="203"/>
      <w:r>
        <w:rPr>
          <w:rFonts w:hint="eastAsia"/>
          <w:color w:val="000000"/>
        </w:rPr>
        <w:t>报告。</w:t>
      </w:r>
      <w:bookmarkStart w:id="204" w:name="_Hlk87112311"/>
      <w:r>
        <w:rPr>
          <w:rFonts w:hint="eastAsia"/>
          <w:color w:val="000000"/>
        </w:rPr>
        <w:t>属地办事处</w:t>
      </w:r>
      <w:bookmarkEnd w:id="204"/>
      <w:r>
        <w:rPr>
          <w:rFonts w:hint="eastAsia"/>
          <w:color w:val="000000"/>
        </w:rPr>
        <w:t>及行业主管部门在事故接报后30分钟内电话、60分钟内书面报告大鹏新区应急指挥中心和上级主管部门。大鹏新区应急指挥中心在一般生产安全事故接报后60分钟内电话、90分钟内书面报告市委、市政府总值班室及市应急指挥中心，同时将事故信息报告市安委办。</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（2）当较大（Ⅲ级）生产安全事故发生后，事发单位在事故发生后立即向事发地的办事处和行业主管部门报告。事发地的办事处接报后应在</w:t>
      </w:r>
      <w:r>
        <w:rPr>
          <w:color w:val="000000"/>
        </w:rPr>
        <w:t>2</w:t>
      </w:r>
      <w:r>
        <w:rPr>
          <w:rFonts w:hint="eastAsia"/>
          <w:color w:val="000000"/>
        </w:rPr>
        <w:t>0分钟内通过电话向大鹏新区总值班室报告事故简要情况</w:t>
      </w:r>
      <w:r>
        <w:rPr>
          <w:rFonts w:hint="default"/>
          <w:color w:val="000000"/>
        </w:rPr>
        <w:t>；</w:t>
      </w:r>
      <w:r>
        <w:rPr>
          <w:rFonts w:hint="eastAsia"/>
          <w:color w:val="000000"/>
        </w:rPr>
        <w:t>在事发后</w:t>
      </w:r>
      <w:r>
        <w:rPr>
          <w:color w:val="000000"/>
        </w:rPr>
        <w:t>30</w:t>
      </w:r>
      <w:r>
        <w:rPr>
          <w:rFonts w:hint="eastAsia"/>
          <w:color w:val="000000"/>
        </w:rPr>
        <w:t>分钟内将事故信息书面报告大鹏新区总值班室。大鹏新区总值班室及时将信息报送市委值班室、市政府总值班室</w:t>
      </w:r>
      <w:bookmarkStart w:id="205" w:name="_Hlk87340114"/>
      <w:r>
        <w:rPr>
          <w:rFonts w:hint="eastAsia"/>
          <w:color w:val="000000"/>
        </w:rPr>
        <w:t>及市应急指挥中心</w:t>
      </w:r>
      <w:bookmarkEnd w:id="205"/>
      <w:r>
        <w:rPr>
          <w:rFonts w:hint="eastAsia"/>
          <w:color w:val="000000"/>
        </w:rPr>
        <w:t>。事故后续处置情况应及时报告。</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（3）发生重大（Ⅱ级）、特别重大（Ⅰ级）生产安全事故时，事发单位在事故发生后立即向事发地的办事处和</w:t>
      </w:r>
      <w:bookmarkStart w:id="206" w:name="_Hlk87340249"/>
      <w:r>
        <w:rPr>
          <w:rFonts w:hint="eastAsia"/>
          <w:color w:val="000000"/>
        </w:rPr>
        <w:t>行业主管部门</w:t>
      </w:r>
      <w:bookmarkEnd w:id="206"/>
      <w:r>
        <w:rPr>
          <w:rFonts w:hint="eastAsia"/>
          <w:color w:val="000000"/>
        </w:rPr>
        <w:t>报告。事发地的办事处接报后应在15分钟内通过电话向大鹏新区总值班室报告事故简要情况；在事发后30分钟内将事故信息书面报告大鹏新区总值班室。大鹏新区总值班室及时将信息报送市委值班室、市政府总值班室及市应急指挥中心。事故后续处置情况应及时报告。</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bookmarkStart w:id="207" w:name="_Toc408494681"/>
      <w:r>
        <w:rPr>
          <w:rFonts w:hint="eastAsia" w:ascii="仿宋_GB2312" w:eastAsia="仿宋_GB2312"/>
          <w:color w:val="000000"/>
          <w:sz w:val="32"/>
          <w:szCs w:val="32"/>
        </w:rPr>
        <w:t>3.2.1.3</w:t>
      </w:r>
      <w:r>
        <w:rPr>
          <w:rFonts w:ascii="仿宋_GB2312" w:eastAsia="仿宋_GB2312"/>
          <w:color w:val="000000"/>
          <w:sz w:val="32"/>
          <w:szCs w:val="32"/>
        </w:rPr>
        <w:t xml:space="preserve"> </w:t>
      </w:r>
      <w:r>
        <w:rPr>
          <w:rFonts w:hint="eastAsia" w:ascii="仿宋_GB2312" w:eastAsia="仿宋_GB2312"/>
          <w:color w:val="000000"/>
          <w:sz w:val="32"/>
          <w:szCs w:val="32"/>
        </w:rPr>
        <w:t>事故信息报告的内容和要求</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信息报告要简明扼要、清晰准确。事故报告内容应包括：事发单位概况，</w:t>
      </w:r>
      <w:bookmarkStart w:id="208" w:name="_Hlk80085810"/>
      <w:r>
        <w:rPr>
          <w:rFonts w:hint="eastAsia"/>
          <w:color w:val="000000"/>
        </w:rPr>
        <w:t>事故发生的时间、地点、简要经过、信息来源，事故涉及的种类及数量，事故可能造成的危害程度、影响范围、伤亡人数、直接经济损失，已采取的应急处置措施，目前事故处置进展情况，下一步拟采取的措施。</w:t>
      </w:r>
      <w:bookmarkEnd w:id="208"/>
    </w:p>
    <w:bookmarkEnd w:id="207"/>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bookmarkStart w:id="209" w:name="_Toc408494683"/>
      <w:r>
        <w:rPr>
          <w:rFonts w:hint="eastAsia" w:ascii="仿宋_GB2312" w:eastAsia="仿宋_GB2312"/>
          <w:color w:val="000000"/>
          <w:sz w:val="32"/>
          <w:szCs w:val="32"/>
        </w:rPr>
        <w:t>3.2.1.4 应急值班</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大鹏新区应急管理局和行业主管部门应当设立专门的值班室和值班电话，实行24小时值班制度，并向社会公布值班电话，受理事故报告和举报，及时上报事故情况。</w:t>
      </w:r>
    </w:p>
    <w:bookmarkEnd w:id="209"/>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10" w:name="_Toc421778794"/>
      <w:bookmarkStart w:id="211" w:name="_Toc27745381"/>
      <w:bookmarkStart w:id="212" w:name="_Toc408494684"/>
      <w:bookmarkStart w:id="213" w:name="_Toc42857125"/>
      <w:bookmarkStart w:id="214" w:name="_Toc87345199"/>
      <w:bookmarkStart w:id="215" w:name="_Toc13416"/>
      <w:r>
        <w:rPr>
          <w:rFonts w:hint="eastAsia"/>
          <w:color w:val="000000"/>
        </w:rPr>
        <w:t>3.2.2 先期处置</w:t>
      </w:r>
      <w:bookmarkEnd w:id="210"/>
      <w:bookmarkEnd w:id="211"/>
      <w:bookmarkEnd w:id="212"/>
      <w:bookmarkEnd w:id="213"/>
      <w:bookmarkEnd w:id="214"/>
      <w:bookmarkEnd w:id="215"/>
    </w:p>
    <w:p>
      <w:pPr>
        <w:kinsoku/>
        <w:overflowPunct w:val="0"/>
        <w:topLinePunct/>
        <w:autoSpaceDE w:val="0"/>
        <w:autoSpaceDN w:val="0"/>
        <w:adjustRightInd w:val="0"/>
        <w:snapToGrid w:val="0"/>
        <w:spacing w:beforeLines="0" w:afterLines="0" w:line="560" w:lineRule="exact"/>
        <w:ind w:firstLine="664"/>
        <w:rPr>
          <w:color w:val="000000"/>
        </w:rPr>
      </w:pPr>
      <w:bookmarkStart w:id="216" w:name="_Toc421778795"/>
      <w:bookmarkStart w:id="217" w:name="_Toc408494685"/>
      <w:r>
        <w:rPr>
          <w:rFonts w:hint="eastAsia"/>
          <w:color w:val="000000"/>
        </w:rPr>
        <w:t>（1）生产经营单位发生事故时，应当第一时间启动应急响应，组织有关力量进行应急处置和救援，并按照规定将事故信息及应急响应启动情况报告大鹏新区应急管理局和行业主管部门。当事故影响可能超出本单位的范围时，要及时将险情通报给周边单位和人员。</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（2）事发地的社区工作站、居委会和其他企事业单位等应当按照当地政府的决定、命令，进行宣传动员，组织群众开展自救和互救，协助维护社会秩序。</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事发地的办事处、事发部门（单位）作为生产安全事故第一响应责任单位，应当立即组织应急救援力量和工作人员营救遇险人员，搜寻、疏散、撤离、安置受到威胁的人员；隔离危险源，标明危险区域，封锁危险场所，采取其他防止危害扩大的必要措施。同时收集事故现场动态信息，向应急指挥部报告。</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（4）应急指挥部负责较大及以上生产安全事故先期处置工作。</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18" w:name="_Toc87345200"/>
      <w:bookmarkStart w:id="219" w:name="_Toc17920"/>
      <w:bookmarkStart w:id="220" w:name="_Toc42857126"/>
      <w:bookmarkStart w:id="221" w:name="_Toc27745382"/>
      <w:r>
        <w:rPr>
          <w:rFonts w:hint="eastAsia"/>
          <w:color w:val="000000"/>
        </w:rPr>
        <w:t>3.2.3 应急响应</w:t>
      </w:r>
      <w:bookmarkEnd w:id="216"/>
      <w:bookmarkEnd w:id="217"/>
      <w:bookmarkEnd w:id="218"/>
      <w:bookmarkEnd w:id="219"/>
      <w:bookmarkEnd w:id="220"/>
      <w:bookmarkEnd w:id="221"/>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对于先期处置未能有效控制事态的事故，根据事故的性质、特点、危害程度，应急指挥部办公室和事发地的办事处按照分级响应的原则，申请启动相应级别的应急响应。应急响应级别由高到低分为Ⅰ级（一级）、Ⅱ级（二级）、Ⅲ级（三级）、Ⅳ级（四级）。</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hint="eastAsia" w:ascii="仿宋_GB2312" w:eastAsia="仿宋_GB2312"/>
          <w:color w:val="000000"/>
          <w:sz w:val="32"/>
          <w:szCs w:val="32"/>
        </w:rPr>
        <w:t>3.2.</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 xml:space="preserve"> Ⅳ级应急响应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发生一般生产安全事故时，采取以下措施：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应急指挥部办公室接到事故报告后，及时组织研判，经确认为一般生产安全事故时，有适用的专项应急预案的启动专项应急预案，无专项应急预案或单个专项应急预案无法处置的，适用本预案，立即报应急指挥部申请启动Ⅳ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（2）应急指挥部批准发布启动Ⅳ级应急响应的命令，并根据需要成立现场指挥部。</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（3）Ⅳ级应急响应启动后，应急指挥部办公室及时通知相关成员单位、应急救援队伍到达事故现场，成立应急工作组，制订应急救援方案，开展救援抢险、交通管制等应急处置工作。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（4）应急指挥部成员单位在应急处置过程中做好现场人员安全防护工作。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（5）其他相应的应急响应措施和行动。</w:t>
      </w:r>
    </w:p>
    <w:p>
      <w:pPr>
        <w:pStyle w:val="7"/>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ascii="仿宋_GB2312" w:eastAsia="仿宋_GB2312"/>
          <w:color w:val="000000"/>
          <w:sz w:val="32"/>
          <w:szCs w:val="32"/>
        </w:rPr>
      </w:pPr>
      <w:r>
        <w:rPr>
          <w:rFonts w:hint="eastAsia" w:ascii="仿宋_GB2312" w:eastAsia="仿宋_GB2312"/>
          <w:color w:val="000000"/>
          <w:sz w:val="32"/>
          <w:szCs w:val="32"/>
        </w:rPr>
        <w:t>3.2.</w:t>
      </w:r>
      <w:r>
        <w:rPr>
          <w:rFonts w:ascii="仿宋_GB2312" w:eastAsia="仿宋_GB2312"/>
          <w:color w:val="000000"/>
          <w:sz w:val="32"/>
          <w:szCs w:val="32"/>
        </w:rPr>
        <w:t>3</w:t>
      </w: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 xml:space="preserve"> Ⅲ级、Ⅱ级和Ⅰ级应急响应</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确认发生较大及以上生产安全事故时，应急响应工作分别由上一级应急机构负责组织实施。在Ⅳ级应急响应的基础上，由应急指挥部按照上一级应急机构的统一部署，组织、协调大鹏新区各方面应急资源，配合上一级应急机构做好应急处置工作。</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22" w:name="_Toc42857127"/>
      <w:bookmarkStart w:id="223" w:name="_Toc27745383"/>
      <w:bookmarkStart w:id="224" w:name="_Toc87345201"/>
      <w:bookmarkStart w:id="225" w:name="_Toc20187"/>
      <w:r>
        <w:rPr>
          <w:rFonts w:hint="eastAsia"/>
          <w:color w:val="000000"/>
        </w:rPr>
        <w:t>3.2.4 指挥协调</w:t>
      </w:r>
      <w:bookmarkEnd w:id="222"/>
      <w:bookmarkEnd w:id="223"/>
      <w:bookmarkEnd w:id="224"/>
      <w:bookmarkEnd w:id="225"/>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启动Ⅳ级应急响应时，应急指挥部行使指挥职能，指挥协调应急处置行动。</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启动Ⅲ级及以上级别应急响应时，按照“统一指挥，分级负责，属地为主，专业处置”的要求，应急指挥部应立即向上级应急指挥机构移交指挥权，并密切配合上级应急指挥机构开展应急处置工作。</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26" w:name="_Toc27745384"/>
      <w:bookmarkStart w:id="227" w:name="_Toc87345202"/>
      <w:bookmarkStart w:id="228" w:name="_Toc42857128"/>
      <w:bookmarkStart w:id="229" w:name="_Toc14231"/>
      <w:r>
        <w:rPr>
          <w:rFonts w:hint="eastAsia"/>
          <w:color w:val="000000"/>
        </w:rPr>
        <w:t>3.2.5 处置措施</w:t>
      </w:r>
      <w:bookmarkEnd w:id="226"/>
      <w:bookmarkEnd w:id="227"/>
      <w:bookmarkEnd w:id="228"/>
      <w:bookmarkEnd w:id="229"/>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现场指挥部应根据生产安全事故情况研究分析，采取安全、有效的应急救援行动，各应急工作组应采取以下应急处置措施：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（1）应急处置</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现场指挥部在充分考虑专家等各方意见的基础上，初步评估事故后果和事态发展状况，迅速制订人员搜救、险情排除、危险源控制、基础设施抢修等应急处置方案，合理调配专业人员、抢险装备和应急物资，并根据需求及时调整和补充，采取紧急处置措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（2）人员疏散</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现场指挥部根据生产安全事故特点，明确疏散撤离的范围和方式，事发地的办事处负责组织实施，公安、卫生等部门按照各自职责，配合事发地的办事处做好人员疏散以及疏散集合点治安管理、医疗卫生、物资保障等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（3）现场管制</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公安部门按照职责在警戒隔离区边界设置警示标志，并设专人负责警戒。对通往事故现场的道路实行交通管制，严禁无关车辆进入。清理主要交通干道，保证道路畅通。合理设置出入口，除应急救援人员外，严禁无关人员进入，事发地的办事处做好配合工作。</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（4）应急人员的安全防护</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现场处置人员应根据不同类型的生产安全事故</w:t>
      </w:r>
      <w:r>
        <w:rPr>
          <w:color w:val="000000"/>
        </w:rPr>
        <w:t>佩</w:t>
      </w:r>
      <w:r>
        <w:rPr>
          <w:rFonts w:hint="eastAsia"/>
          <w:color w:val="000000"/>
        </w:rPr>
        <w:t>戴相应的专业防护装备，采取安全防护措施，严格执行应急救援人员进入和离开事故现场的相关规定。</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（5）医疗卫生救援</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大鹏新区教育和卫生健康局负责组织紧急医疗救护和现场卫生处置工作，并根据需要，向上级卫生部门申请派出有关专家和专业防治队伍进行指导和支援。</w:t>
      </w:r>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230" w:name="_Hlk80205876"/>
      <w:r>
        <w:rPr>
          <w:rFonts w:hint="eastAsia"/>
          <w:color w:val="000000"/>
        </w:rPr>
        <w:t>（6）</w:t>
      </w:r>
      <w:bookmarkStart w:id="231" w:name="_Hlk80205684"/>
      <w:r>
        <w:rPr>
          <w:rFonts w:hint="eastAsia"/>
          <w:color w:val="000000"/>
        </w:rPr>
        <w:t>救援</w:t>
      </w:r>
      <w:bookmarkEnd w:id="231"/>
      <w:r>
        <w:rPr>
          <w:rFonts w:hint="eastAsia"/>
          <w:color w:val="000000"/>
        </w:rPr>
        <w:t>暂停</w:t>
      </w:r>
    </w:p>
    <w:bookmarkEnd w:id="230"/>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在应急救援过程中，发现可能直接危及应急救援人员生命安全的紧急情况时，现场指挥部应当立即采取相应措施消除隐患，降低或者化解风险，必要时可以暂停撤离应急救援人员。紧急情况消除或风险降低到可接受程度，再次组织开展应急救援行动。</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32" w:name="_Toc32495"/>
      <w:bookmarkStart w:id="233" w:name="_Toc27745385"/>
      <w:bookmarkStart w:id="234" w:name="_Toc42857129"/>
      <w:bookmarkStart w:id="235" w:name="_Toc87345203"/>
      <w:r>
        <w:rPr>
          <w:rFonts w:hint="eastAsia"/>
          <w:color w:val="000000"/>
        </w:rPr>
        <w:t>3.2.</w:t>
      </w:r>
      <w:r>
        <w:rPr>
          <w:color w:val="000000"/>
        </w:rPr>
        <w:t>6</w:t>
      </w:r>
      <w:r>
        <w:rPr>
          <w:rFonts w:hint="eastAsia"/>
          <w:color w:val="000000"/>
        </w:rPr>
        <w:t xml:space="preserve"> 响应升级</w:t>
      </w:r>
      <w:bookmarkEnd w:id="232"/>
      <w:bookmarkEnd w:id="233"/>
      <w:bookmarkEnd w:id="234"/>
      <w:bookmarkEnd w:id="235"/>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因生产安全事故次生或衍生出</w:t>
      </w:r>
      <w:r>
        <w:rPr>
          <w:rFonts w:hint="default"/>
          <w:color w:val="000000"/>
        </w:rPr>
        <w:t>其他</w:t>
      </w:r>
      <w:r>
        <w:rPr>
          <w:rFonts w:hint="eastAsia"/>
          <w:color w:val="000000"/>
        </w:rPr>
        <w:t>事故，已经采取的应急措施不足以控制事态发展，先期牵头处置的应急指挥部、大鹏新区有关部门（单位）应及时报告</w:t>
      </w:r>
      <w:bookmarkStart w:id="236" w:name="_Hlk79659570"/>
      <w:r>
        <w:rPr>
          <w:rFonts w:hint="eastAsia"/>
          <w:color w:val="000000"/>
        </w:rPr>
        <w:t>大鹏新区管委会</w:t>
      </w:r>
      <w:bookmarkEnd w:id="236"/>
      <w:r>
        <w:rPr>
          <w:rFonts w:hint="eastAsia"/>
          <w:color w:val="000000"/>
        </w:rPr>
        <w:t>。</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如果预计生产安全事故将要波及周边行政区域的，应以大鹏新区管委会的名义，协调周边区域启动应急联动机制。</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当生产安全事故造成的危害程度超出大鹏新区自身控制能力，需要提供援助和支持的，由大鹏新区管委会报请市政府协调相关资源和力量参与事故处置。</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37" w:name="_Toc42857130"/>
      <w:bookmarkStart w:id="238" w:name="_Toc16882"/>
      <w:bookmarkStart w:id="239" w:name="_Toc426382125"/>
      <w:bookmarkStart w:id="240" w:name="_Toc421778800"/>
      <w:bookmarkStart w:id="241" w:name="_Toc408494693"/>
      <w:bookmarkStart w:id="242" w:name="_Toc27745386"/>
      <w:bookmarkStart w:id="243" w:name="_Toc87345204"/>
      <w:r>
        <w:rPr>
          <w:rFonts w:hint="eastAsia"/>
          <w:color w:val="000000"/>
        </w:rPr>
        <w:t>3.2.</w:t>
      </w:r>
      <w:r>
        <w:rPr>
          <w:color w:val="000000"/>
        </w:rPr>
        <w:t>7</w:t>
      </w:r>
      <w:r>
        <w:rPr>
          <w:rFonts w:hint="eastAsia"/>
          <w:color w:val="000000"/>
        </w:rPr>
        <w:t xml:space="preserve"> 社会动员</w:t>
      </w:r>
      <w:bookmarkEnd w:id="237"/>
      <w:bookmarkEnd w:id="238"/>
      <w:bookmarkEnd w:id="239"/>
      <w:bookmarkEnd w:id="240"/>
      <w:bookmarkEnd w:id="241"/>
      <w:bookmarkEnd w:id="242"/>
      <w:bookmarkEnd w:id="243"/>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根据事故的危险程度、波及范围、人员伤亡等情况和应对工作需要，由大鹏新区管委会、属地办事处发布社会动员令，动员有专业知识和技能的公民、具有应急救援资源的企事业单位、社会团体、基层群众自治组织和其他力量，协助政府及有关部门做好事故预防、自救互救、紧急救援、秩序维护、后勤保障、恢复重建等处置工作。</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44" w:name="_Toc87345205"/>
      <w:bookmarkStart w:id="245" w:name="_Toc42857132"/>
      <w:bookmarkStart w:id="246" w:name="_Toc27745388"/>
      <w:bookmarkStart w:id="247" w:name="_Toc21578"/>
      <w:r>
        <w:rPr>
          <w:rFonts w:hint="eastAsia"/>
          <w:color w:val="000000"/>
        </w:rPr>
        <w:t>3.2.8 信息发布</w:t>
      </w:r>
      <w:bookmarkEnd w:id="244"/>
      <w:bookmarkEnd w:id="245"/>
      <w:bookmarkEnd w:id="246"/>
      <w:bookmarkEnd w:id="247"/>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新区综合办公室牵头负责生产安全事故信息发布工作，由应急指挥部提供新闻通稿，根据实际情况开展新闻发布工作，必要时通过政府网站、政务微博等快捷方式予以发布。</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48" w:name="_Toc87345206"/>
      <w:r>
        <w:rPr>
          <w:rFonts w:hint="eastAsia"/>
          <w:color w:val="000000"/>
        </w:rPr>
        <w:t>3.2.9 舆情应对</w:t>
      </w:r>
      <w:bookmarkEnd w:id="248"/>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249" w:name="_Hlk80084909"/>
      <w:r>
        <w:rPr>
          <w:rFonts w:hint="eastAsia"/>
          <w:color w:val="000000"/>
        </w:rPr>
        <w:t>舆情应对组负责新闻媒体的组织协调，正确引导新闻舆论和舆情应对，并做好重大决策宣传解读，深入报道生产安全事故应对工作的好经验好做法。</w:t>
      </w:r>
    </w:p>
    <w:bookmarkEnd w:id="249"/>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50" w:name="_Toc87345207"/>
      <w:bookmarkStart w:id="251" w:name="_Toc42857133"/>
      <w:bookmarkStart w:id="252" w:name="_Toc27745389"/>
      <w:bookmarkStart w:id="253" w:name="_Toc3186"/>
      <w:r>
        <w:rPr>
          <w:rFonts w:hint="eastAsia"/>
          <w:color w:val="000000"/>
        </w:rPr>
        <w:t>3.2.10</w:t>
      </w:r>
      <w:r>
        <w:rPr>
          <w:rFonts w:hint="default"/>
          <w:color w:val="000000"/>
        </w:rPr>
        <w:t xml:space="preserve"> </w:t>
      </w:r>
      <w:r>
        <w:rPr>
          <w:rFonts w:hint="eastAsia"/>
          <w:color w:val="000000"/>
        </w:rPr>
        <w:t>应急结束</w:t>
      </w:r>
      <w:bookmarkEnd w:id="250"/>
      <w:bookmarkEnd w:id="251"/>
      <w:bookmarkEnd w:id="252"/>
      <w:bookmarkEnd w:id="253"/>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当事故现场得以控制，遇险人员得到解救，清点人员、装备，事故伤亡情况已核实清楚，环境监测符合有关标准，导致次生、衍生事故隐患消除后，现场指挥部根据事故现场处置情况及技术专家组评估建议，报告应急指挥部批准后，由现场指挥部宣布应急结束，应急救援队伍撤离现场。</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应急结束后，应急指挥部应将情况及时通知参与事故处置的各相关部门</w:t>
      </w:r>
      <w:r>
        <w:rPr>
          <w:color w:val="000000"/>
        </w:rPr>
        <w:t>（</w:t>
      </w:r>
      <w:r>
        <w:rPr>
          <w:rFonts w:hint="eastAsia"/>
          <w:color w:val="000000"/>
        </w:rPr>
        <w:t>单位</w:t>
      </w:r>
      <w:r>
        <w:rPr>
          <w:color w:val="000000"/>
        </w:rPr>
        <w:t>）</w:t>
      </w:r>
      <w:r>
        <w:rPr>
          <w:rFonts w:hint="eastAsia"/>
          <w:color w:val="000000"/>
        </w:rPr>
        <w:t>，必要时还应通过新闻媒体向社会发布应急结束信息。大鹏新区生产安全事故应急处置工作流程图见附件</w:t>
      </w:r>
      <w:r>
        <w:rPr>
          <w:rFonts w:hint="default"/>
          <w:color w:val="000000"/>
        </w:rPr>
        <w:t>3</w:t>
      </w:r>
      <w:r>
        <w:rPr>
          <w:rFonts w:hint="eastAsia"/>
          <w:color w:val="000000"/>
        </w:rPr>
        <w:t>。</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254" w:name="_Toc27745390"/>
      <w:bookmarkStart w:id="255" w:name="_Toc25557"/>
      <w:bookmarkStart w:id="256" w:name="_Toc16867"/>
      <w:bookmarkStart w:id="257" w:name="_Toc87345208"/>
      <w:bookmarkStart w:id="258" w:name="_Toc1042"/>
      <w:bookmarkStart w:id="259" w:name="_Toc42857134"/>
      <w:r>
        <w:rPr>
          <w:rFonts w:hint="eastAsia" w:hAnsi="楷体"/>
          <w:color w:val="000000"/>
        </w:rPr>
        <w:t>3.3 后期处置</w:t>
      </w:r>
      <w:bookmarkEnd w:id="254"/>
      <w:bookmarkEnd w:id="255"/>
      <w:bookmarkEnd w:id="256"/>
      <w:bookmarkEnd w:id="257"/>
      <w:bookmarkEnd w:id="258"/>
      <w:bookmarkEnd w:id="259"/>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60" w:name="_Toc28682"/>
      <w:bookmarkStart w:id="261" w:name="_Toc27745391"/>
      <w:bookmarkStart w:id="262" w:name="_Toc42857135"/>
      <w:bookmarkStart w:id="263" w:name="_Toc87345209"/>
      <w:r>
        <w:rPr>
          <w:rFonts w:hint="eastAsia"/>
          <w:color w:val="000000"/>
        </w:rPr>
        <w:t>3.3.1 善后处置</w:t>
      </w:r>
      <w:bookmarkEnd w:id="260"/>
      <w:bookmarkEnd w:id="261"/>
      <w:bookmarkEnd w:id="262"/>
      <w:bookmarkEnd w:id="263"/>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事发地的办事处会同大鹏新区相关部门（单位）负责组织生产安全事故的善后处置工作，包括人员安置、补偿，征用物资补偿，灾后重建，污染物收集、清理与处理等事项。尽快消除事故影响，妥善安置和慰问受害及受影响人员，保证社会稳定，尽快恢复正常秩序。</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64" w:name="_Toc42857136"/>
      <w:bookmarkStart w:id="265" w:name="_Toc27745392"/>
      <w:bookmarkStart w:id="266" w:name="_Toc87345210"/>
      <w:bookmarkStart w:id="267" w:name="_Toc7811"/>
      <w:r>
        <w:rPr>
          <w:rFonts w:hint="eastAsia"/>
          <w:color w:val="000000"/>
        </w:rPr>
        <w:t>3.3.2 社会救助</w:t>
      </w:r>
      <w:bookmarkEnd w:id="264"/>
      <w:bookmarkEnd w:id="265"/>
      <w:bookmarkEnd w:id="266"/>
      <w:bookmarkEnd w:id="267"/>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大鹏新区应急管理局负责统筹生产安全事故社会救助工作，按照政府救济和社会救助相结合的原则，做好受灾群众的安置工作，会同市有关部门（单位）组织救灾物资和生活必需品的调拨和发放，保障群众基本生活。</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68" w:name="_Toc87345211"/>
      <w:bookmarkStart w:id="269" w:name="_Toc27745393"/>
      <w:bookmarkStart w:id="270" w:name="_Toc15162"/>
      <w:bookmarkStart w:id="271" w:name="_Toc42857137"/>
      <w:r>
        <w:rPr>
          <w:rFonts w:hint="eastAsia"/>
          <w:color w:val="000000"/>
        </w:rPr>
        <w:t>3.3.3 保险</w:t>
      </w:r>
      <w:bookmarkEnd w:id="268"/>
      <w:bookmarkEnd w:id="269"/>
      <w:bookmarkEnd w:id="270"/>
      <w:bookmarkEnd w:id="271"/>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各有关部门（单位）应当为专业应急救援人员购买人身意外伤害保险。生产经营单位按照省、市有关规定投保安全生产责任保险。</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鼓励保险公司开展产品和服务创新，针对不同群体和人员的需求，开发保额适度、保障层次多样、服务便捷的险种，扩大灾害保险的覆盖面和服务范围，增强企事业单位和公民抵御事故的能力，形成全社会共担风险机制。</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鼓励从事高风险经营活动的企业购买财产保险，并为其员工购买人身意外保险；鼓励保险行业开展事故风险管理研究，建立事故信息数据库，形成有效的信息共享机制。</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72" w:name="_Toc42857138"/>
      <w:bookmarkStart w:id="273" w:name="_Toc87345212"/>
      <w:bookmarkStart w:id="274" w:name="_Toc18524"/>
      <w:bookmarkStart w:id="275" w:name="_Toc27745394"/>
      <w:r>
        <w:rPr>
          <w:rFonts w:hint="eastAsia"/>
          <w:color w:val="000000"/>
        </w:rPr>
        <w:t>3.3.4 调查评估</w:t>
      </w:r>
      <w:bookmarkEnd w:id="272"/>
      <w:bookmarkEnd w:id="273"/>
      <w:bookmarkEnd w:id="274"/>
      <w:bookmarkEnd w:id="275"/>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发生较大及以上生产安全事故的，分别由上一级政府组织事故调查，大鹏新区各有关部门密切配合，积极落实上级调查组提出的改进建议，认真汲取事故教训。</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发生一般生产安全事故后，必要时应急指挥部组织对生产安全事故应急救援工作进行调查、评估总结。</w:t>
      </w:r>
    </w:p>
    <w:p>
      <w:pPr>
        <w:pStyle w:val="6"/>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color w:val="000000"/>
        </w:rPr>
      </w:pPr>
      <w:bookmarkStart w:id="276" w:name="_Toc87345213"/>
      <w:bookmarkStart w:id="277" w:name="_Toc27745395"/>
      <w:bookmarkStart w:id="278" w:name="_Toc9234"/>
      <w:bookmarkStart w:id="279" w:name="_Toc42857139"/>
      <w:r>
        <w:rPr>
          <w:rFonts w:hint="eastAsia"/>
          <w:color w:val="000000"/>
        </w:rPr>
        <w:t>3.3.5 恢复重建</w:t>
      </w:r>
      <w:bookmarkEnd w:id="276"/>
      <w:bookmarkEnd w:id="277"/>
      <w:bookmarkEnd w:id="278"/>
      <w:bookmarkEnd w:id="279"/>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生产安全事故处置工作结束后，大鹏新区管委会应结合调查评估情况，立即组织制订恢复与重建计划，及时恢复社会秩序，修复被破坏的城市运行、生产经营等领域的基础设施。</w:t>
      </w:r>
      <w:bookmarkEnd w:id="198"/>
      <w:bookmarkEnd w:id="199"/>
      <w:bookmarkEnd w:id="200"/>
      <w:bookmarkStart w:id="280" w:name="_Toc408494702"/>
    </w:p>
    <w:bookmarkEnd w:id="280"/>
    <w:p>
      <w:pPr>
        <w:pStyle w:val="29"/>
        <w:kinsoku/>
        <w:overflowPunct w:val="0"/>
        <w:topLinePunct/>
        <w:autoSpaceDE w:val="0"/>
        <w:autoSpaceDN w:val="0"/>
        <w:adjustRightInd w:val="0"/>
        <w:snapToGrid w:val="0"/>
        <w:spacing w:beforeLines="0" w:after="0" w:afterLines="0" w:line="560" w:lineRule="exact"/>
        <w:ind w:firstLine="0" w:firstLineChars="0"/>
        <w:jc w:val="center"/>
        <w:rPr>
          <w:rFonts w:hint="eastAsia" w:ascii="黑体" w:hAnsi="黑体" w:eastAsia="黑体"/>
          <w:color w:val="000000"/>
          <w:sz w:val="32"/>
        </w:rPr>
      </w:pPr>
      <w:bookmarkStart w:id="281" w:name="_Toc426382134"/>
      <w:bookmarkStart w:id="282" w:name="_Toc31930"/>
      <w:bookmarkStart w:id="283" w:name="_Toc421778809"/>
      <w:bookmarkStart w:id="284" w:name="_Toc27745396"/>
      <w:bookmarkStart w:id="285" w:name="_Toc16979"/>
      <w:bookmarkStart w:id="286" w:name="_Toc16586"/>
      <w:bookmarkStart w:id="287" w:name="_Toc42857140"/>
      <w:r>
        <w:rPr>
          <w:rFonts w:ascii="黑体" w:hAnsi="黑体" w:eastAsia="黑体"/>
          <w:color w:val="000000"/>
          <w:sz w:val="32"/>
        </w:rPr>
        <w:br w:type="page"/>
      </w:r>
      <w:bookmarkStart w:id="288" w:name="_Toc87345214"/>
      <w:r>
        <w:rPr>
          <w:rFonts w:hint="eastAsia" w:ascii="黑体" w:hAnsi="黑体" w:eastAsia="黑体"/>
          <w:color w:val="000000"/>
          <w:sz w:val="32"/>
        </w:rPr>
        <w:t>4 应急保障</w:t>
      </w:r>
      <w:bookmarkEnd w:id="281"/>
      <w:bookmarkEnd w:id="282"/>
      <w:bookmarkEnd w:id="283"/>
      <w:bookmarkEnd w:id="284"/>
      <w:bookmarkEnd w:id="285"/>
      <w:bookmarkEnd w:id="286"/>
      <w:bookmarkEnd w:id="287"/>
      <w:bookmarkEnd w:id="288"/>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289" w:name="_Toc42857141"/>
      <w:bookmarkStart w:id="290" w:name="_Toc28547"/>
      <w:bookmarkStart w:id="291" w:name="_Toc12523"/>
      <w:bookmarkStart w:id="292" w:name="_Toc426382135"/>
      <w:bookmarkStart w:id="293" w:name="_Toc16931"/>
      <w:bookmarkStart w:id="294" w:name="_Toc87345215"/>
      <w:bookmarkStart w:id="295" w:name="_Toc27745397"/>
      <w:bookmarkStart w:id="296" w:name="_Toc425516803"/>
      <w:r>
        <w:rPr>
          <w:rFonts w:hint="eastAsia" w:hAnsi="楷体"/>
          <w:color w:val="000000"/>
        </w:rPr>
        <w:t>4.1 指挥系统保障</w:t>
      </w:r>
      <w:bookmarkEnd w:id="289"/>
      <w:bookmarkEnd w:id="290"/>
      <w:bookmarkEnd w:id="291"/>
      <w:bookmarkEnd w:id="292"/>
      <w:bookmarkEnd w:id="293"/>
      <w:bookmarkEnd w:id="294"/>
      <w:bookmarkEnd w:id="295"/>
      <w:bookmarkEnd w:id="296"/>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逐步建立和完善生产安全事故应急指挥技术支撑体系，以满足各种复杂情况下处置生产安全事故的指挥要求。主要包括：有线通信、无线指挥调度、图像监控、信息报告、基于地理信息的分析决策支撑、视频会议和信息发布等。指挥系统可以和其他指挥系统合并使用。</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297" w:name="_Toc87345216"/>
      <w:r>
        <w:rPr>
          <w:rFonts w:hint="eastAsia" w:hAnsi="楷体"/>
          <w:color w:val="000000"/>
        </w:rPr>
        <w:t>4.2 人力资源保障</w:t>
      </w:r>
      <w:bookmarkEnd w:id="297"/>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w w:val="100"/>
        </w:rPr>
        <w:t>（1）综合应急救援队伍。大鹏新区依托应急消防队伍，</w:t>
      </w:r>
      <w:r>
        <w:rPr>
          <w:rFonts w:hint="eastAsia"/>
          <w:color w:val="000000"/>
        </w:rPr>
        <w:t>建立大鹏新区、办事处两级综合应急救援队伍，承担生产安全事故应急救援任务。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（2）专业应急处置队伍。各专项应急指挥部、有关部门（单位）负责组建和管理本领域专业应急救援队伍，会同综合应急救援队伍承担生产安全事故应急处置任务。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（3）军队和武警部队应急处置力量。驻大鹏新区武警部队和民兵、预备役部队是大鹏新区处置生产安全事故的骨干和突击力量，依法参与生产安全事故应急救援和处置任务。</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社会应急救援力量。发挥共青团、义工联、红十字会的作用，鼓励社会团体、企事业单位、基层群众自治组织以及志愿者等参与生产安全事故应急救援工作。组织有相关知识、经验和资质的志愿者成立应急志愿者队伍，参与防灾避险、疏散安置、急救技能等应急知识的宣传、教育和普及工作，参与生产安全事故的信息报告、抢险救援、卫生防疫、群众安置、设施抢修和心理疏导等工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（5）专家力量。依托深圳市和大鹏新区专家数据库，确保需要时能及时找到相应的专家为应急救援提供技术支持和保障。</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298" w:name="_Toc87345217"/>
      <w:r>
        <w:rPr>
          <w:rFonts w:hint="eastAsia" w:hAnsi="楷体"/>
          <w:color w:val="000000"/>
        </w:rPr>
        <w:t>4.3 经费保障</w:t>
      </w:r>
      <w:bookmarkEnd w:id="298"/>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（1）新区管委会、办事处预防和处置生产安全事故所需的财政经费，由大鹏新区管委会承担。</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（2）鼓励公民、法人和其他组织为应对事故提供资金捐赠和各种形式的支持。</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299" w:name="_Toc87345218"/>
      <w:r>
        <w:rPr>
          <w:rFonts w:hint="eastAsia" w:hAnsi="楷体"/>
          <w:color w:val="000000"/>
        </w:rPr>
        <w:t>4.4 物资保障</w:t>
      </w:r>
      <w:bookmarkEnd w:id="299"/>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根据大鹏新区不同区域生产安全事故的种类、频率和特点，按照实物储备与商业储备相结合、生产能力与技术储备相结合、政府采购与政府补贴相结合的方式，由大鹏新区有关部门（单位）、应急指挥部分区域、分部门合理储备应急物资。</w:t>
      </w:r>
    </w:p>
    <w:p>
      <w:pPr>
        <w:kinsoku/>
        <w:overflowPunct w:val="0"/>
        <w:topLinePunct/>
        <w:autoSpaceDE w:val="0"/>
        <w:autoSpaceDN w:val="0"/>
        <w:adjustRightInd w:val="0"/>
        <w:snapToGrid w:val="0"/>
        <w:spacing w:beforeLines="0" w:afterLines="0" w:line="560" w:lineRule="exact"/>
        <w:ind w:firstLine="664"/>
        <w:rPr>
          <w:color w:val="000000"/>
          <w:w w:val="100"/>
        </w:rPr>
      </w:pPr>
      <w:r>
        <w:rPr>
          <w:rFonts w:hint="eastAsia"/>
          <w:color w:val="000000"/>
        </w:rPr>
        <w:t>（2）应急指挥部、各有关部门（单位）和各办事处按</w:t>
      </w:r>
      <w:r>
        <w:rPr>
          <w:rFonts w:hint="eastAsia"/>
          <w:color w:val="000000"/>
          <w:w w:val="100"/>
        </w:rPr>
        <w:t>照“专业管理、专物专用、各级储备、应急共享”的原则，自行调拨使用本部门（单位）的应急物资</w:t>
      </w:r>
      <w:r>
        <w:rPr>
          <w:rFonts w:hint="eastAsia"/>
          <w:color w:val="000000"/>
        </w:rPr>
        <w:t>。跨部门（单位）调用应急物资时，申请使用的有关部门（单位）、相</w:t>
      </w:r>
      <w:r>
        <w:rPr>
          <w:rFonts w:hint="eastAsia"/>
          <w:color w:val="000000"/>
          <w:w w:val="100"/>
        </w:rPr>
        <w:t>关办事处应向大鹏新区应急委提出申请，按有关规定办理。</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（3）必要时，应急指挥部可以按照法律法规的规定向单位和个人征用应急处置与救援所需设备、设施、场地和其他物资，或要求相关企业组织生产、供应生活必需品和应急救援物资。</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（4）鼓励和引导社区、企事业单位、社会团体、基层群众性自治组织和居民家庭储备基本的应急物资和生活必需品。鼓励公民、法人和其他组织为应对生产安全事故提供物资捐赠和支持。</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0" w:name="_Toc87345219"/>
      <w:r>
        <w:rPr>
          <w:rFonts w:hint="eastAsia" w:hAnsi="楷体"/>
          <w:color w:val="000000"/>
        </w:rPr>
        <w:t>4.5 医疗卫生保障</w:t>
      </w:r>
      <w:bookmarkEnd w:id="300"/>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大鹏新区教育和卫生健康局建立和完善大鹏新区卫</w:t>
      </w:r>
      <w:r>
        <w:rPr>
          <w:rFonts w:hint="eastAsia"/>
          <w:color w:val="000000"/>
          <w:w w:val="100"/>
        </w:rPr>
        <w:t>生应急预案体系、卫生应急指挥体系和医疗卫生救援体系，针对生产安全事故可能造成的健康危害</w:t>
      </w:r>
      <w:r>
        <w:rPr>
          <w:rFonts w:hint="eastAsia"/>
          <w:color w:val="000000"/>
        </w:rPr>
        <w:t>，组建医疗专家队伍和应急医疗救援队伍，储备医疗救治应急物资，开展医疗救援演练和公众自救、互救医疗常识宣传教育。</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1" w:name="_Toc87345220"/>
      <w:r>
        <w:rPr>
          <w:rFonts w:hint="eastAsia" w:hAnsi="楷体"/>
          <w:color w:val="000000"/>
        </w:rPr>
        <w:t>4.6 交通运输保障</w:t>
      </w:r>
      <w:bookmarkEnd w:id="301"/>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（1）市交通运输局大鹏管理局牵头负责建立健全交通运输应急联动机制，保障紧急情况下的综合运输能力。必要时组织紧急动员和协调征用社会交通运输工具。</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（2）市交通运输局大鹏管理局负责建立健全应急通行机制，保障紧急情况下应急交通工具的优先安排、优先调度、优先放行。</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w:t>
      </w:r>
      <w:bookmarkStart w:id="302" w:name="_Hlk87340505"/>
      <w:r>
        <w:rPr>
          <w:rFonts w:hint="eastAsia"/>
          <w:color w:val="000000"/>
        </w:rPr>
        <w:t>市公安局交通警察支队大鹏大队</w:t>
      </w:r>
      <w:bookmarkEnd w:id="302"/>
      <w:r>
        <w:rPr>
          <w:rFonts w:hint="eastAsia"/>
          <w:color w:val="000000"/>
        </w:rPr>
        <w:t>确保应急运输安</w:t>
      </w:r>
      <w:r>
        <w:rPr>
          <w:rFonts w:hint="eastAsia"/>
          <w:color w:val="000000"/>
          <w:w w:val="100"/>
        </w:rPr>
        <w:t>全畅通，根据应急处置需要，开设应急救援“绿色通道”，对生产安全事故现场及</w:t>
      </w:r>
      <w:r>
        <w:rPr>
          <w:rFonts w:hint="eastAsia"/>
          <w:color w:val="000000"/>
        </w:rPr>
        <w:t>有关道路实行交通管制，应急车辆凭发放的应急标志优先通行。</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（4）道路及交通设施被破坏或毁坏时，市交通运输局大鹏管理局、新区城市管理和综合执法局、新区水务局等部门应迅速组织专业应急救援队伍，尽快组织抢修，保障</w:t>
      </w:r>
      <w:r>
        <w:rPr>
          <w:rFonts w:hint="eastAsia"/>
          <w:color w:val="000000"/>
          <w:w w:val="100"/>
        </w:rPr>
        <w:t>交通线路顺畅，确保救灾物资、器材和人员运送及时到位，满足应急处置工作需要。</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3" w:name="_Toc87345221"/>
      <w:r>
        <w:rPr>
          <w:rFonts w:hint="eastAsia" w:hAnsi="楷体"/>
          <w:color w:val="000000"/>
        </w:rPr>
        <w:t>4.7 治安保障</w:t>
      </w:r>
      <w:bookmarkEnd w:id="303"/>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市公安局大鹏分局应制订应急状态下维持治安秩序的各项方案，包括警力集结、布控、执勤方式和行动措施等，维护生产安全事故现场秩序及所在区域社会公共秩序，为生产安全事故应急救援处置及抢险提供保障。</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（2）市公安局大鹏分局负责组织事故现场治安警戒和治安管理，加强对重点地区、重点场所、重点人群、重要</w:t>
      </w:r>
      <w:r>
        <w:rPr>
          <w:rFonts w:hint="eastAsia"/>
          <w:color w:val="000000"/>
          <w:w w:val="100"/>
        </w:rPr>
        <w:t>物资设备的防范保护，控制事故肇事人员，维持现场秩序，及时疏散群众</w:t>
      </w:r>
      <w:r>
        <w:rPr>
          <w:rFonts w:hint="eastAsia"/>
          <w:color w:val="000000"/>
        </w:rPr>
        <w:t>。</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4" w:name="_Toc87345222"/>
      <w:r>
        <w:rPr>
          <w:rFonts w:hint="eastAsia" w:hAnsi="楷体"/>
          <w:color w:val="000000"/>
        </w:rPr>
        <w:t>4.8 人员防护保障</w:t>
      </w:r>
      <w:bookmarkEnd w:id="304"/>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各办事处、社区工作站应完善紧急疏散管理办法和程序，明确各级责任人，确保在紧急情况下公众安全、有序地转移或疏散到应急避难场所或其他安全地带。在处置生产安全事故过程中，相关部门或单位应充分考虑事故的类型和特点及对人员造成危害的可能性和所有危害种类，制定科学合理、切实可行的应急救援方案，配备先进适用、安全可靠的安全防护设备，采取必要的防范措施，确保人员安全。</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5" w:name="_Toc87345223"/>
      <w:r>
        <w:rPr>
          <w:rFonts w:hint="eastAsia" w:hAnsi="楷体"/>
          <w:color w:val="000000"/>
        </w:rPr>
        <w:t>4.9 通信和信息保障</w:t>
      </w:r>
      <w:bookmarkEnd w:id="305"/>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新区科技创新和经济服务局、文化广电旅游体育局牵头负责，有关企业配合，建立健全应急通信和应急广播电视保障工作体系，确保应急处置通信畅通。</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新区应急管理局定期组织更新大鹏新区生产安全事故应急指挥部成员单位通讯录、大鹏新区应急救援队伍信息表、大鹏新区生产安全事故应急指挥部专家组名单等相关信息，确保信息畅通。</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6" w:name="_Toc87345224"/>
      <w:r>
        <w:rPr>
          <w:rFonts w:hint="eastAsia" w:hAnsi="楷体"/>
          <w:color w:val="000000"/>
        </w:rPr>
        <w:t>4.10 现场救援和工程抢险装备保障</w:t>
      </w:r>
      <w:bookmarkEnd w:id="306"/>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（1）新区有关专项应急指挥部、有关部门（单位）根据自身应急管理业务的需求，按照“平战结合”的原则，配备现场救援和工程抢险装备和器材，建立维护、保养和调用等制度。</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（2）建立大鹏新区生产安全事故现场救援和工程抢险装备“物联网”信息平台，保障现场救援和工程抢险装备的及时有效提供。</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7" w:name="_Toc87345225"/>
      <w:r>
        <w:rPr>
          <w:rFonts w:hint="eastAsia" w:hAnsi="楷体"/>
          <w:color w:val="000000"/>
        </w:rPr>
        <w:t>4.11 应急避难场所保障</w:t>
      </w:r>
      <w:bookmarkEnd w:id="307"/>
    </w:p>
    <w:p>
      <w:pPr>
        <w:kinsoku/>
        <w:overflowPunct w:val="0"/>
        <w:topLinePunct/>
        <w:autoSpaceDE w:val="0"/>
        <w:autoSpaceDN w:val="0"/>
        <w:adjustRightInd w:val="0"/>
        <w:snapToGrid w:val="0"/>
        <w:spacing w:beforeLines="0" w:afterLines="0" w:line="560" w:lineRule="exact"/>
        <w:ind w:firstLine="692" w:firstLineChars="200"/>
        <w:jc w:val="both"/>
        <w:rPr>
          <w:color w:val="000000"/>
        </w:rPr>
      </w:pPr>
      <w:r>
        <w:rPr>
          <w:rFonts w:hint="eastAsia" w:hAnsi="Times New Roman" w:cs="Times New Roman"/>
          <w:color w:val="000000"/>
          <w:w w:val="100"/>
        </w:rPr>
        <w:t>新区应急管理局负责制定大鹏新区应急避难场所专项规划，负责指导和检查室内、室外应急避难场所的建设</w:t>
      </w:r>
      <w:r>
        <w:rPr>
          <w:rFonts w:hint="eastAsia" w:hAnsi="Times New Roman" w:cs="Times New Roman"/>
          <w:color w:val="000000"/>
        </w:rPr>
        <w:t>、管理工作；发生事故后由新区应急管理局统一协调使用和管理应急避难场所，属地办事处做好配合落实工作。应急避难场所的归属单位应按照要求配置各种设施设备，划</w:t>
      </w:r>
      <w:r>
        <w:rPr>
          <w:rFonts w:hint="eastAsia"/>
          <w:color w:val="000000"/>
        </w:rPr>
        <w:t>定各类功能区，设置规范的标志牌，储备必要的物资，建立健全应急避难场所维护、管理制度和应急预案。</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8" w:name="_Toc87345226"/>
      <w:r>
        <w:rPr>
          <w:rFonts w:hint="eastAsia" w:hAnsi="楷体"/>
          <w:color w:val="000000"/>
        </w:rPr>
        <w:t>4.12 科技支撑保障</w:t>
      </w:r>
      <w:bookmarkEnd w:id="308"/>
    </w:p>
    <w:p>
      <w:pPr>
        <w:kinsoku/>
        <w:overflowPunct w:val="0"/>
        <w:topLinePunct/>
        <w:autoSpaceDE w:val="0"/>
        <w:autoSpaceDN w:val="0"/>
        <w:adjustRightInd w:val="0"/>
        <w:snapToGrid w:val="0"/>
        <w:spacing w:beforeLines="0" w:afterLines="0" w:line="560" w:lineRule="exact"/>
        <w:ind w:firstLine="664"/>
        <w:jc w:val="left"/>
        <w:rPr>
          <w:color w:val="000000"/>
        </w:rPr>
      </w:pPr>
      <w:r>
        <w:rPr>
          <w:rFonts w:hint="eastAsia"/>
          <w:color w:val="000000"/>
          <w:w w:val="100"/>
        </w:rPr>
        <w:t>由新区应急管理局牵头，新区科技创新和经济服务局在职责范围内结合现有扶持政策和优惠措施，鼓励和支持高等院校和有关机构等开展研究用于生产安全事故预防、监测、预警、应急处置与救援的新技术、新设备和新工具</w:t>
      </w:r>
      <w:r>
        <w:rPr>
          <w:rFonts w:hint="default"/>
          <w:color w:val="000000"/>
          <w:w w:val="100"/>
        </w:rPr>
        <w:t>。</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09" w:name="_Toc87345227"/>
      <w:r>
        <w:rPr>
          <w:rFonts w:hint="eastAsia" w:hAnsi="楷体"/>
          <w:color w:val="000000"/>
        </w:rPr>
        <w:t>4.13 法制保障</w:t>
      </w:r>
      <w:bookmarkEnd w:id="309"/>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在生产安全事故发生和延续期间，大鹏新区管委会根据需要依法发布和实施紧急决定和命令。新区政法办公室按照大鹏新区管委会的要求对生产安全事故应对工作提供法律意见。</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10" w:name="_Toc87345228"/>
      <w:r>
        <w:rPr>
          <w:rFonts w:hint="eastAsia" w:hAnsi="楷体"/>
          <w:color w:val="000000"/>
        </w:rPr>
        <w:t>4.14 气象服务保障</w:t>
      </w:r>
      <w:bookmarkEnd w:id="310"/>
    </w:p>
    <w:p>
      <w:pPr>
        <w:kinsoku/>
        <w:overflowPunct w:val="0"/>
        <w:topLinePunct/>
        <w:autoSpaceDE w:val="0"/>
        <w:autoSpaceDN w:val="0"/>
        <w:adjustRightInd w:val="0"/>
        <w:snapToGrid w:val="0"/>
        <w:spacing w:beforeLines="0" w:afterLines="0" w:line="560" w:lineRule="exact"/>
        <w:ind w:firstLine="664"/>
        <w:rPr>
          <w:rFonts w:hint="eastAsia" w:hAnsi="楷体"/>
          <w:color w:val="000000"/>
        </w:rPr>
      </w:pPr>
      <w:r>
        <w:rPr>
          <w:rFonts w:hint="eastAsia"/>
          <w:color w:val="000000"/>
        </w:rPr>
        <w:t>气象管理部门做好生产安全事故救援的气象情报以及利用气象条件实施的专业保障。</w:t>
      </w:r>
      <w:bookmarkStart w:id="311" w:name="_Toc87345229"/>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r>
        <w:rPr>
          <w:rFonts w:hint="eastAsia" w:hAnsi="楷体"/>
          <w:color w:val="000000"/>
        </w:rPr>
        <w:t>4.15 其他应急保障</w:t>
      </w:r>
      <w:bookmarkEnd w:id="311"/>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应急指挥部可根据需要增加</w:t>
      </w:r>
      <w:r>
        <w:rPr>
          <w:rFonts w:hint="default"/>
          <w:color w:val="000000"/>
        </w:rPr>
        <w:t>其他</w:t>
      </w:r>
      <w:r>
        <w:rPr>
          <w:rFonts w:hint="eastAsia"/>
          <w:color w:val="000000"/>
        </w:rPr>
        <w:t>必要的保障措施，协调相关成员单位按照《大鹏新区突发事件总体应急预案》确定的职责，依据各部门（单位）的应急预案进行保障。</w:t>
      </w:r>
      <w:bookmarkStart w:id="312" w:name="_Toc426382142"/>
      <w:bookmarkStart w:id="313" w:name="_Toc26213"/>
      <w:bookmarkStart w:id="314" w:name="_Toc421778817"/>
      <w:bookmarkStart w:id="315" w:name="_Toc42857152"/>
      <w:bookmarkStart w:id="316" w:name="_Toc2218"/>
      <w:bookmarkStart w:id="317" w:name="_Toc15573"/>
      <w:bookmarkStart w:id="318" w:name="_Toc27745411"/>
    </w:p>
    <w:p>
      <w:pPr>
        <w:pStyle w:val="29"/>
        <w:kinsoku/>
        <w:overflowPunct w:val="0"/>
        <w:topLinePunct/>
        <w:autoSpaceDE w:val="0"/>
        <w:autoSpaceDN w:val="0"/>
        <w:adjustRightInd w:val="0"/>
        <w:snapToGrid w:val="0"/>
        <w:spacing w:beforeLines="0" w:after="0" w:afterLines="0" w:line="560" w:lineRule="exact"/>
        <w:ind w:firstLine="0" w:firstLineChars="0"/>
        <w:jc w:val="center"/>
        <w:rPr>
          <w:rFonts w:hint="eastAsia" w:ascii="黑体" w:hAnsi="黑体" w:eastAsia="黑体"/>
          <w:color w:val="000000"/>
          <w:sz w:val="32"/>
        </w:rPr>
      </w:pPr>
      <w:r>
        <w:rPr>
          <w:rFonts w:ascii="黑体" w:hAnsi="黑体" w:eastAsia="黑体"/>
          <w:color w:val="000000"/>
          <w:sz w:val="32"/>
        </w:rPr>
        <w:br w:type="page"/>
      </w:r>
      <w:bookmarkStart w:id="319" w:name="_Toc87345230"/>
      <w:r>
        <w:rPr>
          <w:rFonts w:hint="eastAsia" w:ascii="黑体" w:hAnsi="黑体" w:eastAsia="黑体"/>
          <w:color w:val="000000"/>
          <w:sz w:val="32"/>
        </w:rPr>
        <w:t>5 监督管理</w:t>
      </w:r>
      <w:bookmarkEnd w:id="312"/>
      <w:bookmarkEnd w:id="313"/>
      <w:bookmarkEnd w:id="314"/>
      <w:bookmarkEnd w:id="315"/>
      <w:bookmarkEnd w:id="316"/>
      <w:bookmarkEnd w:id="317"/>
      <w:bookmarkEnd w:id="318"/>
      <w:bookmarkEnd w:id="319"/>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320" w:name="_Toc42857153"/>
      <w:bookmarkStart w:id="321" w:name="_Toc26630"/>
      <w:bookmarkStart w:id="322" w:name="_Toc12775"/>
      <w:bookmarkStart w:id="323" w:name="_Toc15535"/>
      <w:bookmarkStart w:id="324" w:name="_Toc27745412"/>
      <w:bookmarkStart w:id="325" w:name="_Toc87345231"/>
      <w:bookmarkStart w:id="326" w:name="_Toc425516814"/>
      <w:bookmarkStart w:id="327" w:name="_Toc426382146"/>
      <w:bookmarkStart w:id="328" w:name="_Toc426383313"/>
      <w:bookmarkStart w:id="329" w:name="_Toc427138744"/>
      <w:bookmarkStart w:id="330" w:name="_Toc426383312"/>
      <w:bookmarkStart w:id="331" w:name="_Toc427138742"/>
      <w:r>
        <w:rPr>
          <w:rFonts w:hint="eastAsia" w:hAnsi="楷体"/>
          <w:color w:val="000000"/>
        </w:rPr>
        <w:t xml:space="preserve">5.1 </w:t>
      </w:r>
      <w:bookmarkEnd w:id="320"/>
      <w:bookmarkEnd w:id="321"/>
      <w:bookmarkEnd w:id="322"/>
      <w:bookmarkEnd w:id="323"/>
      <w:bookmarkEnd w:id="324"/>
      <w:r>
        <w:rPr>
          <w:rFonts w:hint="eastAsia" w:hAnsi="楷体"/>
          <w:color w:val="000000"/>
        </w:rPr>
        <w:t>预案管理</w:t>
      </w:r>
      <w:bookmarkEnd w:id="325"/>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（1）大鹏</w:t>
      </w:r>
      <w:r>
        <w:rPr>
          <w:rFonts w:hint="default"/>
          <w:color w:val="000000"/>
        </w:rPr>
        <w:t>新区应急管理局</w:t>
      </w:r>
      <w:r>
        <w:rPr>
          <w:rFonts w:hint="eastAsia"/>
          <w:color w:val="000000"/>
        </w:rPr>
        <w:t>负责大鹏新区区域内生产安全事故应急预案的综合协调管理工作。各级负有安全生产监督管理职责的部门按照各自的职责负责有关行业、领域应急预案的管理工作，指导、督促生产经营单位做好应急预案的编制、评审、公布、备案、宣传、教育、培训、演练、评估、修订及监督管理工作，建立健全本行业、本领域安全生产应急管理体系。</w:t>
      </w:r>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（2）大鹏新区安委会成员单位编制的生产安全事故应急预案（含专项应急预案）应报大鹏</w:t>
      </w:r>
      <w:r>
        <w:rPr>
          <w:rFonts w:hint="default"/>
          <w:color w:val="000000"/>
        </w:rPr>
        <w:t>新区应急管理局</w:t>
      </w:r>
      <w:r>
        <w:rPr>
          <w:rFonts w:hint="eastAsia"/>
          <w:color w:val="000000"/>
        </w:rPr>
        <w:t>备案。</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32" w:name="_Toc87345232"/>
      <w:r>
        <w:rPr>
          <w:rFonts w:hint="eastAsia" w:hAnsi="楷体"/>
          <w:color w:val="000000"/>
        </w:rPr>
        <w:t>5.2 应急演练</w:t>
      </w:r>
      <w:bookmarkEnd w:id="332"/>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（1）大鹏</w:t>
      </w:r>
      <w:r>
        <w:rPr>
          <w:rFonts w:hint="default"/>
          <w:color w:val="000000"/>
        </w:rPr>
        <w:t>新区应急管理局</w:t>
      </w:r>
      <w:r>
        <w:rPr>
          <w:rFonts w:hint="eastAsia"/>
          <w:color w:val="000000"/>
        </w:rPr>
        <w:t>统筹协调和检查指导大鹏新区生产安全事故应急演练工作，负责规划、组织和实施跨区域、跨系统的区级综合应急演练。</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w w:val="100"/>
        </w:rPr>
        <w:t>（2）各办事处负责本辖区应急演练的综合管理工作，根据实际需要定期组织综合应急演练。本辖区社会团体、事业单位、社区工作站也应结合实际开展应急演练</w:t>
      </w:r>
      <w:r>
        <w:rPr>
          <w:rFonts w:hint="eastAsia"/>
          <w:color w:val="000000"/>
        </w:rPr>
        <w:t>。</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（3）企业单位每年至少组织一次综合预案或专项预案的应急救援演练，每半年至少举行一次现场处置方案的演练，通过演练不断提高发生事故时迅速反应、正确有效处置能力。</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33" w:name="_Toc87345233"/>
      <w:r>
        <w:rPr>
          <w:rFonts w:hint="eastAsia" w:hAnsi="楷体"/>
          <w:color w:val="000000"/>
        </w:rPr>
        <w:t>5.3 宣传培训</w:t>
      </w:r>
      <w:bookmarkEnd w:id="333"/>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1）大鹏新区有关部门（单位）、各办事处应当开展应急法律法规、应急预案和应急知识宣传教育活动，增强全民安全生产意识和预防、避险、自救、互救等能力。充分利用广播、电视、报纸、互联网等多种载体，开展应急宣传教育。新闻媒体应当无偿开展生产安全事故预防和应对、自救互救知识的公益宣传。</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（2）大鹏新区应急管理局组织或督促开展面向领导干部、应急管理干部、新闻发言人、基层干部的应急管理</w:t>
      </w:r>
      <w:r>
        <w:rPr>
          <w:rFonts w:hint="eastAsia"/>
          <w:color w:val="000000"/>
          <w:w w:val="100"/>
        </w:rPr>
        <w:t>专题培训，提升其预防和应对生产安全事故的意识和能力</w:t>
      </w:r>
      <w:r>
        <w:rPr>
          <w:rFonts w:hint="eastAsia"/>
          <w:color w:val="000000"/>
        </w:rPr>
        <w:t>。</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（3）大鹏新区各有关部门（单位）应当按照隶属关系和管理责任，加强本系统、本领域专业应急救援队伍的培训，提高其专业救援能力和安全防护技能。</w:t>
      </w:r>
    </w:p>
    <w:p>
      <w:pPr>
        <w:kinsoku/>
        <w:overflowPunct w:val="0"/>
        <w:topLinePunct/>
        <w:autoSpaceDE w:val="0"/>
        <w:autoSpaceDN w:val="0"/>
        <w:adjustRightInd w:val="0"/>
        <w:snapToGrid w:val="0"/>
        <w:spacing w:beforeLines="0" w:afterLines="0" w:line="560" w:lineRule="exact"/>
        <w:ind w:firstLine="664"/>
        <w:rPr>
          <w:color w:val="000000"/>
        </w:rPr>
      </w:pPr>
      <w:r>
        <w:rPr>
          <w:rFonts w:hint="eastAsia"/>
          <w:color w:val="000000"/>
        </w:rPr>
        <w:t>（4）新区群团工作部协助相关部门，组织协调志愿者开展应急志愿者培训工作，使其掌握应急管理法律法规和事故应急救援基本技能，增强现场组织、自救互救以及配合专业救援队伍开展工作的能力。</w:t>
      </w:r>
    </w:p>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Ansi="楷体"/>
          <w:color w:val="000000"/>
        </w:rPr>
      </w:pPr>
      <w:bookmarkStart w:id="334" w:name="_Toc87345234"/>
      <w:r>
        <w:rPr>
          <w:rFonts w:hint="eastAsia" w:hAnsi="楷体"/>
          <w:color w:val="000000"/>
        </w:rPr>
        <w:t>5.4 责任与奖惩</w:t>
      </w:r>
      <w:bookmarkEnd w:id="334"/>
    </w:p>
    <w:p>
      <w:pPr>
        <w:kinsoku/>
        <w:overflowPunct w:val="0"/>
        <w:topLinePunct/>
        <w:autoSpaceDE w:val="0"/>
        <w:autoSpaceDN w:val="0"/>
        <w:adjustRightInd w:val="0"/>
        <w:snapToGrid w:val="0"/>
        <w:spacing w:beforeLines="0" w:afterLines="0" w:line="560" w:lineRule="exact"/>
        <w:ind w:firstLine="664"/>
        <w:rPr>
          <w:rFonts w:hint="eastAsia"/>
          <w:color w:val="000000"/>
        </w:rPr>
      </w:pPr>
      <w:r>
        <w:rPr>
          <w:rFonts w:hint="eastAsia"/>
          <w:color w:val="000000"/>
        </w:rPr>
        <w:t>应急指挥部根据事故调查报告提请大鹏新区管委会对在生产安全事故应急处置中</w:t>
      </w:r>
      <w:r>
        <w:rPr>
          <w:rFonts w:hint="default"/>
          <w:color w:val="000000"/>
        </w:rPr>
        <w:t>作出</w:t>
      </w:r>
      <w:r>
        <w:rPr>
          <w:rFonts w:hint="eastAsia"/>
          <w:color w:val="000000"/>
        </w:rPr>
        <w:t>贡献的部门（单位）、个人（在编在职人员除外）给予表彰和奖励。对在应急处置工作中拒报、迟报、谎报、瞒报和漏报事故重要情况，或者在应急处置工作中有失职、渎职行为的有关单位和责任人，按照相关法律法规的规定进行处罚；情节严重的，交由司法机关处理。</w:t>
      </w:r>
    </w:p>
    <w:bookmarkEnd w:id="326"/>
    <w:bookmarkEnd w:id="327"/>
    <w:bookmarkEnd w:id="328"/>
    <w:bookmarkEnd w:id="329"/>
    <w:bookmarkEnd w:id="330"/>
    <w:bookmarkEnd w:id="331"/>
    <w:p>
      <w:pPr>
        <w:pStyle w:val="5"/>
        <w:keepNext w:val="0"/>
        <w:keepLines w:val="0"/>
        <w:kinsoku/>
        <w:overflowPunct w:val="0"/>
        <w:topLinePunct/>
        <w:autoSpaceDE w:val="0"/>
        <w:autoSpaceDN w:val="0"/>
        <w:adjustRightInd w:val="0"/>
        <w:snapToGrid w:val="0"/>
        <w:spacing w:before="0" w:beforeLines="0" w:after="0" w:afterLines="0" w:line="560" w:lineRule="exact"/>
        <w:ind w:firstLine="692" w:firstLineChars="200"/>
        <w:rPr>
          <w:rFonts w:hint="eastAsia" w:hAnsi="楷体"/>
          <w:color w:val="000000"/>
        </w:rPr>
      </w:pPr>
      <w:bookmarkStart w:id="335" w:name="_Toc42857157"/>
      <w:bookmarkStart w:id="336" w:name="_Toc87345235"/>
      <w:bookmarkStart w:id="337" w:name="_Toc408494717"/>
      <w:bookmarkStart w:id="338" w:name="_Toc421778824"/>
      <w:bookmarkStart w:id="339" w:name="_Toc27745416"/>
      <w:bookmarkStart w:id="340" w:name="_Toc24206"/>
      <w:bookmarkStart w:id="341" w:name="_Toc19867"/>
      <w:bookmarkStart w:id="342" w:name="_Toc10466"/>
      <w:r>
        <w:rPr>
          <w:rFonts w:hint="eastAsia" w:hAnsi="楷体"/>
          <w:color w:val="000000"/>
        </w:rPr>
        <w:t>5.</w:t>
      </w:r>
      <w:r>
        <w:rPr>
          <w:rFonts w:hAnsi="楷体"/>
          <w:color w:val="000000"/>
        </w:rPr>
        <w:t>5</w:t>
      </w:r>
      <w:r>
        <w:rPr>
          <w:rFonts w:hint="eastAsia" w:hAnsi="楷体"/>
          <w:color w:val="000000"/>
        </w:rPr>
        <w:t xml:space="preserve"> 预案实施</w:t>
      </w:r>
      <w:bookmarkEnd w:id="335"/>
      <w:bookmarkEnd w:id="336"/>
      <w:bookmarkEnd w:id="337"/>
      <w:bookmarkEnd w:id="338"/>
      <w:bookmarkEnd w:id="339"/>
      <w:bookmarkEnd w:id="340"/>
      <w:bookmarkEnd w:id="341"/>
      <w:bookmarkEnd w:id="342"/>
    </w:p>
    <w:p>
      <w:pPr>
        <w:kinsoku/>
        <w:overflowPunct w:val="0"/>
        <w:topLinePunct/>
        <w:autoSpaceDE w:val="0"/>
        <w:autoSpaceDN w:val="0"/>
        <w:adjustRightInd w:val="0"/>
        <w:snapToGrid w:val="0"/>
        <w:spacing w:beforeLines="0" w:afterLines="0" w:line="560" w:lineRule="exact"/>
        <w:ind w:firstLine="664"/>
        <w:rPr>
          <w:rFonts w:hint="eastAsia"/>
          <w:color w:val="000000"/>
        </w:rPr>
      </w:pPr>
      <w:bookmarkStart w:id="343" w:name="_Toc408494718"/>
      <w:bookmarkStart w:id="344" w:name="_Toc403430667"/>
      <w:r>
        <w:rPr>
          <w:rFonts w:hint="eastAsia"/>
          <w:color w:val="000000"/>
        </w:rPr>
        <w:t>本预案自发布之日起施行。原《大鹏新区生产安全事故应急预案》同时废止。</w:t>
      </w:r>
    </w:p>
    <w:bookmarkEnd w:id="343"/>
    <w:bookmarkEnd w:id="344"/>
    <w:p>
      <w:pPr>
        <w:pStyle w:val="29"/>
        <w:kinsoku w:val="0"/>
        <w:overflowPunct w:val="0"/>
        <w:autoSpaceDE w:val="0"/>
        <w:autoSpaceDN w:val="0"/>
        <w:adjustRightInd w:val="0"/>
        <w:snapToGrid w:val="0"/>
        <w:spacing w:beforeLines="0" w:after="0" w:afterLines="0" w:line="560" w:lineRule="exact"/>
        <w:ind w:firstLine="692" w:firstLineChars="200"/>
        <w:rPr>
          <w:rFonts w:hint="eastAsia" w:ascii="黑体" w:hAnsi="黑体" w:eastAsia="黑体"/>
          <w:color w:val="000000"/>
          <w:sz w:val="32"/>
        </w:rPr>
      </w:pPr>
      <w:bookmarkStart w:id="345" w:name="_Toc426382150"/>
      <w:r>
        <w:rPr>
          <w:rFonts w:ascii="黑体" w:hAnsi="黑体" w:eastAsia="黑体"/>
          <w:color w:val="000000"/>
          <w:sz w:val="32"/>
        </w:rPr>
        <w:br w:type="page"/>
      </w:r>
      <w:bookmarkStart w:id="346" w:name="_Toc42857158"/>
      <w:bookmarkStart w:id="347" w:name="_Toc23934"/>
      <w:bookmarkStart w:id="348" w:name="_Toc5931"/>
      <w:bookmarkStart w:id="349" w:name="_Toc27745417"/>
      <w:bookmarkStart w:id="350" w:name="_Toc6147"/>
      <w:bookmarkStart w:id="351" w:name="_Toc87345236"/>
      <w:r>
        <w:rPr>
          <w:rFonts w:ascii="黑体" w:hAnsi="黑体" w:eastAsia="黑体"/>
          <w:color w:val="000000"/>
          <w:sz w:val="32"/>
        </w:rPr>
        <w:t>6</w:t>
      </w:r>
      <w:r>
        <w:rPr>
          <w:rFonts w:hint="eastAsia" w:ascii="黑体" w:hAnsi="黑体" w:eastAsia="黑体"/>
          <w:color w:val="000000"/>
          <w:sz w:val="32"/>
        </w:rPr>
        <w:t xml:space="preserve"> 附件</w:t>
      </w:r>
      <w:bookmarkEnd w:id="346"/>
      <w:bookmarkEnd w:id="347"/>
      <w:bookmarkEnd w:id="348"/>
      <w:bookmarkEnd w:id="349"/>
      <w:bookmarkEnd w:id="350"/>
      <w:bookmarkEnd w:id="351"/>
    </w:p>
    <w:p>
      <w:pPr>
        <w:kinsoku w:val="0"/>
        <w:overflowPunct w:val="0"/>
        <w:autoSpaceDE w:val="0"/>
        <w:autoSpaceDN w:val="0"/>
        <w:adjustRightInd w:val="0"/>
        <w:snapToGrid w:val="0"/>
        <w:spacing w:beforeLines="0" w:after="0" w:afterLines="0" w:line="560" w:lineRule="exact"/>
        <w:ind w:firstLine="692" w:firstLineChars="200"/>
        <w:outlineLvl w:val="1"/>
        <w:rPr>
          <w:color w:val="000000"/>
        </w:rPr>
      </w:pPr>
      <w:r>
        <w:rPr>
          <w:rFonts w:hint="default"/>
          <w:color w:val="000000"/>
        </w:rPr>
        <w:t>1.</w:t>
      </w:r>
      <w:r>
        <w:rPr>
          <w:rFonts w:hint="eastAsia"/>
          <w:color w:val="000000"/>
        </w:rPr>
        <w:t>大鹏新区生产安全事故应急指挥部设置图</w:t>
      </w:r>
    </w:p>
    <w:p>
      <w:pPr>
        <w:kinsoku w:val="0"/>
        <w:overflowPunct w:val="0"/>
        <w:autoSpaceDE w:val="0"/>
        <w:autoSpaceDN w:val="0"/>
        <w:adjustRightInd w:val="0"/>
        <w:snapToGrid w:val="0"/>
        <w:spacing w:beforeLines="0" w:after="0" w:afterLines="0" w:line="560" w:lineRule="exact"/>
        <w:outlineLvl w:val="1"/>
        <w:rPr>
          <w:color w:val="000000"/>
        </w:rPr>
      </w:pPr>
      <w:bookmarkStart w:id="352" w:name="_Hlk79673643"/>
      <w:bookmarkStart w:id="353" w:name="_Hlk79674100"/>
      <w:r>
        <w:rPr>
          <w:rFonts w:hint="eastAsia"/>
          <w:color w:val="000000"/>
        </w:rPr>
        <w:t>2</w:t>
      </w:r>
      <w:r>
        <w:rPr>
          <w:rFonts w:hint="default"/>
          <w:color w:val="000000"/>
        </w:rPr>
        <w:t>.</w:t>
      </w:r>
      <w:r>
        <w:rPr>
          <w:rFonts w:hint="eastAsia"/>
          <w:color w:val="000000"/>
        </w:rPr>
        <w:t>大鹏新区生产安全事故现场指挥部设置图</w:t>
      </w:r>
    </w:p>
    <w:bookmarkEnd w:id="352"/>
    <w:p>
      <w:pPr>
        <w:kinsoku w:val="0"/>
        <w:overflowPunct w:val="0"/>
        <w:autoSpaceDE w:val="0"/>
        <w:autoSpaceDN w:val="0"/>
        <w:adjustRightInd w:val="0"/>
        <w:snapToGrid w:val="0"/>
        <w:spacing w:beforeLines="0" w:after="0" w:afterLines="0" w:line="560" w:lineRule="exact"/>
        <w:ind w:firstLine="692" w:firstLineChars="200"/>
        <w:outlineLvl w:val="1"/>
        <w:rPr>
          <w:color w:val="000000"/>
        </w:rPr>
      </w:pPr>
      <w:r>
        <w:rPr>
          <w:rFonts w:hint="eastAsia"/>
          <w:color w:val="000000"/>
        </w:rPr>
        <w:t>3</w:t>
      </w:r>
      <w:r>
        <w:rPr>
          <w:rFonts w:hint="default"/>
          <w:color w:val="000000"/>
        </w:rPr>
        <w:t>.</w:t>
      </w:r>
      <w:r>
        <w:rPr>
          <w:rFonts w:hint="eastAsia"/>
          <w:color w:val="000000"/>
        </w:rPr>
        <w:t>大鹏新区生产安全事故应急处置工作流程图</w:t>
      </w:r>
    </w:p>
    <w:bookmarkEnd w:id="353"/>
    <w:p>
      <w:pPr>
        <w:kinsoku w:val="0"/>
        <w:overflowPunct w:val="0"/>
        <w:autoSpaceDE w:val="0"/>
        <w:autoSpaceDN w:val="0"/>
        <w:adjustRightInd w:val="0"/>
        <w:snapToGrid w:val="0"/>
        <w:spacing w:beforeLines="0" w:after="0" w:afterLines="0" w:line="560" w:lineRule="exact"/>
        <w:ind w:firstLine="692" w:firstLineChars="200"/>
        <w:outlineLvl w:val="9"/>
        <w:rPr>
          <w:rFonts w:hint="eastAsia" w:ascii="CESI黑体-GB18030" w:hAnsi="CESI黑体-GB18030" w:eastAsia="CESI黑体-GB18030" w:cs="CESI黑体-GB18030"/>
          <w:color w:val="000000"/>
        </w:rPr>
      </w:pPr>
    </w:p>
    <w:p>
      <w:pPr>
        <w:kinsoku w:val="0"/>
        <w:overflowPunct w:val="0"/>
        <w:autoSpaceDE w:val="0"/>
        <w:autoSpaceDN w:val="0"/>
        <w:adjustRightInd w:val="0"/>
        <w:snapToGrid w:val="0"/>
        <w:spacing w:beforeLines="0" w:after="0" w:afterLines="0" w:line="560" w:lineRule="exact"/>
        <w:ind w:firstLine="692" w:firstLineChars="200"/>
        <w:outlineLvl w:val="9"/>
        <w:rPr>
          <w:rFonts w:hint="eastAsia" w:ascii="CESI黑体-GB18030" w:hAnsi="CESI黑体-GB18030" w:eastAsia="CESI黑体-GB18030" w:cs="CESI黑体-GB18030"/>
          <w:color w:val="000000"/>
        </w:rPr>
      </w:pPr>
    </w:p>
    <w:p>
      <w:pPr>
        <w:kinsoku w:val="0"/>
        <w:overflowPunct w:val="0"/>
        <w:autoSpaceDE w:val="0"/>
        <w:autoSpaceDN w:val="0"/>
        <w:adjustRightInd w:val="0"/>
        <w:snapToGrid w:val="0"/>
        <w:spacing w:beforeLines="0" w:after="0" w:afterLines="0" w:line="560" w:lineRule="exact"/>
        <w:ind w:firstLine="692" w:firstLineChars="200"/>
        <w:outlineLvl w:val="9"/>
        <w:rPr>
          <w:rFonts w:hint="eastAsia" w:ascii="CESI黑体-GB18030" w:hAnsi="CESI黑体-GB18030" w:eastAsia="CESI黑体-GB18030" w:cs="CESI黑体-GB18030"/>
          <w:color w:val="000000"/>
        </w:rPr>
      </w:pPr>
    </w:p>
    <w:p>
      <w:pPr>
        <w:kinsoku w:val="0"/>
        <w:overflowPunct w:val="0"/>
        <w:autoSpaceDE w:val="0"/>
        <w:autoSpaceDN w:val="0"/>
        <w:adjustRightInd w:val="0"/>
        <w:snapToGrid w:val="0"/>
        <w:spacing w:beforeLines="0" w:after="0" w:afterLines="0" w:line="560" w:lineRule="exact"/>
        <w:ind w:firstLine="692" w:firstLineChars="200"/>
        <w:outlineLvl w:val="9"/>
        <w:rPr>
          <w:rFonts w:hint="eastAsia" w:ascii="CESI黑体-GB18030" w:hAnsi="CESI黑体-GB18030" w:eastAsia="CESI黑体-GB18030" w:cs="CESI黑体-GB18030"/>
          <w:color w:val="000000"/>
        </w:rPr>
      </w:pPr>
    </w:p>
    <w:p>
      <w:pPr>
        <w:kinsoku w:val="0"/>
        <w:overflowPunct w:val="0"/>
        <w:autoSpaceDE w:val="0"/>
        <w:autoSpaceDN w:val="0"/>
        <w:adjustRightInd w:val="0"/>
        <w:snapToGrid w:val="0"/>
        <w:spacing w:beforeLines="0" w:after="0" w:afterLines="0" w:line="560" w:lineRule="exact"/>
        <w:ind w:firstLine="692" w:firstLineChars="200"/>
        <w:outlineLvl w:val="9"/>
        <w:rPr>
          <w:rFonts w:hint="eastAsia" w:ascii="CESI黑体-GB18030" w:hAnsi="CESI黑体-GB18030" w:eastAsia="CESI黑体-GB18030" w:cs="CESI黑体-GB18030"/>
          <w:color w:val="000000"/>
        </w:rPr>
      </w:pPr>
    </w:p>
    <w:p>
      <w:pPr>
        <w:pStyle w:val="2"/>
        <w:kinsoku w:val="0"/>
        <w:overflowPunct w:val="0"/>
        <w:autoSpaceDE w:val="0"/>
        <w:autoSpaceDN w:val="0"/>
        <w:adjustRightInd w:val="0"/>
        <w:snapToGrid w:val="0"/>
        <w:spacing w:before="0" w:beforeLines="0" w:beforeAutospacing="0" w:afterLines="0"/>
        <w:ind w:firstLine="0" w:firstLineChars="0"/>
        <w:outlineLvl w:val="0"/>
        <w:rPr>
          <w:color w:val="000000"/>
        </w:rPr>
        <w:sectPr>
          <w:footerReference r:id="rId7" w:type="default"/>
          <w:pgSz w:w="11905" w:h="16838"/>
          <w:pgMar w:top="2098" w:right="1474" w:bottom="1984" w:left="1587" w:header="851" w:footer="1701" w:gutter="170"/>
          <w:pgBorders>
            <w:top w:val="none" w:sz="0" w:space="0"/>
            <w:left w:val="none" w:sz="0" w:space="0"/>
            <w:bottom w:val="none" w:sz="0" w:space="0"/>
            <w:right w:val="none" w:sz="0" w:space="0"/>
          </w:pgBorders>
          <w:pgNumType w:fmt="numberInDash" w:start="1"/>
          <w:cols w:space="720" w:num="1"/>
          <w:rtlGutter w:val="0"/>
          <w:docGrid w:type="linesAndChars" w:linePitch="442" w:charSpace="5521"/>
        </w:sectPr>
      </w:pPr>
      <w:bookmarkStart w:id="354" w:name="_Hlk80025695"/>
    </w:p>
    <w:p>
      <w:pPr>
        <w:pStyle w:val="2"/>
        <w:kinsoku w:val="0"/>
        <w:overflowPunct w:val="0"/>
        <w:autoSpaceDE w:val="0"/>
        <w:autoSpaceDN w:val="0"/>
        <w:adjustRightInd w:val="0"/>
        <w:snapToGrid w:val="0"/>
        <w:spacing w:before="0" w:beforeLines="0" w:beforeAutospacing="0" w:afterLines="0" w:line="560" w:lineRule="exact"/>
        <w:ind w:firstLine="0" w:firstLineChars="0"/>
        <w:outlineLvl w:val="0"/>
        <w:rPr>
          <w:rFonts w:hint="default" w:ascii="CESI黑体-GB18030" w:hAnsi="CESI黑体-GB18030" w:eastAsia="CESI黑体-GB18030" w:cs="CESI黑体-GB18030"/>
          <w:color w:val="000000"/>
          <w:sz w:val="32"/>
          <w:szCs w:val="32"/>
        </w:rPr>
      </w:pPr>
      <w:bookmarkStart w:id="355" w:name="_Toc87345239"/>
      <w:bookmarkStart w:id="356" w:name="_Hlk79683227"/>
      <w:r>
        <w:rPr>
          <w:rFonts w:hint="eastAsia" w:ascii="CESI黑体-GB18030" w:hAnsi="CESI黑体-GB18030" w:eastAsia="CESI黑体-GB18030" w:cs="CESI黑体-GB18030"/>
          <w:color w:val="000000"/>
          <w:sz w:val="32"/>
          <w:szCs w:val="32"/>
        </w:rPr>
        <w:t>附件</w:t>
      </w:r>
      <w:r>
        <w:rPr>
          <w:rFonts w:hint="default" w:ascii="CESI黑体-GB18030" w:hAnsi="CESI黑体-GB18030" w:eastAsia="CESI黑体-GB18030" w:cs="CESI黑体-GB18030"/>
          <w:color w:val="000000"/>
          <w:sz w:val="32"/>
          <w:szCs w:val="32"/>
        </w:rPr>
        <w:t>1</w:t>
      </w:r>
    </w:p>
    <w:p>
      <w:pPr>
        <w:kinsoku w:val="0"/>
        <w:overflowPunct w:val="0"/>
        <w:autoSpaceDE w:val="0"/>
        <w:autoSpaceDN w:val="0"/>
        <w:adjustRightInd w:val="0"/>
        <w:snapToGrid w:val="0"/>
        <w:spacing w:beforeLines="0" w:afterLines="0" w:line="560" w:lineRule="exact"/>
        <w:ind w:firstLine="0" w:firstLineChars="0"/>
        <w:jc w:val="center"/>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val="0"/>
          <w:bCs w:val="0"/>
          <w:color w:val="000000"/>
          <w:sz w:val="44"/>
          <w:szCs w:val="44"/>
        </w:rPr>
        <w:t>大鹏新区生产安全事故应急指挥部设置图</w:t>
      </w:r>
      <w:bookmarkEnd w:id="355"/>
    </w:p>
    <w:bookmarkEnd w:id="356"/>
    <w:p>
      <w:pPr>
        <w:kinsoku w:val="0"/>
        <w:overflowPunct w:val="0"/>
        <w:autoSpaceDE w:val="0"/>
        <w:autoSpaceDN w:val="0"/>
        <w:adjustRightInd w:val="0"/>
        <w:snapToGrid w:val="0"/>
        <w:spacing w:beforeLines="0" w:afterLines="0" w:line="240" w:lineRule="auto"/>
        <w:ind w:firstLine="0" w:firstLineChars="0"/>
        <w:jc w:val="center"/>
        <w:rPr>
          <w:rFonts w:hint="eastAsia" w:ascii="CESI黑体-GB18030" w:hAnsi="CESI黑体-GB18030" w:eastAsia="CESI黑体-GB18030" w:cs="CESI黑体-GB18030"/>
          <w:b w:val="0"/>
          <w:bCs w:val="0"/>
          <w:color w:val="000000"/>
          <w:kern w:val="2"/>
          <w:szCs w:val="32"/>
        </w:rPr>
        <w:sectPr>
          <w:pgSz w:w="16838" w:h="11905" w:orient="landscape"/>
          <w:pgMar w:top="1587" w:right="2098" w:bottom="1474" w:left="1984" w:header="851" w:footer="1701" w:gutter="170"/>
          <w:pgBorders>
            <w:top w:val="none" w:sz="0" w:space="0"/>
            <w:left w:val="none" w:sz="0" w:space="0"/>
            <w:bottom w:val="none" w:sz="0" w:space="0"/>
            <w:right w:val="none" w:sz="0" w:space="0"/>
          </w:pgBorders>
          <w:pgNumType w:fmt="numberInDash"/>
          <w:cols w:space="720" w:num="1"/>
          <w:rtlGutter w:val="0"/>
          <w:docGrid w:type="linesAndChars" w:linePitch="442" w:charSpace="5521"/>
        </w:sectPr>
      </w:pPr>
      <w:r>
        <w:rPr>
          <w:color w:val="000000"/>
        </w:rPr>
        <w:drawing>
          <wp:inline distT="0" distB="0" distL="114300" distR="114300">
            <wp:extent cx="8749665" cy="4039235"/>
            <wp:effectExtent l="0" t="0" r="13335" b="1841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9"/>
                    <a:stretch>
                      <a:fillRect/>
                    </a:stretch>
                  </pic:blipFill>
                  <pic:spPr>
                    <a:xfrm>
                      <a:off x="0" y="0"/>
                      <a:ext cx="8749665" cy="4039235"/>
                    </a:xfrm>
                    <a:prstGeom prst="rect">
                      <a:avLst/>
                    </a:prstGeom>
                    <a:noFill/>
                    <a:ln>
                      <a:noFill/>
                    </a:ln>
                  </pic:spPr>
                </pic:pic>
              </a:graphicData>
            </a:graphic>
          </wp:inline>
        </w:drawing>
      </w:r>
      <w:bookmarkStart w:id="357" w:name="_Toc87345240"/>
      <w:bookmarkStart w:id="358" w:name="_Hlk80101457"/>
    </w:p>
    <w:bookmarkEnd w:id="357"/>
    <w:bookmarkEnd w:id="358"/>
    <w:p>
      <w:pPr>
        <w:pStyle w:val="4"/>
        <w:keepNext w:val="0"/>
        <w:keepLines w:val="0"/>
        <w:kinsoku w:val="0"/>
        <w:overflowPunct w:val="0"/>
        <w:autoSpaceDE w:val="0"/>
        <w:autoSpaceDN w:val="0"/>
        <w:adjustRightInd w:val="0"/>
        <w:snapToGrid w:val="0"/>
        <w:spacing w:beforeLines="0" w:afterLines="0"/>
        <w:ind w:firstLine="0" w:firstLineChars="0"/>
        <w:rPr>
          <w:rFonts w:hint="default" w:hAnsi="楷体"/>
          <w:color w:val="000000"/>
        </w:rPr>
      </w:pPr>
      <w:bookmarkStart w:id="359" w:name="_Toc87345241"/>
      <w:bookmarkStart w:id="360" w:name="_Hlk79683322"/>
      <w:r>
        <w:rPr>
          <w:rFonts w:hint="default" w:ascii="CESI黑体-GB18030" w:hAnsi="CESI黑体-GB18030" w:eastAsia="CESI黑体-GB18030" w:cs="CESI黑体-GB18030"/>
          <w:b w:val="0"/>
          <w:color w:val="000000"/>
          <w:kern w:val="2"/>
        </w:rPr>
        <w:t>附</w:t>
      </w:r>
      <w:r>
        <w:rPr>
          <w:rFonts w:hint="eastAsia" w:ascii="CESI黑体-GB18030" w:hAnsi="CESI黑体-GB18030" w:eastAsia="CESI黑体-GB18030" w:cs="CESI黑体-GB18030"/>
          <w:b w:val="0"/>
          <w:color w:val="000000"/>
          <w:kern w:val="2"/>
        </w:rPr>
        <w:t>件</w:t>
      </w:r>
      <w:r>
        <w:rPr>
          <w:rFonts w:hint="default" w:ascii="CESI黑体-GB18030" w:hAnsi="CESI黑体-GB18030" w:eastAsia="CESI黑体-GB18030" w:cs="CESI黑体-GB18030"/>
          <w:b w:val="0"/>
          <w:color w:val="000000"/>
          <w:kern w:val="2"/>
        </w:rPr>
        <w:t>2</w:t>
      </w:r>
    </w:p>
    <w:p>
      <w:pPr>
        <w:kinsoku w:val="0"/>
        <w:overflowPunct w:val="0"/>
        <w:autoSpaceDE w:val="0"/>
        <w:autoSpaceDN w:val="0"/>
        <w:adjustRightInd w:val="0"/>
        <w:snapToGrid w:val="0"/>
        <w:spacing w:beforeLines="0" w:afterLines="0" w:line="560" w:lineRule="exact"/>
        <w:ind w:firstLine="0" w:firstLineChars="0"/>
        <w:jc w:val="center"/>
        <w:outlineLvl w:val="9"/>
        <w:rPr>
          <w:rFonts w:hint="eastAsia" w:ascii="方正小标宋简体" w:hAnsi="方正小标宋简体" w:eastAsia="方正小标宋简体" w:cs="方正小标宋简体"/>
          <w:bCs w:val="0"/>
          <w:color w:val="000000"/>
          <w:sz w:val="44"/>
          <w:szCs w:val="44"/>
        </w:rPr>
      </w:pPr>
      <w:r>
        <w:rPr>
          <w:rFonts w:hint="eastAsia" w:ascii="方正小标宋简体" w:hAnsi="方正小标宋简体" w:eastAsia="方正小标宋简体" w:cs="方正小标宋简体"/>
          <w:bCs w:val="0"/>
          <w:color w:val="000000"/>
          <w:sz w:val="44"/>
          <w:szCs w:val="44"/>
        </w:rPr>
        <w:t>大鹏新区生产安全事故现场指挥部设置图</w:t>
      </w:r>
      <w:bookmarkEnd w:id="359"/>
    </w:p>
    <w:bookmarkEnd w:id="360"/>
    <w:p>
      <w:pPr>
        <w:kinsoku w:val="0"/>
        <w:overflowPunct w:val="0"/>
        <w:autoSpaceDE w:val="0"/>
        <w:autoSpaceDN w:val="0"/>
        <w:adjustRightInd w:val="0"/>
        <w:snapToGrid w:val="0"/>
        <w:spacing w:beforeLines="0" w:afterLines="0" w:line="240" w:lineRule="auto"/>
        <w:ind w:firstLine="0" w:firstLineChars="0"/>
        <w:jc w:val="center"/>
        <w:rPr>
          <w:color w:val="000000"/>
        </w:rPr>
      </w:pPr>
      <w:r>
        <w:rPr>
          <w:color w:val="000000"/>
        </w:rPr>
        <w:drawing>
          <wp:inline distT="0" distB="0" distL="114300" distR="114300">
            <wp:extent cx="8749030" cy="3883025"/>
            <wp:effectExtent l="0" t="0" r="1397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rcRect b="6854"/>
                    <a:stretch>
                      <a:fillRect/>
                    </a:stretch>
                  </pic:blipFill>
                  <pic:spPr>
                    <a:xfrm>
                      <a:off x="0" y="0"/>
                      <a:ext cx="8749030" cy="3883025"/>
                    </a:xfrm>
                    <a:prstGeom prst="rect">
                      <a:avLst/>
                    </a:prstGeom>
                    <a:noFill/>
                    <a:ln>
                      <a:noFill/>
                    </a:ln>
                  </pic:spPr>
                </pic:pic>
              </a:graphicData>
            </a:graphic>
          </wp:inline>
        </w:drawing>
      </w:r>
    </w:p>
    <w:p>
      <w:pPr>
        <w:kinsoku w:val="0"/>
        <w:overflowPunct w:val="0"/>
        <w:autoSpaceDE w:val="0"/>
        <w:autoSpaceDN w:val="0"/>
        <w:adjustRightInd w:val="0"/>
        <w:snapToGrid w:val="0"/>
        <w:spacing w:beforeLines="0" w:afterLines="0" w:line="360" w:lineRule="exact"/>
        <w:ind w:firstLine="0" w:firstLineChars="0"/>
        <w:rPr>
          <w:rFonts w:hint="eastAsia" w:ascii="方正小标宋简体" w:hAnsi="方正小标宋简体" w:eastAsia="方正小标宋简体" w:cs="方正小标宋简体"/>
          <w:b w:val="0"/>
          <w:color w:val="000000"/>
          <w:kern w:val="2"/>
          <w:sz w:val="44"/>
          <w:szCs w:val="44"/>
        </w:rPr>
        <w:sectPr>
          <w:pgSz w:w="16838" w:h="11905" w:orient="landscape"/>
          <w:pgMar w:top="1587" w:right="2098" w:bottom="1474" w:left="1984" w:header="851" w:footer="1701" w:gutter="170"/>
          <w:pgBorders>
            <w:top w:val="none" w:sz="0" w:space="0"/>
            <w:left w:val="none" w:sz="0" w:space="0"/>
            <w:bottom w:val="none" w:sz="0" w:space="0"/>
            <w:right w:val="none" w:sz="0" w:space="0"/>
          </w:pgBorders>
          <w:pgNumType w:fmt="numberInDash"/>
          <w:cols w:space="720" w:num="1"/>
          <w:rtlGutter w:val="0"/>
          <w:docGrid w:type="linesAndChars" w:linePitch="442" w:charSpace="5521"/>
        </w:sectPr>
      </w:pPr>
      <w:bookmarkStart w:id="361" w:name="_Toc87345244"/>
      <w:bookmarkStart w:id="362" w:name="_Hlk87118462"/>
    </w:p>
    <w:p>
      <w:pPr>
        <w:pStyle w:val="5"/>
        <w:keepNext w:val="0"/>
        <w:keepLines w:val="0"/>
        <w:kinsoku w:val="0"/>
        <w:overflowPunct w:val="0"/>
        <w:autoSpaceDE w:val="0"/>
        <w:autoSpaceDN w:val="0"/>
        <w:adjustRightInd w:val="0"/>
        <w:snapToGrid w:val="0"/>
        <w:spacing w:beforeLines="0" w:after="0" w:afterLines="0"/>
        <w:ind w:firstLine="0" w:firstLineChars="0"/>
        <w:jc w:val="both"/>
        <w:outlineLvl w:val="0"/>
        <w:rPr>
          <w:rFonts w:hint="default" w:ascii="CESI黑体-GB18030" w:hAnsi="CESI黑体-GB18030" w:eastAsia="CESI黑体-GB18030" w:cs="CESI黑体-GB18030"/>
          <w:b w:val="0"/>
          <w:color w:val="000000"/>
          <w:kern w:val="2"/>
          <w:sz w:val="32"/>
          <w:szCs w:val="32"/>
        </w:rPr>
      </w:pPr>
      <w:r>
        <w:rPr>
          <w:rFonts w:hint="eastAsia" w:ascii="CESI黑体-GB18030" w:hAnsi="CESI黑体-GB18030" w:eastAsia="CESI黑体-GB18030" w:cs="CESI黑体-GB18030"/>
          <w:b w:val="0"/>
          <w:color w:val="000000"/>
          <w:kern w:val="2"/>
          <w:sz w:val="32"/>
          <w:szCs w:val="32"/>
        </w:rPr>
        <w:t>附件</w:t>
      </w:r>
      <w:r>
        <w:rPr>
          <w:rFonts w:hint="default" w:ascii="CESI黑体-GB18030" w:hAnsi="CESI黑体-GB18030" w:eastAsia="CESI黑体-GB18030" w:cs="CESI黑体-GB18030"/>
          <w:b w:val="0"/>
          <w:color w:val="000000"/>
          <w:kern w:val="2"/>
          <w:sz w:val="32"/>
          <w:szCs w:val="32"/>
        </w:rPr>
        <w:t>3</w:t>
      </w:r>
    </w:p>
    <w:p>
      <w:pPr>
        <w:kinsoku w:val="0"/>
        <w:overflowPunct w:val="0"/>
        <w:autoSpaceDE w:val="0"/>
        <w:autoSpaceDN w:val="0"/>
        <w:adjustRightInd w:val="0"/>
        <w:snapToGrid w:val="0"/>
        <w:spacing w:beforeLines="0" w:after="0" w:afterLines="0"/>
        <w:ind w:firstLine="0" w:firstLineChars="0"/>
        <w:rPr>
          <w:rFonts w:hint="eastAsia"/>
          <w:color w:val="000000"/>
        </w:rPr>
      </w:pPr>
    </w:p>
    <w:p>
      <w:pPr>
        <w:kinsoku w:val="0"/>
        <w:overflowPunct w:val="0"/>
        <w:autoSpaceDE w:val="0"/>
        <w:autoSpaceDN w:val="0"/>
        <w:adjustRightInd w:val="0"/>
        <w:snapToGrid w:val="0"/>
        <w:spacing w:beforeLines="0" w:after="0" w:afterLines="0"/>
        <w:ind w:firstLine="0" w:firstLineChars="0"/>
        <w:jc w:val="center"/>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大鹏新区生产安全事故应急处置工作流程图</w:t>
      </w:r>
      <w:bookmarkEnd w:id="361"/>
      <w:bookmarkEnd w:id="362"/>
    </w:p>
    <w:p>
      <w:pPr>
        <w:kinsoku w:val="0"/>
        <w:overflowPunct w:val="0"/>
        <w:autoSpaceDE w:val="0"/>
        <w:autoSpaceDN w:val="0"/>
        <w:adjustRightInd w:val="0"/>
        <w:snapToGrid w:val="0"/>
        <w:spacing w:beforeLines="0" w:afterLines="0" w:line="240" w:lineRule="auto"/>
        <w:ind w:firstLine="0" w:firstLineChars="0"/>
        <w:jc w:val="center"/>
        <w:rPr>
          <w:rFonts w:hint="eastAsia"/>
          <w:color w:val="000000"/>
        </w:rPr>
      </w:pPr>
      <w:r>
        <w:rPr>
          <w:color w:val="000000"/>
        </w:rPr>
        <w:drawing>
          <wp:inline distT="0" distB="0" distL="114300" distR="114300">
            <wp:extent cx="5354955" cy="6996430"/>
            <wp:effectExtent l="0" t="0" r="1714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rcRect l="8534" r="4993"/>
                    <a:stretch>
                      <a:fillRect/>
                    </a:stretch>
                  </pic:blipFill>
                  <pic:spPr>
                    <a:xfrm>
                      <a:off x="0" y="0"/>
                      <a:ext cx="5354955" cy="6996430"/>
                    </a:xfrm>
                    <a:prstGeom prst="rect">
                      <a:avLst/>
                    </a:prstGeom>
                    <a:noFill/>
                    <a:ln>
                      <a:noFill/>
                    </a:ln>
                  </pic:spPr>
                </pic:pic>
              </a:graphicData>
            </a:graphic>
          </wp:inline>
        </w:drawing>
      </w:r>
      <w:bookmarkEnd w:id="345"/>
      <w:bookmarkEnd w:id="354"/>
    </w:p>
    <w:sectPr>
      <w:pgSz w:w="11905" w:h="16838"/>
      <w:pgMar w:top="2098" w:right="1474" w:bottom="1984" w:left="1587" w:header="851" w:footer="1701" w:gutter="170"/>
      <w:pgBorders>
        <w:top w:val="none" w:sz="0" w:space="0"/>
        <w:left w:val="none" w:sz="0" w:space="0"/>
        <w:bottom w:val="none" w:sz="0" w:space="0"/>
        <w:right w:val="none" w:sz="0" w:space="0"/>
      </w:pgBorders>
      <w:pgNumType w:fmt="numberInDash"/>
      <w:cols w:space="720" w:num="1"/>
      <w:rtlGutter w:val="0"/>
      <w:docGrid w:type="linesAndChars" w:linePitch="442" w:charSpace="5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64"/>
      </w:pPr>
      <w:r>
        <w:separator/>
      </w:r>
    </w:p>
  </w:endnote>
  <w:endnote w:type="continuationSeparator" w:id="1">
    <w:p>
      <w:pPr>
        <w:spacing w:line="240" w:lineRule="auto"/>
        <w:ind w:firstLine="6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等线 Light">
    <w:altName w:val="华文仿宋"/>
    <w:panose1 w:val="02010600030101010101"/>
    <w:charset w:val="00"/>
    <w:family w:val="auto"/>
    <w:pitch w:val="default"/>
    <w:sig w:usb0="00000000" w:usb1="00000000" w:usb2="00000016" w:usb3="00000000" w:csb0="0004000F"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Menlo">
    <w:altName w:val="华文仿宋"/>
    <w:panose1 w:val="00000000000000000000"/>
    <w:charset w:val="00"/>
    <w:family w:val="auto"/>
    <w:pitch w:val="default"/>
    <w:sig w:usb0="00000000" w:usb1="00000000" w:usb2="00000000" w:usb3="00000000" w:csb0="00040001" w:csb1="00000000"/>
  </w:font>
  <w:font w:name="宋体-18030">
    <w:altName w:val="方正宋体S-超大字符集"/>
    <w:panose1 w:val="00000000000000000000"/>
    <w:charset w:val="00"/>
    <w:family w:val="modern"/>
    <w:pitch w:val="default"/>
    <w:sig w:usb0="00000000" w:usb1="00000000" w:usb2="000A005E"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CESI黑体-GB18030">
    <w:panose1 w:val="02000500000000000000"/>
    <w:charset w:val="86"/>
    <w:family w:val="auto"/>
    <w:pitch w:val="default"/>
    <w:sig w:usb0="A00002BF" w:usb1="38C7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spacing w:line="240" w:lineRule="auto"/>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IV</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7Y8LreAQAAvgMAAA4AAABkcnMv&#10;ZTJvRG9jLnhtbK1TzY7TMBC+I/EOlu802WqF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Ttjwut4BAAC+AwAADgAAAAAAAAABACAAAAA0AQAAZHJzL2Uyb0RvYy54bWxQSwUGAAAAAAYA&#10;BgBZAQAAhAUAAAAA&#10;">
              <v:fill on="f" focussize="0,0"/>
              <v:stroke on="f"/>
              <v:imagedata o:title=""/>
              <o:lock v:ext="edit" aspectratio="f"/>
              <v:textbox inset="0mm,0mm,0mm,0mm" style="mso-fit-shape-to-text:t;">
                <w:txbxContent>
                  <w:p>
                    <w:pPr>
                      <w:pStyle w:val="19"/>
                      <w:spacing w:line="240" w:lineRule="auto"/>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IV</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240" w:lineRule="auto"/>
      <w:ind w:firstLine="0" w:firstLineChars="0"/>
      <w:jc w:val="center"/>
      <w:rPr>
        <w:rFonts w:ascii="Times New Roman" w:eastAsia="宋体"/>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spacing w:line="240" w:lineRule="auto"/>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57 -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sEs1veAQAAvgMAAA4AAABkcnMv&#10;ZTJvRG9jLnhtbK1TzY7TMBC+I/EOlu802UqL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OwSzW94BAAC+AwAADgAAAAAAAAABACAAAAA0AQAAZHJzL2Uyb0RvYy54bWxQSwUGAAAAAAYA&#10;BgBZAQAAhAUAAAAA&#10;">
              <v:fill on="f" focussize="0,0"/>
              <v:stroke on="f"/>
              <v:imagedata o:title=""/>
              <o:lock v:ext="edit" aspectratio="f"/>
              <v:textbox inset="0mm,0mm,0mm,0mm" style="mso-fit-shape-to-text:t;">
                <w:txbxContent>
                  <w:p>
                    <w:pPr>
                      <w:pStyle w:val="19"/>
                      <w:spacing w:line="240" w:lineRule="auto"/>
                      <w:ind w:firstLine="0" w:firstLineChars="0"/>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57 -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64"/>
      </w:pPr>
      <w:r>
        <w:separator/>
      </w:r>
    </w:p>
  </w:footnote>
  <w:footnote w:type="continuationSeparator" w:id="1">
    <w:p>
      <w:pPr>
        <w:spacing w:line="240" w:lineRule="auto"/>
        <w:ind w:firstLine="66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173"/>
  <w:drawingGridVerticalSpacing w:val="221"/>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2F"/>
    <w:rsid w:val="00001D14"/>
    <w:rsid w:val="00002132"/>
    <w:rsid w:val="00002A5F"/>
    <w:rsid w:val="00003085"/>
    <w:rsid w:val="000049D9"/>
    <w:rsid w:val="000061C3"/>
    <w:rsid w:val="00010BE4"/>
    <w:rsid w:val="0001229B"/>
    <w:rsid w:val="000129E5"/>
    <w:rsid w:val="00013DBF"/>
    <w:rsid w:val="00014732"/>
    <w:rsid w:val="0001581A"/>
    <w:rsid w:val="000215F5"/>
    <w:rsid w:val="00021A02"/>
    <w:rsid w:val="00021AF0"/>
    <w:rsid w:val="0002215C"/>
    <w:rsid w:val="000251A4"/>
    <w:rsid w:val="00026724"/>
    <w:rsid w:val="00033742"/>
    <w:rsid w:val="00034464"/>
    <w:rsid w:val="00036B82"/>
    <w:rsid w:val="00037D30"/>
    <w:rsid w:val="0004011E"/>
    <w:rsid w:val="0004107E"/>
    <w:rsid w:val="00042647"/>
    <w:rsid w:val="00044188"/>
    <w:rsid w:val="00044B20"/>
    <w:rsid w:val="00045709"/>
    <w:rsid w:val="00050819"/>
    <w:rsid w:val="0005090A"/>
    <w:rsid w:val="0005389C"/>
    <w:rsid w:val="00053E7B"/>
    <w:rsid w:val="00053E88"/>
    <w:rsid w:val="00054A68"/>
    <w:rsid w:val="00055261"/>
    <w:rsid w:val="00055A09"/>
    <w:rsid w:val="00055D54"/>
    <w:rsid w:val="00057B48"/>
    <w:rsid w:val="00057F0E"/>
    <w:rsid w:val="0006008C"/>
    <w:rsid w:val="0006189A"/>
    <w:rsid w:val="00061920"/>
    <w:rsid w:val="00063315"/>
    <w:rsid w:val="00064CFA"/>
    <w:rsid w:val="00064F9F"/>
    <w:rsid w:val="00067C14"/>
    <w:rsid w:val="00070B40"/>
    <w:rsid w:val="000721DC"/>
    <w:rsid w:val="000729BA"/>
    <w:rsid w:val="00073283"/>
    <w:rsid w:val="000745CB"/>
    <w:rsid w:val="00074B78"/>
    <w:rsid w:val="00075215"/>
    <w:rsid w:val="0008006F"/>
    <w:rsid w:val="00083C5D"/>
    <w:rsid w:val="00083EC4"/>
    <w:rsid w:val="0008413F"/>
    <w:rsid w:val="00084247"/>
    <w:rsid w:val="00084EFD"/>
    <w:rsid w:val="00085D54"/>
    <w:rsid w:val="00085E0B"/>
    <w:rsid w:val="000861FF"/>
    <w:rsid w:val="000864D0"/>
    <w:rsid w:val="00090997"/>
    <w:rsid w:val="000917B5"/>
    <w:rsid w:val="0009299C"/>
    <w:rsid w:val="000935C1"/>
    <w:rsid w:val="000951FE"/>
    <w:rsid w:val="00095355"/>
    <w:rsid w:val="000977DD"/>
    <w:rsid w:val="000A0404"/>
    <w:rsid w:val="000A137E"/>
    <w:rsid w:val="000A22CD"/>
    <w:rsid w:val="000A30F0"/>
    <w:rsid w:val="000A38A8"/>
    <w:rsid w:val="000A3C46"/>
    <w:rsid w:val="000A69EA"/>
    <w:rsid w:val="000A6A4E"/>
    <w:rsid w:val="000A6E8F"/>
    <w:rsid w:val="000A74E1"/>
    <w:rsid w:val="000B01B8"/>
    <w:rsid w:val="000B0DE6"/>
    <w:rsid w:val="000B1732"/>
    <w:rsid w:val="000B488E"/>
    <w:rsid w:val="000B4B58"/>
    <w:rsid w:val="000B52A6"/>
    <w:rsid w:val="000B5559"/>
    <w:rsid w:val="000B5618"/>
    <w:rsid w:val="000B5A47"/>
    <w:rsid w:val="000B7934"/>
    <w:rsid w:val="000C05AD"/>
    <w:rsid w:val="000C1C97"/>
    <w:rsid w:val="000C1E09"/>
    <w:rsid w:val="000C26FC"/>
    <w:rsid w:val="000C38B9"/>
    <w:rsid w:val="000C6459"/>
    <w:rsid w:val="000C65E4"/>
    <w:rsid w:val="000C7859"/>
    <w:rsid w:val="000D0F04"/>
    <w:rsid w:val="000D162F"/>
    <w:rsid w:val="000D2C9C"/>
    <w:rsid w:val="000D6FDC"/>
    <w:rsid w:val="000D766E"/>
    <w:rsid w:val="000E0EBE"/>
    <w:rsid w:val="000E21F3"/>
    <w:rsid w:val="000E261D"/>
    <w:rsid w:val="000E2D84"/>
    <w:rsid w:val="000E3F96"/>
    <w:rsid w:val="000E490D"/>
    <w:rsid w:val="000E5690"/>
    <w:rsid w:val="000E5F9F"/>
    <w:rsid w:val="000E6E01"/>
    <w:rsid w:val="000E6FF0"/>
    <w:rsid w:val="000E7538"/>
    <w:rsid w:val="000E7758"/>
    <w:rsid w:val="000E7F4C"/>
    <w:rsid w:val="000F1715"/>
    <w:rsid w:val="000F4768"/>
    <w:rsid w:val="000F5D29"/>
    <w:rsid w:val="000F5EF4"/>
    <w:rsid w:val="000F68E7"/>
    <w:rsid w:val="000F6A46"/>
    <w:rsid w:val="00101183"/>
    <w:rsid w:val="0010157A"/>
    <w:rsid w:val="00104111"/>
    <w:rsid w:val="00104889"/>
    <w:rsid w:val="00105CE8"/>
    <w:rsid w:val="00107870"/>
    <w:rsid w:val="001111BA"/>
    <w:rsid w:val="00111FC1"/>
    <w:rsid w:val="001124EA"/>
    <w:rsid w:val="0011292B"/>
    <w:rsid w:val="00113576"/>
    <w:rsid w:val="00113CE1"/>
    <w:rsid w:val="00114519"/>
    <w:rsid w:val="00114C39"/>
    <w:rsid w:val="00114DB0"/>
    <w:rsid w:val="0011561C"/>
    <w:rsid w:val="00115688"/>
    <w:rsid w:val="00115C07"/>
    <w:rsid w:val="00115D99"/>
    <w:rsid w:val="00116E57"/>
    <w:rsid w:val="0011745C"/>
    <w:rsid w:val="00117492"/>
    <w:rsid w:val="00117603"/>
    <w:rsid w:val="001177FD"/>
    <w:rsid w:val="00120C92"/>
    <w:rsid w:val="001217F9"/>
    <w:rsid w:val="00123D25"/>
    <w:rsid w:val="0012541B"/>
    <w:rsid w:val="001265DE"/>
    <w:rsid w:val="00127F78"/>
    <w:rsid w:val="00130E99"/>
    <w:rsid w:val="001333ED"/>
    <w:rsid w:val="00133538"/>
    <w:rsid w:val="00133F49"/>
    <w:rsid w:val="001359C8"/>
    <w:rsid w:val="00135ACD"/>
    <w:rsid w:val="00137B56"/>
    <w:rsid w:val="00140C77"/>
    <w:rsid w:val="00140D85"/>
    <w:rsid w:val="0014524A"/>
    <w:rsid w:val="00145342"/>
    <w:rsid w:val="00146812"/>
    <w:rsid w:val="001501DF"/>
    <w:rsid w:val="00150313"/>
    <w:rsid w:val="00151488"/>
    <w:rsid w:val="0015177F"/>
    <w:rsid w:val="0015304A"/>
    <w:rsid w:val="00154211"/>
    <w:rsid w:val="0015458B"/>
    <w:rsid w:val="00154628"/>
    <w:rsid w:val="00155398"/>
    <w:rsid w:val="00155469"/>
    <w:rsid w:val="00155822"/>
    <w:rsid w:val="001565B0"/>
    <w:rsid w:val="0015769F"/>
    <w:rsid w:val="001601FB"/>
    <w:rsid w:val="001618D8"/>
    <w:rsid w:val="001639DD"/>
    <w:rsid w:val="001645EE"/>
    <w:rsid w:val="00165EB6"/>
    <w:rsid w:val="001673CD"/>
    <w:rsid w:val="001701DE"/>
    <w:rsid w:val="00170F2E"/>
    <w:rsid w:val="00172692"/>
    <w:rsid w:val="00173632"/>
    <w:rsid w:val="001746F2"/>
    <w:rsid w:val="001752DF"/>
    <w:rsid w:val="001753C6"/>
    <w:rsid w:val="00176827"/>
    <w:rsid w:val="00181A1D"/>
    <w:rsid w:val="0018236D"/>
    <w:rsid w:val="0018262A"/>
    <w:rsid w:val="00182DD9"/>
    <w:rsid w:val="0018361F"/>
    <w:rsid w:val="00184865"/>
    <w:rsid w:val="00185F01"/>
    <w:rsid w:val="001871B1"/>
    <w:rsid w:val="0019017C"/>
    <w:rsid w:val="00191413"/>
    <w:rsid w:val="00193A2C"/>
    <w:rsid w:val="001944DA"/>
    <w:rsid w:val="00194A1B"/>
    <w:rsid w:val="001956D0"/>
    <w:rsid w:val="00195B01"/>
    <w:rsid w:val="001968B8"/>
    <w:rsid w:val="00197178"/>
    <w:rsid w:val="001A2C69"/>
    <w:rsid w:val="001A5BE6"/>
    <w:rsid w:val="001A5EE2"/>
    <w:rsid w:val="001A6E44"/>
    <w:rsid w:val="001A76FD"/>
    <w:rsid w:val="001A7895"/>
    <w:rsid w:val="001B0213"/>
    <w:rsid w:val="001B1A09"/>
    <w:rsid w:val="001B3210"/>
    <w:rsid w:val="001B3264"/>
    <w:rsid w:val="001B5A4B"/>
    <w:rsid w:val="001B6C2C"/>
    <w:rsid w:val="001B7883"/>
    <w:rsid w:val="001B7E7A"/>
    <w:rsid w:val="001C047D"/>
    <w:rsid w:val="001C0D10"/>
    <w:rsid w:val="001C1C86"/>
    <w:rsid w:val="001C1F1B"/>
    <w:rsid w:val="001C60EC"/>
    <w:rsid w:val="001C66AC"/>
    <w:rsid w:val="001C66C8"/>
    <w:rsid w:val="001C6F91"/>
    <w:rsid w:val="001C706A"/>
    <w:rsid w:val="001C77D5"/>
    <w:rsid w:val="001D1413"/>
    <w:rsid w:val="001D1EFF"/>
    <w:rsid w:val="001D45E7"/>
    <w:rsid w:val="001D48F9"/>
    <w:rsid w:val="001D4B60"/>
    <w:rsid w:val="001D4FD1"/>
    <w:rsid w:val="001D52DC"/>
    <w:rsid w:val="001D632C"/>
    <w:rsid w:val="001D636A"/>
    <w:rsid w:val="001D677D"/>
    <w:rsid w:val="001E09D7"/>
    <w:rsid w:val="001E46F8"/>
    <w:rsid w:val="001E506A"/>
    <w:rsid w:val="001E7623"/>
    <w:rsid w:val="001E77BE"/>
    <w:rsid w:val="001F1689"/>
    <w:rsid w:val="001F1E0B"/>
    <w:rsid w:val="001F3FC7"/>
    <w:rsid w:val="001F4204"/>
    <w:rsid w:val="001F54E9"/>
    <w:rsid w:val="001F64C8"/>
    <w:rsid w:val="001F7DE1"/>
    <w:rsid w:val="00201DDC"/>
    <w:rsid w:val="002027A4"/>
    <w:rsid w:val="0020345D"/>
    <w:rsid w:val="002038FB"/>
    <w:rsid w:val="00204125"/>
    <w:rsid w:val="002062E9"/>
    <w:rsid w:val="002079F4"/>
    <w:rsid w:val="00210761"/>
    <w:rsid w:val="0021282B"/>
    <w:rsid w:val="00212FC3"/>
    <w:rsid w:val="00215A19"/>
    <w:rsid w:val="002165D8"/>
    <w:rsid w:val="00216C44"/>
    <w:rsid w:val="00220087"/>
    <w:rsid w:val="00221CA9"/>
    <w:rsid w:val="00223F71"/>
    <w:rsid w:val="00225204"/>
    <w:rsid w:val="002252C4"/>
    <w:rsid w:val="00226441"/>
    <w:rsid w:val="002278F8"/>
    <w:rsid w:val="002313EE"/>
    <w:rsid w:val="00231B90"/>
    <w:rsid w:val="002325CA"/>
    <w:rsid w:val="002345D4"/>
    <w:rsid w:val="00236515"/>
    <w:rsid w:val="0023779F"/>
    <w:rsid w:val="00240933"/>
    <w:rsid w:val="00240B13"/>
    <w:rsid w:val="002421D1"/>
    <w:rsid w:val="002425CD"/>
    <w:rsid w:val="00242E03"/>
    <w:rsid w:val="0024490D"/>
    <w:rsid w:val="0024766C"/>
    <w:rsid w:val="00247E0E"/>
    <w:rsid w:val="002513AF"/>
    <w:rsid w:val="00251E49"/>
    <w:rsid w:val="002521C7"/>
    <w:rsid w:val="002547A3"/>
    <w:rsid w:val="0025696E"/>
    <w:rsid w:val="002571E3"/>
    <w:rsid w:val="00257DCE"/>
    <w:rsid w:val="002623E6"/>
    <w:rsid w:val="00262B8E"/>
    <w:rsid w:val="00262FEE"/>
    <w:rsid w:val="00263527"/>
    <w:rsid w:val="00264411"/>
    <w:rsid w:val="002645BB"/>
    <w:rsid w:val="0026511D"/>
    <w:rsid w:val="00266D38"/>
    <w:rsid w:val="00267769"/>
    <w:rsid w:val="00267FEB"/>
    <w:rsid w:val="002700DF"/>
    <w:rsid w:val="002729A6"/>
    <w:rsid w:val="0027343B"/>
    <w:rsid w:val="00275247"/>
    <w:rsid w:val="00276107"/>
    <w:rsid w:val="00280B14"/>
    <w:rsid w:val="00280EDB"/>
    <w:rsid w:val="00281F12"/>
    <w:rsid w:val="00282344"/>
    <w:rsid w:val="00282447"/>
    <w:rsid w:val="002859FE"/>
    <w:rsid w:val="00285EA5"/>
    <w:rsid w:val="00286C0D"/>
    <w:rsid w:val="00290D49"/>
    <w:rsid w:val="00291F37"/>
    <w:rsid w:val="002920EF"/>
    <w:rsid w:val="00293375"/>
    <w:rsid w:val="00293F34"/>
    <w:rsid w:val="002940F4"/>
    <w:rsid w:val="002947B5"/>
    <w:rsid w:val="002958D3"/>
    <w:rsid w:val="0029725C"/>
    <w:rsid w:val="00297A59"/>
    <w:rsid w:val="002A115D"/>
    <w:rsid w:val="002A13C1"/>
    <w:rsid w:val="002A13E9"/>
    <w:rsid w:val="002B0CDB"/>
    <w:rsid w:val="002B1F7A"/>
    <w:rsid w:val="002B20EE"/>
    <w:rsid w:val="002B274E"/>
    <w:rsid w:val="002B2FB6"/>
    <w:rsid w:val="002B3DCB"/>
    <w:rsid w:val="002B6222"/>
    <w:rsid w:val="002B6B69"/>
    <w:rsid w:val="002B7123"/>
    <w:rsid w:val="002C1565"/>
    <w:rsid w:val="002C1AAA"/>
    <w:rsid w:val="002C3BDB"/>
    <w:rsid w:val="002C47E7"/>
    <w:rsid w:val="002C7652"/>
    <w:rsid w:val="002D024E"/>
    <w:rsid w:val="002D0511"/>
    <w:rsid w:val="002D087D"/>
    <w:rsid w:val="002D0926"/>
    <w:rsid w:val="002D1478"/>
    <w:rsid w:val="002D291E"/>
    <w:rsid w:val="002D42C6"/>
    <w:rsid w:val="002D4898"/>
    <w:rsid w:val="002D4908"/>
    <w:rsid w:val="002D7C13"/>
    <w:rsid w:val="002E0217"/>
    <w:rsid w:val="002E138B"/>
    <w:rsid w:val="002E1BFA"/>
    <w:rsid w:val="002E1EE8"/>
    <w:rsid w:val="002E2E48"/>
    <w:rsid w:val="002E3747"/>
    <w:rsid w:val="002E4AAC"/>
    <w:rsid w:val="002E5374"/>
    <w:rsid w:val="002E634E"/>
    <w:rsid w:val="002E6B21"/>
    <w:rsid w:val="002E74D9"/>
    <w:rsid w:val="002F10D8"/>
    <w:rsid w:val="002F228F"/>
    <w:rsid w:val="002F32EC"/>
    <w:rsid w:val="002F3310"/>
    <w:rsid w:val="002F3605"/>
    <w:rsid w:val="002F5FFF"/>
    <w:rsid w:val="002F690D"/>
    <w:rsid w:val="00300550"/>
    <w:rsid w:val="003027B0"/>
    <w:rsid w:val="00303050"/>
    <w:rsid w:val="0030315F"/>
    <w:rsid w:val="00303C10"/>
    <w:rsid w:val="00304B17"/>
    <w:rsid w:val="00305F48"/>
    <w:rsid w:val="00306976"/>
    <w:rsid w:val="00307562"/>
    <w:rsid w:val="00307FBE"/>
    <w:rsid w:val="00310D80"/>
    <w:rsid w:val="0031180F"/>
    <w:rsid w:val="003123BF"/>
    <w:rsid w:val="00320094"/>
    <w:rsid w:val="00324D36"/>
    <w:rsid w:val="00325775"/>
    <w:rsid w:val="00326218"/>
    <w:rsid w:val="00326C67"/>
    <w:rsid w:val="003272B6"/>
    <w:rsid w:val="003301E1"/>
    <w:rsid w:val="003317C1"/>
    <w:rsid w:val="00334E7D"/>
    <w:rsid w:val="003361E4"/>
    <w:rsid w:val="00336640"/>
    <w:rsid w:val="0033748F"/>
    <w:rsid w:val="00340773"/>
    <w:rsid w:val="003410AE"/>
    <w:rsid w:val="00341C1A"/>
    <w:rsid w:val="00341DFC"/>
    <w:rsid w:val="00342527"/>
    <w:rsid w:val="00342CBE"/>
    <w:rsid w:val="0034572D"/>
    <w:rsid w:val="003466C2"/>
    <w:rsid w:val="00347819"/>
    <w:rsid w:val="00347FA7"/>
    <w:rsid w:val="00350506"/>
    <w:rsid w:val="00350654"/>
    <w:rsid w:val="00350B3D"/>
    <w:rsid w:val="003510DB"/>
    <w:rsid w:val="00352C5B"/>
    <w:rsid w:val="00352CEA"/>
    <w:rsid w:val="00353936"/>
    <w:rsid w:val="00354CC6"/>
    <w:rsid w:val="003559A7"/>
    <w:rsid w:val="003561F7"/>
    <w:rsid w:val="003563A2"/>
    <w:rsid w:val="0035719C"/>
    <w:rsid w:val="003621B4"/>
    <w:rsid w:val="003636A3"/>
    <w:rsid w:val="00364A87"/>
    <w:rsid w:val="003656AA"/>
    <w:rsid w:val="003666C8"/>
    <w:rsid w:val="003672D8"/>
    <w:rsid w:val="0037242E"/>
    <w:rsid w:val="00372783"/>
    <w:rsid w:val="00372966"/>
    <w:rsid w:val="00373292"/>
    <w:rsid w:val="003732EC"/>
    <w:rsid w:val="00373582"/>
    <w:rsid w:val="00373F26"/>
    <w:rsid w:val="0037616B"/>
    <w:rsid w:val="0037748C"/>
    <w:rsid w:val="00377916"/>
    <w:rsid w:val="00380260"/>
    <w:rsid w:val="003832B8"/>
    <w:rsid w:val="00384EAC"/>
    <w:rsid w:val="00384F04"/>
    <w:rsid w:val="00384FDD"/>
    <w:rsid w:val="00385284"/>
    <w:rsid w:val="003902F9"/>
    <w:rsid w:val="0039058A"/>
    <w:rsid w:val="003905AB"/>
    <w:rsid w:val="00390D1E"/>
    <w:rsid w:val="00392883"/>
    <w:rsid w:val="003970C0"/>
    <w:rsid w:val="00397F93"/>
    <w:rsid w:val="003A0174"/>
    <w:rsid w:val="003A0646"/>
    <w:rsid w:val="003A12BF"/>
    <w:rsid w:val="003A1CBE"/>
    <w:rsid w:val="003A2F01"/>
    <w:rsid w:val="003A3783"/>
    <w:rsid w:val="003A4C07"/>
    <w:rsid w:val="003A5BCC"/>
    <w:rsid w:val="003A5F7D"/>
    <w:rsid w:val="003A6CBB"/>
    <w:rsid w:val="003B0E73"/>
    <w:rsid w:val="003B0E98"/>
    <w:rsid w:val="003B3702"/>
    <w:rsid w:val="003B4EA5"/>
    <w:rsid w:val="003B585A"/>
    <w:rsid w:val="003B5C63"/>
    <w:rsid w:val="003B7AA4"/>
    <w:rsid w:val="003C080D"/>
    <w:rsid w:val="003C1280"/>
    <w:rsid w:val="003C2B06"/>
    <w:rsid w:val="003C333A"/>
    <w:rsid w:val="003C36E6"/>
    <w:rsid w:val="003C620E"/>
    <w:rsid w:val="003C79F7"/>
    <w:rsid w:val="003D0004"/>
    <w:rsid w:val="003D11F7"/>
    <w:rsid w:val="003D15CC"/>
    <w:rsid w:val="003D15EF"/>
    <w:rsid w:val="003D7285"/>
    <w:rsid w:val="003E17B1"/>
    <w:rsid w:val="003E26CD"/>
    <w:rsid w:val="003E3267"/>
    <w:rsid w:val="003E39A7"/>
    <w:rsid w:val="003E5FB6"/>
    <w:rsid w:val="003E6002"/>
    <w:rsid w:val="003E62A7"/>
    <w:rsid w:val="003E6DCB"/>
    <w:rsid w:val="003E7016"/>
    <w:rsid w:val="003E7B11"/>
    <w:rsid w:val="003F1910"/>
    <w:rsid w:val="003F207B"/>
    <w:rsid w:val="003F29A2"/>
    <w:rsid w:val="003F30CA"/>
    <w:rsid w:val="003F39C7"/>
    <w:rsid w:val="003F3E34"/>
    <w:rsid w:val="003F3F9B"/>
    <w:rsid w:val="003F3FEF"/>
    <w:rsid w:val="003F4682"/>
    <w:rsid w:val="003F5AAD"/>
    <w:rsid w:val="003F5E0F"/>
    <w:rsid w:val="003F6247"/>
    <w:rsid w:val="003F6CA0"/>
    <w:rsid w:val="003F6E56"/>
    <w:rsid w:val="003F7592"/>
    <w:rsid w:val="004002A2"/>
    <w:rsid w:val="00400919"/>
    <w:rsid w:val="0040145C"/>
    <w:rsid w:val="0040171C"/>
    <w:rsid w:val="00401844"/>
    <w:rsid w:val="00401C2C"/>
    <w:rsid w:val="004024DF"/>
    <w:rsid w:val="00403718"/>
    <w:rsid w:val="0040415E"/>
    <w:rsid w:val="00404C06"/>
    <w:rsid w:val="00405B6C"/>
    <w:rsid w:val="00407285"/>
    <w:rsid w:val="00410295"/>
    <w:rsid w:val="004102EC"/>
    <w:rsid w:val="00411C4C"/>
    <w:rsid w:val="00412AD9"/>
    <w:rsid w:val="00412EA7"/>
    <w:rsid w:val="00414557"/>
    <w:rsid w:val="00414EB0"/>
    <w:rsid w:val="00415392"/>
    <w:rsid w:val="00417221"/>
    <w:rsid w:val="00420245"/>
    <w:rsid w:val="00420951"/>
    <w:rsid w:val="00424133"/>
    <w:rsid w:val="00424463"/>
    <w:rsid w:val="00425B0D"/>
    <w:rsid w:val="00426150"/>
    <w:rsid w:val="004277CD"/>
    <w:rsid w:val="004303D6"/>
    <w:rsid w:val="00431610"/>
    <w:rsid w:val="00431928"/>
    <w:rsid w:val="00432000"/>
    <w:rsid w:val="00434410"/>
    <w:rsid w:val="004347E5"/>
    <w:rsid w:val="00434ECB"/>
    <w:rsid w:val="004371CB"/>
    <w:rsid w:val="00437478"/>
    <w:rsid w:val="00437D4E"/>
    <w:rsid w:val="00440808"/>
    <w:rsid w:val="00440C2D"/>
    <w:rsid w:val="00441962"/>
    <w:rsid w:val="00442165"/>
    <w:rsid w:val="00442237"/>
    <w:rsid w:val="00443A57"/>
    <w:rsid w:val="004445E1"/>
    <w:rsid w:val="004448A7"/>
    <w:rsid w:val="004476A4"/>
    <w:rsid w:val="00447CC5"/>
    <w:rsid w:val="0045083B"/>
    <w:rsid w:val="004525CE"/>
    <w:rsid w:val="00452F13"/>
    <w:rsid w:val="004534FC"/>
    <w:rsid w:val="00453C40"/>
    <w:rsid w:val="00453DFC"/>
    <w:rsid w:val="004553FE"/>
    <w:rsid w:val="00457C01"/>
    <w:rsid w:val="00462BD2"/>
    <w:rsid w:val="00463596"/>
    <w:rsid w:val="00465E72"/>
    <w:rsid w:val="004666DB"/>
    <w:rsid w:val="00470B01"/>
    <w:rsid w:val="0047160B"/>
    <w:rsid w:val="00473023"/>
    <w:rsid w:val="004732E9"/>
    <w:rsid w:val="00475446"/>
    <w:rsid w:val="00475CAE"/>
    <w:rsid w:val="004760ED"/>
    <w:rsid w:val="00477B30"/>
    <w:rsid w:val="00481E7B"/>
    <w:rsid w:val="004823DA"/>
    <w:rsid w:val="004828D9"/>
    <w:rsid w:val="00483D75"/>
    <w:rsid w:val="00484233"/>
    <w:rsid w:val="004842E4"/>
    <w:rsid w:val="0048467F"/>
    <w:rsid w:val="004857C1"/>
    <w:rsid w:val="0048595D"/>
    <w:rsid w:val="004872C1"/>
    <w:rsid w:val="0049164F"/>
    <w:rsid w:val="004921BC"/>
    <w:rsid w:val="00492D33"/>
    <w:rsid w:val="00494217"/>
    <w:rsid w:val="0049564C"/>
    <w:rsid w:val="004A04FB"/>
    <w:rsid w:val="004A1788"/>
    <w:rsid w:val="004A26F7"/>
    <w:rsid w:val="004A34B2"/>
    <w:rsid w:val="004A352E"/>
    <w:rsid w:val="004A39D1"/>
    <w:rsid w:val="004A3F9C"/>
    <w:rsid w:val="004A4BBB"/>
    <w:rsid w:val="004A6760"/>
    <w:rsid w:val="004B12F6"/>
    <w:rsid w:val="004B1E8E"/>
    <w:rsid w:val="004B24E9"/>
    <w:rsid w:val="004B3865"/>
    <w:rsid w:val="004B406F"/>
    <w:rsid w:val="004B4220"/>
    <w:rsid w:val="004B4D4D"/>
    <w:rsid w:val="004B5548"/>
    <w:rsid w:val="004B5779"/>
    <w:rsid w:val="004B6D7F"/>
    <w:rsid w:val="004B7AC8"/>
    <w:rsid w:val="004C077C"/>
    <w:rsid w:val="004C0C69"/>
    <w:rsid w:val="004C0CAA"/>
    <w:rsid w:val="004C16D3"/>
    <w:rsid w:val="004C3136"/>
    <w:rsid w:val="004C329F"/>
    <w:rsid w:val="004C39FB"/>
    <w:rsid w:val="004C4F84"/>
    <w:rsid w:val="004C6AD6"/>
    <w:rsid w:val="004D04EB"/>
    <w:rsid w:val="004D139F"/>
    <w:rsid w:val="004D1597"/>
    <w:rsid w:val="004D1EFD"/>
    <w:rsid w:val="004D23AE"/>
    <w:rsid w:val="004D3520"/>
    <w:rsid w:val="004D362E"/>
    <w:rsid w:val="004D3CB0"/>
    <w:rsid w:val="004D575A"/>
    <w:rsid w:val="004D5A30"/>
    <w:rsid w:val="004E02BD"/>
    <w:rsid w:val="004E05CC"/>
    <w:rsid w:val="004E0D3C"/>
    <w:rsid w:val="004E2BAF"/>
    <w:rsid w:val="004E5945"/>
    <w:rsid w:val="004E61FB"/>
    <w:rsid w:val="004E66EF"/>
    <w:rsid w:val="004E7703"/>
    <w:rsid w:val="004F12FD"/>
    <w:rsid w:val="004F27CB"/>
    <w:rsid w:val="004F29F1"/>
    <w:rsid w:val="004F4036"/>
    <w:rsid w:val="004F56BF"/>
    <w:rsid w:val="004F794F"/>
    <w:rsid w:val="0050152F"/>
    <w:rsid w:val="00502574"/>
    <w:rsid w:val="00504B4D"/>
    <w:rsid w:val="00505930"/>
    <w:rsid w:val="00506B48"/>
    <w:rsid w:val="005102D6"/>
    <w:rsid w:val="005110F9"/>
    <w:rsid w:val="005119F1"/>
    <w:rsid w:val="00513355"/>
    <w:rsid w:val="0051364C"/>
    <w:rsid w:val="005143E9"/>
    <w:rsid w:val="00515173"/>
    <w:rsid w:val="00515CFF"/>
    <w:rsid w:val="005164A4"/>
    <w:rsid w:val="005171A0"/>
    <w:rsid w:val="00517F77"/>
    <w:rsid w:val="00520874"/>
    <w:rsid w:val="00522314"/>
    <w:rsid w:val="00522429"/>
    <w:rsid w:val="00522F9A"/>
    <w:rsid w:val="0052311E"/>
    <w:rsid w:val="005239F1"/>
    <w:rsid w:val="005249E8"/>
    <w:rsid w:val="00524CFF"/>
    <w:rsid w:val="005256D8"/>
    <w:rsid w:val="0052604E"/>
    <w:rsid w:val="00527D5E"/>
    <w:rsid w:val="00530AFA"/>
    <w:rsid w:val="005313F4"/>
    <w:rsid w:val="0053161D"/>
    <w:rsid w:val="005318C1"/>
    <w:rsid w:val="0053317D"/>
    <w:rsid w:val="00540B9A"/>
    <w:rsid w:val="00541DE2"/>
    <w:rsid w:val="005448C5"/>
    <w:rsid w:val="00544C35"/>
    <w:rsid w:val="00546523"/>
    <w:rsid w:val="00546723"/>
    <w:rsid w:val="00552C71"/>
    <w:rsid w:val="00555E8C"/>
    <w:rsid w:val="005579FA"/>
    <w:rsid w:val="00557EBB"/>
    <w:rsid w:val="00561024"/>
    <w:rsid w:val="0056362C"/>
    <w:rsid w:val="00563B64"/>
    <w:rsid w:val="00564E66"/>
    <w:rsid w:val="00567221"/>
    <w:rsid w:val="00567ADE"/>
    <w:rsid w:val="00570862"/>
    <w:rsid w:val="00571610"/>
    <w:rsid w:val="00571874"/>
    <w:rsid w:val="00571A71"/>
    <w:rsid w:val="005732D5"/>
    <w:rsid w:val="0057387F"/>
    <w:rsid w:val="00573D88"/>
    <w:rsid w:val="0057448B"/>
    <w:rsid w:val="00575B37"/>
    <w:rsid w:val="005765CE"/>
    <w:rsid w:val="00577FD8"/>
    <w:rsid w:val="005826BA"/>
    <w:rsid w:val="005827A0"/>
    <w:rsid w:val="00582DE8"/>
    <w:rsid w:val="005832D8"/>
    <w:rsid w:val="00583481"/>
    <w:rsid w:val="0058623B"/>
    <w:rsid w:val="00587207"/>
    <w:rsid w:val="005874D7"/>
    <w:rsid w:val="005926EC"/>
    <w:rsid w:val="00593BBF"/>
    <w:rsid w:val="00594469"/>
    <w:rsid w:val="00594546"/>
    <w:rsid w:val="0059462B"/>
    <w:rsid w:val="005A0960"/>
    <w:rsid w:val="005A15E6"/>
    <w:rsid w:val="005A16BA"/>
    <w:rsid w:val="005A22BF"/>
    <w:rsid w:val="005A28CC"/>
    <w:rsid w:val="005A35B7"/>
    <w:rsid w:val="005A3EED"/>
    <w:rsid w:val="005A541A"/>
    <w:rsid w:val="005B0F13"/>
    <w:rsid w:val="005B17CC"/>
    <w:rsid w:val="005B3191"/>
    <w:rsid w:val="005B3813"/>
    <w:rsid w:val="005B4D2A"/>
    <w:rsid w:val="005B4F06"/>
    <w:rsid w:val="005B53DF"/>
    <w:rsid w:val="005B5D97"/>
    <w:rsid w:val="005B5F77"/>
    <w:rsid w:val="005B618D"/>
    <w:rsid w:val="005C3E5F"/>
    <w:rsid w:val="005C5D05"/>
    <w:rsid w:val="005C7099"/>
    <w:rsid w:val="005D2669"/>
    <w:rsid w:val="005D2946"/>
    <w:rsid w:val="005D3767"/>
    <w:rsid w:val="005D3C03"/>
    <w:rsid w:val="005D53B0"/>
    <w:rsid w:val="005D587B"/>
    <w:rsid w:val="005D5FD5"/>
    <w:rsid w:val="005D6DAF"/>
    <w:rsid w:val="005D7485"/>
    <w:rsid w:val="005E0247"/>
    <w:rsid w:val="005E28D6"/>
    <w:rsid w:val="005E2C6F"/>
    <w:rsid w:val="005E58F9"/>
    <w:rsid w:val="005E611B"/>
    <w:rsid w:val="005E6B53"/>
    <w:rsid w:val="005E6ED9"/>
    <w:rsid w:val="005E7930"/>
    <w:rsid w:val="005E7BA6"/>
    <w:rsid w:val="005F0D10"/>
    <w:rsid w:val="005F2DEA"/>
    <w:rsid w:val="005F56FF"/>
    <w:rsid w:val="005F5A22"/>
    <w:rsid w:val="005F5D33"/>
    <w:rsid w:val="005F6E8B"/>
    <w:rsid w:val="00601052"/>
    <w:rsid w:val="00603057"/>
    <w:rsid w:val="006051CF"/>
    <w:rsid w:val="00605B82"/>
    <w:rsid w:val="00605C10"/>
    <w:rsid w:val="00605E74"/>
    <w:rsid w:val="00606A74"/>
    <w:rsid w:val="0061395C"/>
    <w:rsid w:val="0061483C"/>
    <w:rsid w:val="00614D2B"/>
    <w:rsid w:val="00615CF4"/>
    <w:rsid w:val="0061617D"/>
    <w:rsid w:val="00617E38"/>
    <w:rsid w:val="00623146"/>
    <w:rsid w:val="006268CF"/>
    <w:rsid w:val="00626B68"/>
    <w:rsid w:val="00627C97"/>
    <w:rsid w:val="00627E21"/>
    <w:rsid w:val="00630728"/>
    <w:rsid w:val="00632556"/>
    <w:rsid w:val="00632C6F"/>
    <w:rsid w:val="00633469"/>
    <w:rsid w:val="0063447A"/>
    <w:rsid w:val="0063485F"/>
    <w:rsid w:val="00637C8A"/>
    <w:rsid w:val="00641216"/>
    <w:rsid w:val="006439E4"/>
    <w:rsid w:val="00643AE0"/>
    <w:rsid w:val="00644536"/>
    <w:rsid w:val="00645905"/>
    <w:rsid w:val="00647691"/>
    <w:rsid w:val="00647F5C"/>
    <w:rsid w:val="00654CB1"/>
    <w:rsid w:val="00664156"/>
    <w:rsid w:val="006649E9"/>
    <w:rsid w:val="0066680A"/>
    <w:rsid w:val="0066710F"/>
    <w:rsid w:val="006707E7"/>
    <w:rsid w:val="00671FB4"/>
    <w:rsid w:val="00673A3C"/>
    <w:rsid w:val="006752B3"/>
    <w:rsid w:val="00676A9F"/>
    <w:rsid w:val="00677EBE"/>
    <w:rsid w:val="00680BEC"/>
    <w:rsid w:val="006821AF"/>
    <w:rsid w:val="006836E3"/>
    <w:rsid w:val="006850B0"/>
    <w:rsid w:val="0068554D"/>
    <w:rsid w:val="006859E0"/>
    <w:rsid w:val="00685F06"/>
    <w:rsid w:val="00686EFC"/>
    <w:rsid w:val="00690243"/>
    <w:rsid w:val="00694723"/>
    <w:rsid w:val="00695102"/>
    <w:rsid w:val="00696C29"/>
    <w:rsid w:val="006A0A7C"/>
    <w:rsid w:val="006A0F01"/>
    <w:rsid w:val="006A1D28"/>
    <w:rsid w:val="006A4CF0"/>
    <w:rsid w:val="006A6203"/>
    <w:rsid w:val="006A639A"/>
    <w:rsid w:val="006B172C"/>
    <w:rsid w:val="006B18D0"/>
    <w:rsid w:val="006B29D5"/>
    <w:rsid w:val="006B47E8"/>
    <w:rsid w:val="006B64B7"/>
    <w:rsid w:val="006C0EDE"/>
    <w:rsid w:val="006C1C5D"/>
    <w:rsid w:val="006C261F"/>
    <w:rsid w:val="006C470B"/>
    <w:rsid w:val="006C54E9"/>
    <w:rsid w:val="006C6985"/>
    <w:rsid w:val="006C7480"/>
    <w:rsid w:val="006C7496"/>
    <w:rsid w:val="006D0535"/>
    <w:rsid w:val="006D0DDB"/>
    <w:rsid w:val="006D33CC"/>
    <w:rsid w:val="006D3CE7"/>
    <w:rsid w:val="006D5387"/>
    <w:rsid w:val="006D69C4"/>
    <w:rsid w:val="006D7D69"/>
    <w:rsid w:val="006E0BAB"/>
    <w:rsid w:val="006E16C6"/>
    <w:rsid w:val="006E1A44"/>
    <w:rsid w:val="006E20F2"/>
    <w:rsid w:val="006E2210"/>
    <w:rsid w:val="006E3F5C"/>
    <w:rsid w:val="006E6803"/>
    <w:rsid w:val="006E6E91"/>
    <w:rsid w:val="006F15CB"/>
    <w:rsid w:val="006F1BF3"/>
    <w:rsid w:val="006F1BF5"/>
    <w:rsid w:val="006F34A7"/>
    <w:rsid w:val="006F6DD6"/>
    <w:rsid w:val="006F71BD"/>
    <w:rsid w:val="00701D26"/>
    <w:rsid w:val="0070313B"/>
    <w:rsid w:val="00703655"/>
    <w:rsid w:val="007039CB"/>
    <w:rsid w:val="0070619A"/>
    <w:rsid w:val="00706ECC"/>
    <w:rsid w:val="007071DB"/>
    <w:rsid w:val="00707D94"/>
    <w:rsid w:val="007121AD"/>
    <w:rsid w:val="0071340C"/>
    <w:rsid w:val="00713C9D"/>
    <w:rsid w:val="00715BB2"/>
    <w:rsid w:val="0071610B"/>
    <w:rsid w:val="007161B4"/>
    <w:rsid w:val="00717529"/>
    <w:rsid w:val="00721C88"/>
    <w:rsid w:val="00721D14"/>
    <w:rsid w:val="007228CB"/>
    <w:rsid w:val="007235B8"/>
    <w:rsid w:val="00723BAE"/>
    <w:rsid w:val="00724980"/>
    <w:rsid w:val="00724B4B"/>
    <w:rsid w:val="00725556"/>
    <w:rsid w:val="007259E6"/>
    <w:rsid w:val="0072630C"/>
    <w:rsid w:val="007278AE"/>
    <w:rsid w:val="00730815"/>
    <w:rsid w:val="007314EA"/>
    <w:rsid w:val="00731A75"/>
    <w:rsid w:val="00732219"/>
    <w:rsid w:val="007334A1"/>
    <w:rsid w:val="00733A00"/>
    <w:rsid w:val="00735CE2"/>
    <w:rsid w:val="007361AA"/>
    <w:rsid w:val="007367FD"/>
    <w:rsid w:val="00737461"/>
    <w:rsid w:val="00737EAC"/>
    <w:rsid w:val="00737FE6"/>
    <w:rsid w:val="007412B6"/>
    <w:rsid w:val="00742DD9"/>
    <w:rsid w:val="00743432"/>
    <w:rsid w:val="00743819"/>
    <w:rsid w:val="00744C62"/>
    <w:rsid w:val="00745FED"/>
    <w:rsid w:val="007477AF"/>
    <w:rsid w:val="00747961"/>
    <w:rsid w:val="00747CF0"/>
    <w:rsid w:val="00747F98"/>
    <w:rsid w:val="007519E9"/>
    <w:rsid w:val="00751B82"/>
    <w:rsid w:val="00752145"/>
    <w:rsid w:val="007527F2"/>
    <w:rsid w:val="007532BA"/>
    <w:rsid w:val="007537FB"/>
    <w:rsid w:val="00756796"/>
    <w:rsid w:val="0076046A"/>
    <w:rsid w:val="007617CD"/>
    <w:rsid w:val="00762952"/>
    <w:rsid w:val="007632F7"/>
    <w:rsid w:val="00763BA2"/>
    <w:rsid w:val="00764D33"/>
    <w:rsid w:val="00766FCF"/>
    <w:rsid w:val="007673B5"/>
    <w:rsid w:val="00767B6F"/>
    <w:rsid w:val="007700E4"/>
    <w:rsid w:val="0077142B"/>
    <w:rsid w:val="0077178E"/>
    <w:rsid w:val="00771E0C"/>
    <w:rsid w:val="00773332"/>
    <w:rsid w:val="00773C41"/>
    <w:rsid w:val="00774787"/>
    <w:rsid w:val="00776AEC"/>
    <w:rsid w:val="00776E59"/>
    <w:rsid w:val="00782B07"/>
    <w:rsid w:val="007837B7"/>
    <w:rsid w:val="0079364E"/>
    <w:rsid w:val="00793CA6"/>
    <w:rsid w:val="00794826"/>
    <w:rsid w:val="007959D8"/>
    <w:rsid w:val="0079721A"/>
    <w:rsid w:val="007A09D9"/>
    <w:rsid w:val="007A0BF8"/>
    <w:rsid w:val="007A14BA"/>
    <w:rsid w:val="007A176E"/>
    <w:rsid w:val="007A2006"/>
    <w:rsid w:val="007A371A"/>
    <w:rsid w:val="007A5B70"/>
    <w:rsid w:val="007A5E12"/>
    <w:rsid w:val="007B05EA"/>
    <w:rsid w:val="007B1143"/>
    <w:rsid w:val="007B3000"/>
    <w:rsid w:val="007B37CF"/>
    <w:rsid w:val="007B383F"/>
    <w:rsid w:val="007B5CBC"/>
    <w:rsid w:val="007B61B6"/>
    <w:rsid w:val="007B6717"/>
    <w:rsid w:val="007B6B5A"/>
    <w:rsid w:val="007B744A"/>
    <w:rsid w:val="007B7899"/>
    <w:rsid w:val="007B79BF"/>
    <w:rsid w:val="007C1D9A"/>
    <w:rsid w:val="007C1E50"/>
    <w:rsid w:val="007C2225"/>
    <w:rsid w:val="007C337B"/>
    <w:rsid w:val="007C5496"/>
    <w:rsid w:val="007C5710"/>
    <w:rsid w:val="007C7017"/>
    <w:rsid w:val="007D1445"/>
    <w:rsid w:val="007D1829"/>
    <w:rsid w:val="007D190C"/>
    <w:rsid w:val="007D3821"/>
    <w:rsid w:val="007D5078"/>
    <w:rsid w:val="007D64CF"/>
    <w:rsid w:val="007D6753"/>
    <w:rsid w:val="007D7356"/>
    <w:rsid w:val="007D7EFA"/>
    <w:rsid w:val="007D7F70"/>
    <w:rsid w:val="007E2479"/>
    <w:rsid w:val="007E3F89"/>
    <w:rsid w:val="007F0302"/>
    <w:rsid w:val="007F1264"/>
    <w:rsid w:val="007F1375"/>
    <w:rsid w:val="007F174D"/>
    <w:rsid w:val="007F1A74"/>
    <w:rsid w:val="007F2039"/>
    <w:rsid w:val="007F3D23"/>
    <w:rsid w:val="007F4AB7"/>
    <w:rsid w:val="007F62CE"/>
    <w:rsid w:val="007F66CC"/>
    <w:rsid w:val="00800464"/>
    <w:rsid w:val="0080148E"/>
    <w:rsid w:val="0080201A"/>
    <w:rsid w:val="008023BD"/>
    <w:rsid w:val="0080301D"/>
    <w:rsid w:val="00803E95"/>
    <w:rsid w:val="008040D8"/>
    <w:rsid w:val="008045AC"/>
    <w:rsid w:val="0080524A"/>
    <w:rsid w:val="008054F2"/>
    <w:rsid w:val="0080669F"/>
    <w:rsid w:val="008068A2"/>
    <w:rsid w:val="00806E20"/>
    <w:rsid w:val="008070CD"/>
    <w:rsid w:val="008073AC"/>
    <w:rsid w:val="00807517"/>
    <w:rsid w:val="0081373D"/>
    <w:rsid w:val="00816FD8"/>
    <w:rsid w:val="00817343"/>
    <w:rsid w:val="00817358"/>
    <w:rsid w:val="00820EC7"/>
    <w:rsid w:val="00821406"/>
    <w:rsid w:val="00823917"/>
    <w:rsid w:val="00823CBB"/>
    <w:rsid w:val="00824FC0"/>
    <w:rsid w:val="00825520"/>
    <w:rsid w:val="00825CB3"/>
    <w:rsid w:val="008265B8"/>
    <w:rsid w:val="00826B90"/>
    <w:rsid w:val="00830081"/>
    <w:rsid w:val="00834223"/>
    <w:rsid w:val="00836A53"/>
    <w:rsid w:val="00837D67"/>
    <w:rsid w:val="00841DC4"/>
    <w:rsid w:val="008420E7"/>
    <w:rsid w:val="00842A8D"/>
    <w:rsid w:val="00844845"/>
    <w:rsid w:val="008448CF"/>
    <w:rsid w:val="0084625E"/>
    <w:rsid w:val="008564B3"/>
    <w:rsid w:val="008610E2"/>
    <w:rsid w:val="008623BC"/>
    <w:rsid w:val="00862745"/>
    <w:rsid w:val="00862DA1"/>
    <w:rsid w:val="00863B8E"/>
    <w:rsid w:val="008651A5"/>
    <w:rsid w:val="0086686E"/>
    <w:rsid w:val="00867B38"/>
    <w:rsid w:val="00867FEF"/>
    <w:rsid w:val="00871751"/>
    <w:rsid w:val="00872164"/>
    <w:rsid w:val="008739DD"/>
    <w:rsid w:val="0087461C"/>
    <w:rsid w:val="00875ACB"/>
    <w:rsid w:val="0087658B"/>
    <w:rsid w:val="008776CB"/>
    <w:rsid w:val="00880BE2"/>
    <w:rsid w:val="00881F15"/>
    <w:rsid w:val="00882FB9"/>
    <w:rsid w:val="008837C7"/>
    <w:rsid w:val="00884B77"/>
    <w:rsid w:val="00885C21"/>
    <w:rsid w:val="00885D98"/>
    <w:rsid w:val="008866FD"/>
    <w:rsid w:val="00886D08"/>
    <w:rsid w:val="00890F56"/>
    <w:rsid w:val="00891B2D"/>
    <w:rsid w:val="00891EE1"/>
    <w:rsid w:val="00892685"/>
    <w:rsid w:val="00892ABC"/>
    <w:rsid w:val="0089433E"/>
    <w:rsid w:val="0089594B"/>
    <w:rsid w:val="008A1E88"/>
    <w:rsid w:val="008A3444"/>
    <w:rsid w:val="008A5BA1"/>
    <w:rsid w:val="008A5ECF"/>
    <w:rsid w:val="008A604B"/>
    <w:rsid w:val="008A6086"/>
    <w:rsid w:val="008A6996"/>
    <w:rsid w:val="008B01B7"/>
    <w:rsid w:val="008B069D"/>
    <w:rsid w:val="008B6993"/>
    <w:rsid w:val="008B7E61"/>
    <w:rsid w:val="008C7122"/>
    <w:rsid w:val="008D00ED"/>
    <w:rsid w:val="008D22E8"/>
    <w:rsid w:val="008D3873"/>
    <w:rsid w:val="008D39DB"/>
    <w:rsid w:val="008D50D7"/>
    <w:rsid w:val="008D6325"/>
    <w:rsid w:val="008D6DCB"/>
    <w:rsid w:val="008E1FB5"/>
    <w:rsid w:val="008E242B"/>
    <w:rsid w:val="008E26C3"/>
    <w:rsid w:val="008E29B4"/>
    <w:rsid w:val="008E2B4E"/>
    <w:rsid w:val="008E2C06"/>
    <w:rsid w:val="008E40FF"/>
    <w:rsid w:val="008E4541"/>
    <w:rsid w:val="008E6557"/>
    <w:rsid w:val="008F0F37"/>
    <w:rsid w:val="008F17FF"/>
    <w:rsid w:val="008F306E"/>
    <w:rsid w:val="008F308E"/>
    <w:rsid w:val="008F346D"/>
    <w:rsid w:val="008F391B"/>
    <w:rsid w:val="008F4263"/>
    <w:rsid w:val="008F4C93"/>
    <w:rsid w:val="008F5BAC"/>
    <w:rsid w:val="00901A1B"/>
    <w:rsid w:val="009034A9"/>
    <w:rsid w:val="009037D1"/>
    <w:rsid w:val="009048B2"/>
    <w:rsid w:val="0090696E"/>
    <w:rsid w:val="00907686"/>
    <w:rsid w:val="00910088"/>
    <w:rsid w:val="0091021B"/>
    <w:rsid w:val="00911072"/>
    <w:rsid w:val="0091165D"/>
    <w:rsid w:val="00911B5A"/>
    <w:rsid w:val="00912C5C"/>
    <w:rsid w:val="00913753"/>
    <w:rsid w:val="00913A3B"/>
    <w:rsid w:val="00913FDD"/>
    <w:rsid w:val="0091447B"/>
    <w:rsid w:val="009144C2"/>
    <w:rsid w:val="009171E8"/>
    <w:rsid w:val="00917640"/>
    <w:rsid w:val="009220A7"/>
    <w:rsid w:val="009228ED"/>
    <w:rsid w:val="009248C5"/>
    <w:rsid w:val="00927951"/>
    <w:rsid w:val="00927F42"/>
    <w:rsid w:val="00930B61"/>
    <w:rsid w:val="00931839"/>
    <w:rsid w:val="00933525"/>
    <w:rsid w:val="00933CA4"/>
    <w:rsid w:val="00934BFF"/>
    <w:rsid w:val="009354E6"/>
    <w:rsid w:val="00935A59"/>
    <w:rsid w:val="0093697A"/>
    <w:rsid w:val="00937235"/>
    <w:rsid w:val="00937A0A"/>
    <w:rsid w:val="00940E63"/>
    <w:rsid w:val="0094164E"/>
    <w:rsid w:val="00942D1B"/>
    <w:rsid w:val="009439A0"/>
    <w:rsid w:val="00943BDD"/>
    <w:rsid w:val="00944C02"/>
    <w:rsid w:val="0094654E"/>
    <w:rsid w:val="009466E6"/>
    <w:rsid w:val="00946AA2"/>
    <w:rsid w:val="0095046C"/>
    <w:rsid w:val="00953016"/>
    <w:rsid w:val="009530AE"/>
    <w:rsid w:val="0095350E"/>
    <w:rsid w:val="00953C39"/>
    <w:rsid w:val="00955571"/>
    <w:rsid w:val="00955AE7"/>
    <w:rsid w:val="00955EEF"/>
    <w:rsid w:val="00955F7A"/>
    <w:rsid w:val="0096181F"/>
    <w:rsid w:val="00962916"/>
    <w:rsid w:val="009657BE"/>
    <w:rsid w:val="00965C5D"/>
    <w:rsid w:val="00972856"/>
    <w:rsid w:val="00972C4F"/>
    <w:rsid w:val="00974008"/>
    <w:rsid w:val="00976D01"/>
    <w:rsid w:val="00977528"/>
    <w:rsid w:val="009806D2"/>
    <w:rsid w:val="0098198E"/>
    <w:rsid w:val="00984711"/>
    <w:rsid w:val="00987288"/>
    <w:rsid w:val="00990AE6"/>
    <w:rsid w:val="00990DAA"/>
    <w:rsid w:val="009925A6"/>
    <w:rsid w:val="009948BB"/>
    <w:rsid w:val="0099503D"/>
    <w:rsid w:val="00995088"/>
    <w:rsid w:val="00995763"/>
    <w:rsid w:val="00997DFD"/>
    <w:rsid w:val="009A0C32"/>
    <w:rsid w:val="009A0F8E"/>
    <w:rsid w:val="009A13D2"/>
    <w:rsid w:val="009A2112"/>
    <w:rsid w:val="009A53F4"/>
    <w:rsid w:val="009A540D"/>
    <w:rsid w:val="009B00D9"/>
    <w:rsid w:val="009B0145"/>
    <w:rsid w:val="009B0F2A"/>
    <w:rsid w:val="009B23F1"/>
    <w:rsid w:val="009B2E0B"/>
    <w:rsid w:val="009B4888"/>
    <w:rsid w:val="009B557C"/>
    <w:rsid w:val="009B5725"/>
    <w:rsid w:val="009B6BD3"/>
    <w:rsid w:val="009B7535"/>
    <w:rsid w:val="009B7998"/>
    <w:rsid w:val="009C067D"/>
    <w:rsid w:val="009C1ACF"/>
    <w:rsid w:val="009C3AEE"/>
    <w:rsid w:val="009C3EF8"/>
    <w:rsid w:val="009C4E1D"/>
    <w:rsid w:val="009C6542"/>
    <w:rsid w:val="009C7F29"/>
    <w:rsid w:val="009D0069"/>
    <w:rsid w:val="009D0166"/>
    <w:rsid w:val="009D2404"/>
    <w:rsid w:val="009D25B2"/>
    <w:rsid w:val="009D32BB"/>
    <w:rsid w:val="009D6BF7"/>
    <w:rsid w:val="009D6D79"/>
    <w:rsid w:val="009E0541"/>
    <w:rsid w:val="009E37DC"/>
    <w:rsid w:val="009E3E14"/>
    <w:rsid w:val="009E46EB"/>
    <w:rsid w:val="009E5681"/>
    <w:rsid w:val="009E590D"/>
    <w:rsid w:val="009E729F"/>
    <w:rsid w:val="009E7660"/>
    <w:rsid w:val="009F14C3"/>
    <w:rsid w:val="009F1778"/>
    <w:rsid w:val="009F20A6"/>
    <w:rsid w:val="009F3D52"/>
    <w:rsid w:val="009F51B5"/>
    <w:rsid w:val="009F538C"/>
    <w:rsid w:val="009F57D7"/>
    <w:rsid w:val="009F66E3"/>
    <w:rsid w:val="009F6B13"/>
    <w:rsid w:val="009F7418"/>
    <w:rsid w:val="009F788D"/>
    <w:rsid w:val="00A056DF"/>
    <w:rsid w:val="00A076A3"/>
    <w:rsid w:val="00A10F54"/>
    <w:rsid w:val="00A11296"/>
    <w:rsid w:val="00A11B1B"/>
    <w:rsid w:val="00A12A1B"/>
    <w:rsid w:val="00A12DAE"/>
    <w:rsid w:val="00A134FA"/>
    <w:rsid w:val="00A13F03"/>
    <w:rsid w:val="00A14957"/>
    <w:rsid w:val="00A17CAB"/>
    <w:rsid w:val="00A21825"/>
    <w:rsid w:val="00A233FB"/>
    <w:rsid w:val="00A26607"/>
    <w:rsid w:val="00A271C7"/>
    <w:rsid w:val="00A275BB"/>
    <w:rsid w:val="00A27DA5"/>
    <w:rsid w:val="00A4200E"/>
    <w:rsid w:val="00A4278C"/>
    <w:rsid w:val="00A4407E"/>
    <w:rsid w:val="00A440AB"/>
    <w:rsid w:val="00A45F33"/>
    <w:rsid w:val="00A46343"/>
    <w:rsid w:val="00A47C82"/>
    <w:rsid w:val="00A53298"/>
    <w:rsid w:val="00A56140"/>
    <w:rsid w:val="00A61828"/>
    <w:rsid w:val="00A63C97"/>
    <w:rsid w:val="00A65BE2"/>
    <w:rsid w:val="00A65D83"/>
    <w:rsid w:val="00A677C7"/>
    <w:rsid w:val="00A67EEF"/>
    <w:rsid w:val="00A704AD"/>
    <w:rsid w:val="00A7193F"/>
    <w:rsid w:val="00A7428D"/>
    <w:rsid w:val="00A748E9"/>
    <w:rsid w:val="00A74C49"/>
    <w:rsid w:val="00A75DF0"/>
    <w:rsid w:val="00A75DF1"/>
    <w:rsid w:val="00A761D3"/>
    <w:rsid w:val="00A76C6A"/>
    <w:rsid w:val="00A80DCA"/>
    <w:rsid w:val="00A81F59"/>
    <w:rsid w:val="00A820DD"/>
    <w:rsid w:val="00A82890"/>
    <w:rsid w:val="00A83A67"/>
    <w:rsid w:val="00A843FD"/>
    <w:rsid w:val="00A84748"/>
    <w:rsid w:val="00A8565F"/>
    <w:rsid w:val="00A90B5D"/>
    <w:rsid w:val="00A91BBF"/>
    <w:rsid w:val="00A93616"/>
    <w:rsid w:val="00A96565"/>
    <w:rsid w:val="00A96F8A"/>
    <w:rsid w:val="00A971C4"/>
    <w:rsid w:val="00AA11A3"/>
    <w:rsid w:val="00AA303C"/>
    <w:rsid w:val="00AA3489"/>
    <w:rsid w:val="00AA3E71"/>
    <w:rsid w:val="00AA4606"/>
    <w:rsid w:val="00AA528B"/>
    <w:rsid w:val="00AB0AFA"/>
    <w:rsid w:val="00AB0ED1"/>
    <w:rsid w:val="00AB1019"/>
    <w:rsid w:val="00AB2255"/>
    <w:rsid w:val="00AB486F"/>
    <w:rsid w:val="00AB4874"/>
    <w:rsid w:val="00AB4F86"/>
    <w:rsid w:val="00AB563B"/>
    <w:rsid w:val="00AB5A70"/>
    <w:rsid w:val="00AB710F"/>
    <w:rsid w:val="00AC1073"/>
    <w:rsid w:val="00AC16F8"/>
    <w:rsid w:val="00AC19F6"/>
    <w:rsid w:val="00AC2F7A"/>
    <w:rsid w:val="00AC3047"/>
    <w:rsid w:val="00AC3C39"/>
    <w:rsid w:val="00AC3FF5"/>
    <w:rsid w:val="00AC45BC"/>
    <w:rsid w:val="00AC48C4"/>
    <w:rsid w:val="00AC48E4"/>
    <w:rsid w:val="00AC4911"/>
    <w:rsid w:val="00AC4F4B"/>
    <w:rsid w:val="00AC5F03"/>
    <w:rsid w:val="00AC6B96"/>
    <w:rsid w:val="00AD063A"/>
    <w:rsid w:val="00AD4D3B"/>
    <w:rsid w:val="00AD4D7A"/>
    <w:rsid w:val="00AD6F49"/>
    <w:rsid w:val="00AD751A"/>
    <w:rsid w:val="00AD75A1"/>
    <w:rsid w:val="00AE0506"/>
    <w:rsid w:val="00AE0CC9"/>
    <w:rsid w:val="00AE1B3A"/>
    <w:rsid w:val="00AE2426"/>
    <w:rsid w:val="00AE2CE8"/>
    <w:rsid w:val="00AE2D7A"/>
    <w:rsid w:val="00AE3042"/>
    <w:rsid w:val="00AE3263"/>
    <w:rsid w:val="00AE417A"/>
    <w:rsid w:val="00AE4E28"/>
    <w:rsid w:val="00AE52E2"/>
    <w:rsid w:val="00AE5D31"/>
    <w:rsid w:val="00AE6AD3"/>
    <w:rsid w:val="00AF014B"/>
    <w:rsid w:val="00AF04D6"/>
    <w:rsid w:val="00AF21BC"/>
    <w:rsid w:val="00AF26C9"/>
    <w:rsid w:val="00AF2B39"/>
    <w:rsid w:val="00AF39BC"/>
    <w:rsid w:val="00AF48E7"/>
    <w:rsid w:val="00AF4A6A"/>
    <w:rsid w:val="00AF4E04"/>
    <w:rsid w:val="00AF66D1"/>
    <w:rsid w:val="00AF6D8F"/>
    <w:rsid w:val="00B002E5"/>
    <w:rsid w:val="00B004CA"/>
    <w:rsid w:val="00B00610"/>
    <w:rsid w:val="00B0085E"/>
    <w:rsid w:val="00B00A11"/>
    <w:rsid w:val="00B0391D"/>
    <w:rsid w:val="00B03AFB"/>
    <w:rsid w:val="00B07742"/>
    <w:rsid w:val="00B07B51"/>
    <w:rsid w:val="00B10345"/>
    <w:rsid w:val="00B10B9B"/>
    <w:rsid w:val="00B111A3"/>
    <w:rsid w:val="00B1139B"/>
    <w:rsid w:val="00B12587"/>
    <w:rsid w:val="00B13863"/>
    <w:rsid w:val="00B14045"/>
    <w:rsid w:val="00B15795"/>
    <w:rsid w:val="00B15852"/>
    <w:rsid w:val="00B177A1"/>
    <w:rsid w:val="00B2048F"/>
    <w:rsid w:val="00B2084A"/>
    <w:rsid w:val="00B21055"/>
    <w:rsid w:val="00B218F7"/>
    <w:rsid w:val="00B219FE"/>
    <w:rsid w:val="00B23029"/>
    <w:rsid w:val="00B23970"/>
    <w:rsid w:val="00B2693C"/>
    <w:rsid w:val="00B26948"/>
    <w:rsid w:val="00B26EBD"/>
    <w:rsid w:val="00B30A84"/>
    <w:rsid w:val="00B315A8"/>
    <w:rsid w:val="00B31EE1"/>
    <w:rsid w:val="00B321A4"/>
    <w:rsid w:val="00B32291"/>
    <w:rsid w:val="00B33E1F"/>
    <w:rsid w:val="00B348DF"/>
    <w:rsid w:val="00B36314"/>
    <w:rsid w:val="00B36349"/>
    <w:rsid w:val="00B367B9"/>
    <w:rsid w:val="00B4001C"/>
    <w:rsid w:val="00B4009E"/>
    <w:rsid w:val="00B41DA8"/>
    <w:rsid w:val="00B44096"/>
    <w:rsid w:val="00B453E1"/>
    <w:rsid w:val="00B4555F"/>
    <w:rsid w:val="00B47C07"/>
    <w:rsid w:val="00B50809"/>
    <w:rsid w:val="00B5114F"/>
    <w:rsid w:val="00B521DF"/>
    <w:rsid w:val="00B53855"/>
    <w:rsid w:val="00B53AB2"/>
    <w:rsid w:val="00B57FE1"/>
    <w:rsid w:val="00B606AB"/>
    <w:rsid w:val="00B60E63"/>
    <w:rsid w:val="00B6195A"/>
    <w:rsid w:val="00B62C2A"/>
    <w:rsid w:val="00B62E5E"/>
    <w:rsid w:val="00B64072"/>
    <w:rsid w:val="00B6490A"/>
    <w:rsid w:val="00B64948"/>
    <w:rsid w:val="00B64F8C"/>
    <w:rsid w:val="00B651E0"/>
    <w:rsid w:val="00B667CF"/>
    <w:rsid w:val="00B6700D"/>
    <w:rsid w:val="00B709F6"/>
    <w:rsid w:val="00B726A1"/>
    <w:rsid w:val="00B72802"/>
    <w:rsid w:val="00B73D1F"/>
    <w:rsid w:val="00B759B7"/>
    <w:rsid w:val="00B766A2"/>
    <w:rsid w:val="00B76A19"/>
    <w:rsid w:val="00B77657"/>
    <w:rsid w:val="00B814A7"/>
    <w:rsid w:val="00B81A76"/>
    <w:rsid w:val="00B82871"/>
    <w:rsid w:val="00B832B3"/>
    <w:rsid w:val="00B839A1"/>
    <w:rsid w:val="00B83C02"/>
    <w:rsid w:val="00B85BC3"/>
    <w:rsid w:val="00B87830"/>
    <w:rsid w:val="00B95117"/>
    <w:rsid w:val="00B975BB"/>
    <w:rsid w:val="00B97A73"/>
    <w:rsid w:val="00BA3FCA"/>
    <w:rsid w:val="00BA423D"/>
    <w:rsid w:val="00BA67D0"/>
    <w:rsid w:val="00BA71E2"/>
    <w:rsid w:val="00BB08C9"/>
    <w:rsid w:val="00BB1552"/>
    <w:rsid w:val="00BB1853"/>
    <w:rsid w:val="00BB1ACC"/>
    <w:rsid w:val="00BB67A4"/>
    <w:rsid w:val="00BC120B"/>
    <w:rsid w:val="00BC20F1"/>
    <w:rsid w:val="00BC26D3"/>
    <w:rsid w:val="00BC343F"/>
    <w:rsid w:val="00BC3F0A"/>
    <w:rsid w:val="00BC4042"/>
    <w:rsid w:val="00BC44D7"/>
    <w:rsid w:val="00BC62CF"/>
    <w:rsid w:val="00BC6B9D"/>
    <w:rsid w:val="00BD0F80"/>
    <w:rsid w:val="00BD27DD"/>
    <w:rsid w:val="00BD3F94"/>
    <w:rsid w:val="00BD4FBB"/>
    <w:rsid w:val="00BD766C"/>
    <w:rsid w:val="00BE04F1"/>
    <w:rsid w:val="00BE08C7"/>
    <w:rsid w:val="00BE0F29"/>
    <w:rsid w:val="00BE1AB0"/>
    <w:rsid w:val="00BE1B78"/>
    <w:rsid w:val="00BE254E"/>
    <w:rsid w:val="00BE3314"/>
    <w:rsid w:val="00BE3EBB"/>
    <w:rsid w:val="00BE3ED8"/>
    <w:rsid w:val="00BE4ED7"/>
    <w:rsid w:val="00BE53B2"/>
    <w:rsid w:val="00BE557C"/>
    <w:rsid w:val="00BE5A4F"/>
    <w:rsid w:val="00BE62AB"/>
    <w:rsid w:val="00BE70E7"/>
    <w:rsid w:val="00BF04ED"/>
    <w:rsid w:val="00BF1435"/>
    <w:rsid w:val="00BF1A6D"/>
    <w:rsid w:val="00BF3641"/>
    <w:rsid w:val="00BF7200"/>
    <w:rsid w:val="00C001A3"/>
    <w:rsid w:val="00C00D98"/>
    <w:rsid w:val="00C01323"/>
    <w:rsid w:val="00C02196"/>
    <w:rsid w:val="00C035A7"/>
    <w:rsid w:val="00C0388A"/>
    <w:rsid w:val="00C04F69"/>
    <w:rsid w:val="00C06397"/>
    <w:rsid w:val="00C070EC"/>
    <w:rsid w:val="00C105BB"/>
    <w:rsid w:val="00C146EE"/>
    <w:rsid w:val="00C14C70"/>
    <w:rsid w:val="00C1559E"/>
    <w:rsid w:val="00C15D60"/>
    <w:rsid w:val="00C20813"/>
    <w:rsid w:val="00C21817"/>
    <w:rsid w:val="00C22E6B"/>
    <w:rsid w:val="00C232F5"/>
    <w:rsid w:val="00C24D97"/>
    <w:rsid w:val="00C255CD"/>
    <w:rsid w:val="00C27359"/>
    <w:rsid w:val="00C310A4"/>
    <w:rsid w:val="00C31CAF"/>
    <w:rsid w:val="00C32E5E"/>
    <w:rsid w:val="00C33442"/>
    <w:rsid w:val="00C33D8C"/>
    <w:rsid w:val="00C34DB3"/>
    <w:rsid w:val="00C35FA0"/>
    <w:rsid w:val="00C3633C"/>
    <w:rsid w:val="00C372B7"/>
    <w:rsid w:val="00C37BB2"/>
    <w:rsid w:val="00C40192"/>
    <w:rsid w:val="00C40202"/>
    <w:rsid w:val="00C406CE"/>
    <w:rsid w:val="00C4205E"/>
    <w:rsid w:val="00C422C2"/>
    <w:rsid w:val="00C4238D"/>
    <w:rsid w:val="00C432B1"/>
    <w:rsid w:val="00C45B2A"/>
    <w:rsid w:val="00C45F4A"/>
    <w:rsid w:val="00C50004"/>
    <w:rsid w:val="00C51A71"/>
    <w:rsid w:val="00C53258"/>
    <w:rsid w:val="00C546E3"/>
    <w:rsid w:val="00C554FC"/>
    <w:rsid w:val="00C558E2"/>
    <w:rsid w:val="00C55C09"/>
    <w:rsid w:val="00C5635F"/>
    <w:rsid w:val="00C56A05"/>
    <w:rsid w:val="00C57DC3"/>
    <w:rsid w:val="00C60123"/>
    <w:rsid w:val="00C6105B"/>
    <w:rsid w:val="00C628BA"/>
    <w:rsid w:val="00C63DD8"/>
    <w:rsid w:val="00C64786"/>
    <w:rsid w:val="00C65815"/>
    <w:rsid w:val="00C66924"/>
    <w:rsid w:val="00C723CC"/>
    <w:rsid w:val="00C72544"/>
    <w:rsid w:val="00C728A5"/>
    <w:rsid w:val="00C75148"/>
    <w:rsid w:val="00C768F7"/>
    <w:rsid w:val="00C769E8"/>
    <w:rsid w:val="00C775BB"/>
    <w:rsid w:val="00C776D1"/>
    <w:rsid w:val="00C80118"/>
    <w:rsid w:val="00C81A2F"/>
    <w:rsid w:val="00C82A10"/>
    <w:rsid w:val="00C82B46"/>
    <w:rsid w:val="00C82B95"/>
    <w:rsid w:val="00C857E5"/>
    <w:rsid w:val="00C85A6A"/>
    <w:rsid w:val="00C8731B"/>
    <w:rsid w:val="00C87408"/>
    <w:rsid w:val="00C8755D"/>
    <w:rsid w:val="00C932C2"/>
    <w:rsid w:val="00C9672A"/>
    <w:rsid w:val="00C96D0F"/>
    <w:rsid w:val="00CA0F81"/>
    <w:rsid w:val="00CA1206"/>
    <w:rsid w:val="00CA128E"/>
    <w:rsid w:val="00CA5213"/>
    <w:rsid w:val="00CA5C0A"/>
    <w:rsid w:val="00CA5E77"/>
    <w:rsid w:val="00CA6436"/>
    <w:rsid w:val="00CA702B"/>
    <w:rsid w:val="00CA7360"/>
    <w:rsid w:val="00CA7EFC"/>
    <w:rsid w:val="00CB1970"/>
    <w:rsid w:val="00CB2BDE"/>
    <w:rsid w:val="00CB39F4"/>
    <w:rsid w:val="00CB3F54"/>
    <w:rsid w:val="00CB5745"/>
    <w:rsid w:val="00CB6EE8"/>
    <w:rsid w:val="00CB732C"/>
    <w:rsid w:val="00CC14BA"/>
    <w:rsid w:val="00CC2340"/>
    <w:rsid w:val="00CC245B"/>
    <w:rsid w:val="00CC2E2C"/>
    <w:rsid w:val="00CC2F67"/>
    <w:rsid w:val="00CC35ED"/>
    <w:rsid w:val="00CC764F"/>
    <w:rsid w:val="00CC7EC4"/>
    <w:rsid w:val="00CD043E"/>
    <w:rsid w:val="00CD13D4"/>
    <w:rsid w:val="00CD378B"/>
    <w:rsid w:val="00CD565B"/>
    <w:rsid w:val="00CE0A6D"/>
    <w:rsid w:val="00CE2259"/>
    <w:rsid w:val="00CE2F96"/>
    <w:rsid w:val="00CE4C13"/>
    <w:rsid w:val="00CE4C45"/>
    <w:rsid w:val="00CE56DF"/>
    <w:rsid w:val="00CE608E"/>
    <w:rsid w:val="00CE6C44"/>
    <w:rsid w:val="00CE6F1F"/>
    <w:rsid w:val="00CE7D5B"/>
    <w:rsid w:val="00CF0BA1"/>
    <w:rsid w:val="00CF0E6D"/>
    <w:rsid w:val="00CF11D6"/>
    <w:rsid w:val="00CF2A50"/>
    <w:rsid w:val="00CF5B19"/>
    <w:rsid w:val="00CF6E68"/>
    <w:rsid w:val="00D004CB"/>
    <w:rsid w:val="00D01090"/>
    <w:rsid w:val="00D010F2"/>
    <w:rsid w:val="00D030FA"/>
    <w:rsid w:val="00D07B35"/>
    <w:rsid w:val="00D1163E"/>
    <w:rsid w:val="00D13808"/>
    <w:rsid w:val="00D138BB"/>
    <w:rsid w:val="00D14A53"/>
    <w:rsid w:val="00D14DA0"/>
    <w:rsid w:val="00D16D00"/>
    <w:rsid w:val="00D16E39"/>
    <w:rsid w:val="00D171A2"/>
    <w:rsid w:val="00D17502"/>
    <w:rsid w:val="00D201DC"/>
    <w:rsid w:val="00D20AC5"/>
    <w:rsid w:val="00D21076"/>
    <w:rsid w:val="00D258A9"/>
    <w:rsid w:val="00D25BC5"/>
    <w:rsid w:val="00D25D71"/>
    <w:rsid w:val="00D305D2"/>
    <w:rsid w:val="00D30AC2"/>
    <w:rsid w:val="00D3174E"/>
    <w:rsid w:val="00D318EE"/>
    <w:rsid w:val="00D3292F"/>
    <w:rsid w:val="00D334E3"/>
    <w:rsid w:val="00D34D31"/>
    <w:rsid w:val="00D34D9F"/>
    <w:rsid w:val="00D37F8A"/>
    <w:rsid w:val="00D40D2B"/>
    <w:rsid w:val="00D42FF0"/>
    <w:rsid w:val="00D47581"/>
    <w:rsid w:val="00D5480E"/>
    <w:rsid w:val="00D54E98"/>
    <w:rsid w:val="00D57971"/>
    <w:rsid w:val="00D603FF"/>
    <w:rsid w:val="00D614B8"/>
    <w:rsid w:val="00D61BE4"/>
    <w:rsid w:val="00D636A6"/>
    <w:rsid w:val="00D645E6"/>
    <w:rsid w:val="00D646EE"/>
    <w:rsid w:val="00D6499A"/>
    <w:rsid w:val="00D64A16"/>
    <w:rsid w:val="00D64F4D"/>
    <w:rsid w:val="00D661DF"/>
    <w:rsid w:val="00D66F38"/>
    <w:rsid w:val="00D76C54"/>
    <w:rsid w:val="00D7738D"/>
    <w:rsid w:val="00D8028C"/>
    <w:rsid w:val="00D802B8"/>
    <w:rsid w:val="00D81CFA"/>
    <w:rsid w:val="00D82CF7"/>
    <w:rsid w:val="00D84A3B"/>
    <w:rsid w:val="00D85683"/>
    <w:rsid w:val="00D85A55"/>
    <w:rsid w:val="00D862E0"/>
    <w:rsid w:val="00D863F4"/>
    <w:rsid w:val="00D87197"/>
    <w:rsid w:val="00D878E6"/>
    <w:rsid w:val="00D87A34"/>
    <w:rsid w:val="00D90B59"/>
    <w:rsid w:val="00D92AD4"/>
    <w:rsid w:val="00D92D7F"/>
    <w:rsid w:val="00D94E10"/>
    <w:rsid w:val="00D966F5"/>
    <w:rsid w:val="00D96A6E"/>
    <w:rsid w:val="00D974C3"/>
    <w:rsid w:val="00D97CBA"/>
    <w:rsid w:val="00D97E3A"/>
    <w:rsid w:val="00DA20FE"/>
    <w:rsid w:val="00DA26D7"/>
    <w:rsid w:val="00DA64CA"/>
    <w:rsid w:val="00DA666A"/>
    <w:rsid w:val="00DB0D46"/>
    <w:rsid w:val="00DB26DC"/>
    <w:rsid w:val="00DB46B4"/>
    <w:rsid w:val="00DC0360"/>
    <w:rsid w:val="00DC0C4C"/>
    <w:rsid w:val="00DC0D01"/>
    <w:rsid w:val="00DC2431"/>
    <w:rsid w:val="00DC37D0"/>
    <w:rsid w:val="00DC3DC8"/>
    <w:rsid w:val="00DC6C9F"/>
    <w:rsid w:val="00DC7722"/>
    <w:rsid w:val="00DD1ABC"/>
    <w:rsid w:val="00DD3873"/>
    <w:rsid w:val="00DD3AB2"/>
    <w:rsid w:val="00DD4545"/>
    <w:rsid w:val="00DD4F3C"/>
    <w:rsid w:val="00DD5B2D"/>
    <w:rsid w:val="00DD6497"/>
    <w:rsid w:val="00DD74D5"/>
    <w:rsid w:val="00DE0783"/>
    <w:rsid w:val="00DE38D6"/>
    <w:rsid w:val="00DE38DA"/>
    <w:rsid w:val="00DE42DB"/>
    <w:rsid w:val="00DE4791"/>
    <w:rsid w:val="00DE4B00"/>
    <w:rsid w:val="00DE54F5"/>
    <w:rsid w:val="00DE5AEC"/>
    <w:rsid w:val="00DE675B"/>
    <w:rsid w:val="00DE7528"/>
    <w:rsid w:val="00DF00B5"/>
    <w:rsid w:val="00DF1345"/>
    <w:rsid w:val="00DF42F9"/>
    <w:rsid w:val="00DF4340"/>
    <w:rsid w:val="00DF56B4"/>
    <w:rsid w:val="00DF6615"/>
    <w:rsid w:val="00DF72A6"/>
    <w:rsid w:val="00E00D83"/>
    <w:rsid w:val="00E01B55"/>
    <w:rsid w:val="00E0502C"/>
    <w:rsid w:val="00E05313"/>
    <w:rsid w:val="00E12637"/>
    <w:rsid w:val="00E1417B"/>
    <w:rsid w:val="00E14E3B"/>
    <w:rsid w:val="00E1608D"/>
    <w:rsid w:val="00E16748"/>
    <w:rsid w:val="00E171B2"/>
    <w:rsid w:val="00E20AA0"/>
    <w:rsid w:val="00E22D91"/>
    <w:rsid w:val="00E23E40"/>
    <w:rsid w:val="00E24F8F"/>
    <w:rsid w:val="00E26C88"/>
    <w:rsid w:val="00E30D5E"/>
    <w:rsid w:val="00E31230"/>
    <w:rsid w:val="00E32F9B"/>
    <w:rsid w:val="00E360C3"/>
    <w:rsid w:val="00E401C6"/>
    <w:rsid w:val="00E40815"/>
    <w:rsid w:val="00E40ABB"/>
    <w:rsid w:val="00E424E2"/>
    <w:rsid w:val="00E43E88"/>
    <w:rsid w:val="00E46F0F"/>
    <w:rsid w:val="00E539EF"/>
    <w:rsid w:val="00E54606"/>
    <w:rsid w:val="00E54937"/>
    <w:rsid w:val="00E55490"/>
    <w:rsid w:val="00E57963"/>
    <w:rsid w:val="00E57A3E"/>
    <w:rsid w:val="00E607D0"/>
    <w:rsid w:val="00E60AC1"/>
    <w:rsid w:val="00E624E3"/>
    <w:rsid w:val="00E62B7E"/>
    <w:rsid w:val="00E62F87"/>
    <w:rsid w:val="00E633BB"/>
    <w:rsid w:val="00E64C84"/>
    <w:rsid w:val="00E65635"/>
    <w:rsid w:val="00E65BD3"/>
    <w:rsid w:val="00E662DE"/>
    <w:rsid w:val="00E701B8"/>
    <w:rsid w:val="00E73539"/>
    <w:rsid w:val="00E768D5"/>
    <w:rsid w:val="00E8071D"/>
    <w:rsid w:val="00E8104D"/>
    <w:rsid w:val="00E8136E"/>
    <w:rsid w:val="00E81E7D"/>
    <w:rsid w:val="00E81EBA"/>
    <w:rsid w:val="00E832F2"/>
    <w:rsid w:val="00E83794"/>
    <w:rsid w:val="00E839C0"/>
    <w:rsid w:val="00E85168"/>
    <w:rsid w:val="00E91649"/>
    <w:rsid w:val="00E9291F"/>
    <w:rsid w:val="00E929A7"/>
    <w:rsid w:val="00E9303A"/>
    <w:rsid w:val="00E93DA0"/>
    <w:rsid w:val="00E952FF"/>
    <w:rsid w:val="00E95860"/>
    <w:rsid w:val="00E969C3"/>
    <w:rsid w:val="00E96CAC"/>
    <w:rsid w:val="00E973B3"/>
    <w:rsid w:val="00E977E9"/>
    <w:rsid w:val="00EA1975"/>
    <w:rsid w:val="00EA1E22"/>
    <w:rsid w:val="00EA20AB"/>
    <w:rsid w:val="00EA5281"/>
    <w:rsid w:val="00EA5427"/>
    <w:rsid w:val="00EA5D82"/>
    <w:rsid w:val="00EA64CD"/>
    <w:rsid w:val="00EB2159"/>
    <w:rsid w:val="00EB3209"/>
    <w:rsid w:val="00EB6D16"/>
    <w:rsid w:val="00EB6D43"/>
    <w:rsid w:val="00EB747C"/>
    <w:rsid w:val="00EC171B"/>
    <w:rsid w:val="00EC1EC1"/>
    <w:rsid w:val="00EC3DEF"/>
    <w:rsid w:val="00EC3E2B"/>
    <w:rsid w:val="00EC5086"/>
    <w:rsid w:val="00EC60C5"/>
    <w:rsid w:val="00EC6DD6"/>
    <w:rsid w:val="00ED2B01"/>
    <w:rsid w:val="00ED3511"/>
    <w:rsid w:val="00ED47EA"/>
    <w:rsid w:val="00ED5CCE"/>
    <w:rsid w:val="00ED7DFC"/>
    <w:rsid w:val="00EE02AF"/>
    <w:rsid w:val="00EE222D"/>
    <w:rsid w:val="00EE2FE1"/>
    <w:rsid w:val="00EE497E"/>
    <w:rsid w:val="00EE6367"/>
    <w:rsid w:val="00EE6467"/>
    <w:rsid w:val="00EE68E2"/>
    <w:rsid w:val="00EE6D0F"/>
    <w:rsid w:val="00EF05E5"/>
    <w:rsid w:val="00EF0871"/>
    <w:rsid w:val="00EF1E9F"/>
    <w:rsid w:val="00EF2D3F"/>
    <w:rsid w:val="00EF486E"/>
    <w:rsid w:val="00EF504C"/>
    <w:rsid w:val="00EF642E"/>
    <w:rsid w:val="00EF6472"/>
    <w:rsid w:val="00EF7B87"/>
    <w:rsid w:val="00F0209D"/>
    <w:rsid w:val="00F0243A"/>
    <w:rsid w:val="00F0466B"/>
    <w:rsid w:val="00F04B79"/>
    <w:rsid w:val="00F076F6"/>
    <w:rsid w:val="00F10D61"/>
    <w:rsid w:val="00F123FB"/>
    <w:rsid w:val="00F12CF9"/>
    <w:rsid w:val="00F134DD"/>
    <w:rsid w:val="00F14D17"/>
    <w:rsid w:val="00F15290"/>
    <w:rsid w:val="00F165A1"/>
    <w:rsid w:val="00F17E2B"/>
    <w:rsid w:val="00F200C4"/>
    <w:rsid w:val="00F2067F"/>
    <w:rsid w:val="00F20CE3"/>
    <w:rsid w:val="00F20EEF"/>
    <w:rsid w:val="00F2319D"/>
    <w:rsid w:val="00F24F72"/>
    <w:rsid w:val="00F2563A"/>
    <w:rsid w:val="00F256FD"/>
    <w:rsid w:val="00F318C1"/>
    <w:rsid w:val="00F34449"/>
    <w:rsid w:val="00F353CF"/>
    <w:rsid w:val="00F37B01"/>
    <w:rsid w:val="00F425FE"/>
    <w:rsid w:val="00F434EC"/>
    <w:rsid w:val="00F4377C"/>
    <w:rsid w:val="00F51F11"/>
    <w:rsid w:val="00F5260F"/>
    <w:rsid w:val="00F52747"/>
    <w:rsid w:val="00F53FCF"/>
    <w:rsid w:val="00F5408B"/>
    <w:rsid w:val="00F557A2"/>
    <w:rsid w:val="00F563B6"/>
    <w:rsid w:val="00F56BD3"/>
    <w:rsid w:val="00F56FC0"/>
    <w:rsid w:val="00F608A8"/>
    <w:rsid w:val="00F62464"/>
    <w:rsid w:val="00F63986"/>
    <w:rsid w:val="00F63F51"/>
    <w:rsid w:val="00F651AA"/>
    <w:rsid w:val="00F657F8"/>
    <w:rsid w:val="00F660F3"/>
    <w:rsid w:val="00F679A7"/>
    <w:rsid w:val="00F704ED"/>
    <w:rsid w:val="00F705DB"/>
    <w:rsid w:val="00F7290C"/>
    <w:rsid w:val="00F75919"/>
    <w:rsid w:val="00F75E70"/>
    <w:rsid w:val="00F76476"/>
    <w:rsid w:val="00F7738E"/>
    <w:rsid w:val="00F7747E"/>
    <w:rsid w:val="00F819CE"/>
    <w:rsid w:val="00F84D11"/>
    <w:rsid w:val="00F8658D"/>
    <w:rsid w:val="00F9011E"/>
    <w:rsid w:val="00F917BB"/>
    <w:rsid w:val="00F92361"/>
    <w:rsid w:val="00F94A99"/>
    <w:rsid w:val="00F94BA0"/>
    <w:rsid w:val="00F95177"/>
    <w:rsid w:val="00F95EEF"/>
    <w:rsid w:val="00F96492"/>
    <w:rsid w:val="00F96C4D"/>
    <w:rsid w:val="00F974BC"/>
    <w:rsid w:val="00FA0511"/>
    <w:rsid w:val="00FA1322"/>
    <w:rsid w:val="00FA1D12"/>
    <w:rsid w:val="00FA26BA"/>
    <w:rsid w:val="00FA2D70"/>
    <w:rsid w:val="00FA34F7"/>
    <w:rsid w:val="00FA3E51"/>
    <w:rsid w:val="00FA3F6E"/>
    <w:rsid w:val="00FA42CF"/>
    <w:rsid w:val="00FA462B"/>
    <w:rsid w:val="00FA4E92"/>
    <w:rsid w:val="00FA63C5"/>
    <w:rsid w:val="00FA799B"/>
    <w:rsid w:val="00FB019D"/>
    <w:rsid w:val="00FB0B3B"/>
    <w:rsid w:val="00FB11C6"/>
    <w:rsid w:val="00FB15AE"/>
    <w:rsid w:val="00FB3AEE"/>
    <w:rsid w:val="00FB3B20"/>
    <w:rsid w:val="00FB3C86"/>
    <w:rsid w:val="00FB42E4"/>
    <w:rsid w:val="00FB4AFE"/>
    <w:rsid w:val="00FB7568"/>
    <w:rsid w:val="00FC0807"/>
    <w:rsid w:val="00FC1106"/>
    <w:rsid w:val="00FC2423"/>
    <w:rsid w:val="00FC4929"/>
    <w:rsid w:val="00FC5AB0"/>
    <w:rsid w:val="00FC5C57"/>
    <w:rsid w:val="00FD14DD"/>
    <w:rsid w:val="00FD178C"/>
    <w:rsid w:val="00FD21B4"/>
    <w:rsid w:val="00FD2E01"/>
    <w:rsid w:val="00FD3354"/>
    <w:rsid w:val="00FD3E7D"/>
    <w:rsid w:val="00FD539F"/>
    <w:rsid w:val="00FD6177"/>
    <w:rsid w:val="00FD64D3"/>
    <w:rsid w:val="00FD66EE"/>
    <w:rsid w:val="00FD698B"/>
    <w:rsid w:val="00FD6F4B"/>
    <w:rsid w:val="00FD77DC"/>
    <w:rsid w:val="00FD7916"/>
    <w:rsid w:val="00FE068F"/>
    <w:rsid w:val="00FE0DD7"/>
    <w:rsid w:val="00FE1B19"/>
    <w:rsid w:val="00FE248D"/>
    <w:rsid w:val="00FE3634"/>
    <w:rsid w:val="00FE3C38"/>
    <w:rsid w:val="00FE40EE"/>
    <w:rsid w:val="00FE486E"/>
    <w:rsid w:val="00FE5B80"/>
    <w:rsid w:val="00FE7F90"/>
    <w:rsid w:val="00FF3B04"/>
    <w:rsid w:val="00FF3F1A"/>
    <w:rsid w:val="00FF4BE2"/>
    <w:rsid w:val="00FF524D"/>
    <w:rsid w:val="00FF52D0"/>
    <w:rsid w:val="00FF5827"/>
    <w:rsid w:val="00FF5B79"/>
    <w:rsid w:val="00FF6A7B"/>
    <w:rsid w:val="00FF70C7"/>
    <w:rsid w:val="016676DA"/>
    <w:rsid w:val="019A74EA"/>
    <w:rsid w:val="01B77021"/>
    <w:rsid w:val="01FF762D"/>
    <w:rsid w:val="020C1187"/>
    <w:rsid w:val="021A3332"/>
    <w:rsid w:val="023F54CD"/>
    <w:rsid w:val="025F3645"/>
    <w:rsid w:val="02DC6FA4"/>
    <w:rsid w:val="035305CD"/>
    <w:rsid w:val="038154CF"/>
    <w:rsid w:val="04484FC7"/>
    <w:rsid w:val="04567840"/>
    <w:rsid w:val="0472710A"/>
    <w:rsid w:val="04EB4D67"/>
    <w:rsid w:val="05225AB8"/>
    <w:rsid w:val="06297AE9"/>
    <w:rsid w:val="070E47B7"/>
    <w:rsid w:val="07732C47"/>
    <w:rsid w:val="084A06A6"/>
    <w:rsid w:val="08793900"/>
    <w:rsid w:val="093B7882"/>
    <w:rsid w:val="097135EC"/>
    <w:rsid w:val="098A3A03"/>
    <w:rsid w:val="09943F1C"/>
    <w:rsid w:val="09EE28D6"/>
    <w:rsid w:val="0A146772"/>
    <w:rsid w:val="0A4A364C"/>
    <w:rsid w:val="0A9B34DF"/>
    <w:rsid w:val="0AEF0725"/>
    <w:rsid w:val="0B0F13B4"/>
    <w:rsid w:val="0B2D7A3C"/>
    <w:rsid w:val="0B547F16"/>
    <w:rsid w:val="0BEA589D"/>
    <w:rsid w:val="0C5B720C"/>
    <w:rsid w:val="0C5D0441"/>
    <w:rsid w:val="0D0E6EE4"/>
    <w:rsid w:val="0D695EF2"/>
    <w:rsid w:val="0D6A4C9F"/>
    <w:rsid w:val="0E79559D"/>
    <w:rsid w:val="0F2A2935"/>
    <w:rsid w:val="10227071"/>
    <w:rsid w:val="10283AEC"/>
    <w:rsid w:val="1036574B"/>
    <w:rsid w:val="10B645DE"/>
    <w:rsid w:val="10E258BF"/>
    <w:rsid w:val="115B52B4"/>
    <w:rsid w:val="11D654E6"/>
    <w:rsid w:val="11DA701D"/>
    <w:rsid w:val="11F96A1B"/>
    <w:rsid w:val="12C51F63"/>
    <w:rsid w:val="12CB3A07"/>
    <w:rsid w:val="13401E1E"/>
    <w:rsid w:val="13E22D6E"/>
    <w:rsid w:val="142458FE"/>
    <w:rsid w:val="15261994"/>
    <w:rsid w:val="16345682"/>
    <w:rsid w:val="16B113BD"/>
    <w:rsid w:val="16B26998"/>
    <w:rsid w:val="16C8327B"/>
    <w:rsid w:val="16D4097D"/>
    <w:rsid w:val="172D4CF9"/>
    <w:rsid w:val="17501A56"/>
    <w:rsid w:val="17B651B3"/>
    <w:rsid w:val="17BFFDB6"/>
    <w:rsid w:val="17E77005"/>
    <w:rsid w:val="18344784"/>
    <w:rsid w:val="18565085"/>
    <w:rsid w:val="186E6A8A"/>
    <w:rsid w:val="19B61335"/>
    <w:rsid w:val="19FB1D0C"/>
    <w:rsid w:val="1A155CB1"/>
    <w:rsid w:val="1A663D71"/>
    <w:rsid w:val="1A701BA7"/>
    <w:rsid w:val="1A8E7FFF"/>
    <w:rsid w:val="1BA34D38"/>
    <w:rsid w:val="1C3340C0"/>
    <w:rsid w:val="1C6C76AB"/>
    <w:rsid w:val="1CC35003"/>
    <w:rsid w:val="1CD15456"/>
    <w:rsid w:val="1CD15C65"/>
    <w:rsid w:val="1D0E2B0F"/>
    <w:rsid w:val="1D3608A9"/>
    <w:rsid w:val="1E37636E"/>
    <w:rsid w:val="1E3E5A82"/>
    <w:rsid w:val="1E9371AC"/>
    <w:rsid w:val="1EA34487"/>
    <w:rsid w:val="1EC328FB"/>
    <w:rsid w:val="1F2C0C05"/>
    <w:rsid w:val="1F783A4B"/>
    <w:rsid w:val="1FF74DD0"/>
    <w:rsid w:val="1FF74E19"/>
    <w:rsid w:val="1FFF5825"/>
    <w:rsid w:val="1FFFC87E"/>
    <w:rsid w:val="209E1B70"/>
    <w:rsid w:val="20EB51E4"/>
    <w:rsid w:val="210378DB"/>
    <w:rsid w:val="217E018A"/>
    <w:rsid w:val="21C23F3F"/>
    <w:rsid w:val="225C30F8"/>
    <w:rsid w:val="22716068"/>
    <w:rsid w:val="22CC5EC3"/>
    <w:rsid w:val="230623A5"/>
    <w:rsid w:val="23734937"/>
    <w:rsid w:val="2383382B"/>
    <w:rsid w:val="23A8D61F"/>
    <w:rsid w:val="23C473F7"/>
    <w:rsid w:val="24470145"/>
    <w:rsid w:val="244B5530"/>
    <w:rsid w:val="24F51CE0"/>
    <w:rsid w:val="25750ADC"/>
    <w:rsid w:val="258D52FE"/>
    <w:rsid w:val="25AD327B"/>
    <w:rsid w:val="25E51314"/>
    <w:rsid w:val="25F31062"/>
    <w:rsid w:val="269656FE"/>
    <w:rsid w:val="26DB0F66"/>
    <w:rsid w:val="26F23896"/>
    <w:rsid w:val="272510BC"/>
    <w:rsid w:val="27743516"/>
    <w:rsid w:val="27895573"/>
    <w:rsid w:val="27AC73B9"/>
    <w:rsid w:val="28D9701A"/>
    <w:rsid w:val="296E657F"/>
    <w:rsid w:val="29A86F3D"/>
    <w:rsid w:val="29E6C5A9"/>
    <w:rsid w:val="2A881A49"/>
    <w:rsid w:val="2B12334A"/>
    <w:rsid w:val="2B325BD1"/>
    <w:rsid w:val="2B3F55E8"/>
    <w:rsid w:val="2C3C38ED"/>
    <w:rsid w:val="2C3D4D47"/>
    <w:rsid w:val="2C4C3A42"/>
    <w:rsid w:val="2C6378B9"/>
    <w:rsid w:val="2CE82B7E"/>
    <w:rsid w:val="2CF73941"/>
    <w:rsid w:val="2D7361ED"/>
    <w:rsid w:val="2DFF0F85"/>
    <w:rsid w:val="2E1E0C94"/>
    <w:rsid w:val="2E6F78F2"/>
    <w:rsid w:val="2F3B24C0"/>
    <w:rsid w:val="2F5C1EA2"/>
    <w:rsid w:val="2FFF1FBD"/>
    <w:rsid w:val="2FFFF9F3"/>
    <w:rsid w:val="30C4439C"/>
    <w:rsid w:val="31344C65"/>
    <w:rsid w:val="31359FFB"/>
    <w:rsid w:val="31DF7FF7"/>
    <w:rsid w:val="32222867"/>
    <w:rsid w:val="32B351C5"/>
    <w:rsid w:val="334636F3"/>
    <w:rsid w:val="33613377"/>
    <w:rsid w:val="33BF18FE"/>
    <w:rsid w:val="35232CA7"/>
    <w:rsid w:val="35B16C31"/>
    <w:rsid w:val="35FDBA7D"/>
    <w:rsid w:val="36C72DEC"/>
    <w:rsid w:val="36FB26A3"/>
    <w:rsid w:val="38621428"/>
    <w:rsid w:val="38EF1604"/>
    <w:rsid w:val="39B8524D"/>
    <w:rsid w:val="39E3BB97"/>
    <w:rsid w:val="39FF5A61"/>
    <w:rsid w:val="3A2C0271"/>
    <w:rsid w:val="3A665C59"/>
    <w:rsid w:val="3A9108FD"/>
    <w:rsid w:val="3AA55940"/>
    <w:rsid w:val="3B1C25C3"/>
    <w:rsid w:val="3B2A290C"/>
    <w:rsid w:val="3BFF3F8C"/>
    <w:rsid w:val="3BFF8872"/>
    <w:rsid w:val="3C581416"/>
    <w:rsid w:val="3C7D7208"/>
    <w:rsid w:val="3D005914"/>
    <w:rsid w:val="3D2F0114"/>
    <w:rsid w:val="3D3C4252"/>
    <w:rsid w:val="3D433236"/>
    <w:rsid w:val="3DE70675"/>
    <w:rsid w:val="3DFFA212"/>
    <w:rsid w:val="3E1C3C13"/>
    <w:rsid w:val="3EB65462"/>
    <w:rsid w:val="3EBD11FE"/>
    <w:rsid w:val="3EFD472E"/>
    <w:rsid w:val="3EFE19F4"/>
    <w:rsid w:val="3F0C39AC"/>
    <w:rsid w:val="3F3DCE89"/>
    <w:rsid w:val="3F8F098D"/>
    <w:rsid w:val="3F978BBD"/>
    <w:rsid w:val="3F9F278E"/>
    <w:rsid w:val="3FCF7EE4"/>
    <w:rsid w:val="3FDE7DD6"/>
    <w:rsid w:val="3FDF3A21"/>
    <w:rsid w:val="3FEDBA55"/>
    <w:rsid w:val="406B02A5"/>
    <w:rsid w:val="40955FA5"/>
    <w:rsid w:val="40EE0F0F"/>
    <w:rsid w:val="40F72F5D"/>
    <w:rsid w:val="41110178"/>
    <w:rsid w:val="41DC463E"/>
    <w:rsid w:val="42415636"/>
    <w:rsid w:val="43103654"/>
    <w:rsid w:val="432568B7"/>
    <w:rsid w:val="43697760"/>
    <w:rsid w:val="43B21FF6"/>
    <w:rsid w:val="43D52989"/>
    <w:rsid w:val="43EB2849"/>
    <w:rsid w:val="446C26F0"/>
    <w:rsid w:val="44AB0B8B"/>
    <w:rsid w:val="45891437"/>
    <w:rsid w:val="45B4309E"/>
    <w:rsid w:val="45EA5A6B"/>
    <w:rsid w:val="46E005CE"/>
    <w:rsid w:val="476D125A"/>
    <w:rsid w:val="478C14B5"/>
    <w:rsid w:val="47B7D7BA"/>
    <w:rsid w:val="47CA692E"/>
    <w:rsid w:val="47D93AEB"/>
    <w:rsid w:val="489635D9"/>
    <w:rsid w:val="48C542A3"/>
    <w:rsid w:val="494241DF"/>
    <w:rsid w:val="49820FCD"/>
    <w:rsid w:val="49BF7AA7"/>
    <w:rsid w:val="49C37D03"/>
    <w:rsid w:val="4A384CCE"/>
    <w:rsid w:val="4AD16172"/>
    <w:rsid w:val="4ADC0BD6"/>
    <w:rsid w:val="4AEC79A3"/>
    <w:rsid w:val="4C2C6702"/>
    <w:rsid w:val="4C2D449E"/>
    <w:rsid w:val="4C753C2A"/>
    <w:rsid w:val="4D183EE0"/>
    <w:rsid w:val="4D6A5504"/>
    <w:rsid w:val="4DB47625"/>
    <w:rsid w:val="4DBB53F8"/>
    <w:rsid w:val="4E0006C7"/>
    <w:rsid w:val="4E651746"/>
    <w:rsid w:val="4ECB3E54"/>
    <w:rsid w:val="4F627AA5"/>
    <w:rsid w:val="4F9379D6"/>
    <w:rsid w:val="503C3866"/>
    <w:rsid w:val="50586B5C"/>
    <w:rsid w:val="52A07DF6"/>
    <w:rsid w:val="52A67984"/>
    <w:rsid w:val="5302490E"/>
    <w:rsid w:val="53D90E5B"/>
    <w:rsid w:val="53DF44E9"/>
    <w:rsid w:val="53F62606"/>
    <w:rsid w:val="54417AEB"/>
    <w:rsid w:val="54B748B6"/>
    <w:rsid w:val="54D338D6"/>
    <w:rsid w:val="54E7767D"/>
    <w:rsid w:val="553F5F8E"/>
    <w:rsid w:val="55B52D3A"/>
    <w:rsid w:val="55C30638"/>
    <w:rsid w:val="56337F6F"/>
    <w:rsid w:val="564646FA"/>
    <w:rsid w:val="57F17C14"/>
    <w:rsid w:val="580731A3"/>
    <w:rsid w:val="58153891"/>
    <w:rsid w:val="58271E88"/>
    <w:rsid w:val="58AD486A"/>
    <w:rsid w:val="593FBB6D"/>
    <w:rsid w:val="59FE0156"/>
    <w:rsid w:val="5A4248DD"/>
    <w:rsid w:val="5A506A24"/>
    <w:rsid w:val="5AD0395A"/>
    <w:rsid w:val="5ADC0474"/>
    <w:rsid w:val="5AEA4F91"/>
    <w:rsid w:val="5AF60756"/>
    <w:rsid w:val="5B2B08CB"/>
    <w:rsid w:val="5B57F1EA"/>
    <w:rsid w:val="5B9D4342"/>
    <w:rsid w:val="5C0436A1"/>
    <w:rsid w:val="5C9F2596"/>
    <w:rsid w:val="5CB23F26"/>
    <w:rsid w:val="5CFE7DDF"/>
    <w:rsid w:val="5D4F0620"/>
    <w:rsid w:val="5DB97B98"/>
    <w:rsid w:val="5DCD117B"/>
    <w:rsid w:val="5DEE1937"/>
    <w:rsid w:val="5DFC0068"/>
    <w:rsid w:val="5E3D2B49"/>
    <w:rsid w:val="5E70765B"/>
    <w:rsid w:val="5E7769A0"/>
    <w:rsid w:val="5E780C36"/>
    <w:rsid w:val="5EECE755"/>
    <w:rsid w:val="5EFD6051"/>
    <w:rsid w:val="5F3D735B"/>
    <w:rsid w:val="5F7E2EBB"/>
    <w:rsid w:val="5FB54B94"/>
    <w:rsid w:val="5FBB42DC"/>
    <w:rsid w:val="5FBF4976"/>
    <w:rsid w:val="5FE71D8C"/>
    <w:rsid w:val="5FE74F1F"/>
    <w:rsid w:val="5FEB4F24"/>
    <w:rsid w:val="5FF7FD2F"/>
    <w:rsid w:val="5FF91B40"/>
    <w:rsid w:val="5FFF2441"/>
    <w:rsid w:val="617E2575"/>
    <w:rsid w:val="62744695"/>
    <w:rsid w:val="63757E47"/>
    <w:rsid w:val="63DC4CB4"/>
    <w:rsid w:val="63F4151F"/>
    <w:rsid w:val="6465250D"/>
    <w:rsid w:val="64AA61E9"/>
    <w:rsid w:val="64BB04A5"/>
    <w:rsid w:val="654D1A27"/>
    <w:rsid w:val="657E68F2"/>
    <w:rsid w:val="66096BA0"/>
    <w:rsid w:val="66F431F5"/>
    <w:rsid w:val="670F1A89"/>
    <w:rsid w:val="68A378D9"/>
    <w:rsid w:val="68C95112"/>
    <w:rsid w:val="695B4271"/>
    <w:rsid w:val="69796EC4"/>
    <w:rsid w:val="697C5E01"/>
    <w:rsid w:val="69877D03"/>
    <w:rsid w:val="69AC093D"/>
    <w:rsid w:val="6A550080"/>
    <w:rsid w:val="6A627295"/>
    <w:rsid w:val="6B594D96"/>
    <w:rsid w:val="6B5D688B"/>
    <w:rsid w:val="6B7CF413"/>
    <w:rsid w:val="6CA5510D"/>
    <w:rsid w:val="6CC433F7"/>
    <w:rsid w:val="6EDF8218"/>
    <w:rsid w:val="6EF764C3"/>
    <w:rsid w:val="6F0406AE"/>
    <w:rsid w:val="6F922B6B"/>
    <w:rsid w:val="6FDC7472"/>
    <w:rsid w:val="6FFDCF8D"/>
    <w:rsid w:val="703803E6"/>
    <w:rsid w:val="717F5BB0"/>
    <w:rsid w:val="71DB3A50"/>
    <w:rsid w:val="722F67EE"/>
    <w:rsid w:val="72B96002"/>
    <w:rsid w:val="730F21D3"/>
    <w:rsid w:val="732F33EB"/>
    <w:rsid w:val="734F2F60"/>
    <w:rsid w:val="73A203AE"/>
    <w:rsid w:val="73CE579C"/>
    <w:rsid w:val="73D70C14"/>
    <w:rsid w:val="74486120"/>
    <w:rsid w:val="74D6A677"/>
    <w:rsid w:val="75FBCE60"/>
    <w:rsid w:val="76210A6D"/>
    <w:rsid w:val="7630638A"/>
    <w:rsid w:val="76A94F88"/>
    <w:rsid w:val="76C27EA1"/>
    <w:rsid w:val="771A302E"/>
    <w:rsid w:val="771D2BD3"/>
    <w:rsid w:val="77A34DA4"/>
    <w:rsid w:val="77DE8028"/>
    <w:rsid w:val="77FB5D92"/>
    <w:rsid w:val="77FFF8AD"/>
    <w:rsid w:val="7848751A"/>
    <w:rsid w:val="78ED71EB"/>
    <w:rsid w:val="79046F55"/>
    <w:rsid w:val="790A02EF"/>
    <w:rsid w:val="79795BC1"/>
    <w:rsid w:val="79D5330D"/>
    <w:rsid w:val="79FF61E5"/>
    <w:rsid w:val="7A365EFA"/>
    <w:rsid w:val="7A4F66C6"/>
    <w:rsid w:val="7A773875"/>
    <w:rsid w:val="7B1D0B17"/>
    <w:rsid w:val="7B476856"/>
    <w:rsid w:val="7BFB69AD"/>
    <w:rsid w:val="7BFBDB04"/>
    <w:rsid w:val="7BFD1228"/>
    <w:rsid w:val="7CD107C9"/>
    <w:rsid w:val="7CDFFB8A"/>
    <w:rsid w:val="7D1A1EA2"/>
    <w:rsid w:val="7D302BD9"/>
    <w:rsid w:val="7DA33D3F"/>
    <w:rsid w:val="7DCB246F"/>
    <w:rsid w:val="7DFB0952"/>
    <w:rsid w:val="7E2476BB"/>
    <w:rsid w:val="7E77CD0C"/>
    <w:rsid w:val="7E7FE6C6"/>
    <w:rsid w:val="7E916D2F"/>
    <w:rsid w:val="7F036DD6"/>
    <w:rsid w:val="7F9D2FD0"/>
    <w:rsid w:val="7FBB8CE9"/>
    <w:rsid w:val="7FCF42A4"/>
    <w:rsid w:val="7FDF051B"/>
    <w:rsid w:val="7FFFD028"/>
    <w:rsid w:val="8D9FC377"/>
    <w:rsid w:val="8F9998C8"/>
    <w:rsid w:val="8FA77BEE"/>
    <w:rsid w:val="8FF18211"/>
    <w:rsid w:val="967D631C"/>
    <w:rsid w:val="9BFF5121"/>
    <w:rsid w:val="9F4F23DE"/>
    <w:rsid w:val="9F7D9479"/>
    <w:rsid w:val="9FD76439"/>
    <w:rsid w:val="A4DF477D"/>
    <w:rsid w:val="ADFF64C4"/>
    <w:rsid w:val="B277CBAD"/>
    <w:rsid w:val="B6F93F23"/>
    <w:rsid w:val="B9927292"/>
    <w:rsid w:val="B9F90C43"/>
    <w:rsid w:val="BAEF771E"/>
    <w:rsid w:val="BB7A8228"/>
    <w:rsid w:val="BC7A7B7F"/>
    <w:rsid w:val="BC7E76D6"/>
    <w:rsid w:val="BC7EC350"/>
    <w:rsid w:val="BD676B5B"/>
    <w:rsid w:val="BEBDC850"/>
    <w:rsid w:val="BEF24C29"/>
    <w:rsid w:val="BF1BF531"/>
    <w:rsid w:val="BF4795DD"/>
    <w:rsid w:val="C57F7565"/>
    <w:rsid w:val="C7FFE398"/>
    <w:rsid w:val="CB7F48D9"/>
    <w:rsid w:val="CBBD8AA7"/>
    <w:rsid w:val="CDFDFAA4"/>
    <w:rsid w:val="CEDD45F0"/>
    <w:rsid w:val="D55C6589"/>
    <w:rsid w:val="D7F68EB3"/>
    <w:rsid w:val="D7FE9E28"/>
    <w:rsid w:val="DB3E825D"/>
    <w:rsid w:val="DB77B49D"/>
    <w:rsid w:val="DBB604E4"/>
    <w:rsid w:val="DCD33378"/>
    <w:rsid w:val="DEBFBB88"/>
    <w:rsid w:val="DFB44CA5"/>
    <w:rsid w:val="E757971C"/>
    <w:rsid w:val="E9BF9F15"/>
    <w:rsid w:val="EBFFD8C4"/>
    <w:rsid w:val="EF3E2736"/>
    <w:rsid w:val="EFE31319"/>
    <w:rsid w:val="EFF772C5"/>
    <w:rsid w:val="F456291C"/>
    <w:rsid w:val="F5EBAD59"/>
    <w:rsid w:val="F5FEC966"/>
    <w:rsid w:val="F6FB14FE"/>
    <w:rsid w:val="F77B1A34"/>
    <w:rsid w:val="F7BF78E8"/>
    <w:rsid w:val="F7D71053"/>
    <w:rsid w:val="F9DF4EBB"/>
    <w:rsid w:val="F9EF0F3F"/>
    <w:rsid w:val="FB9D883D"/>
    <w:rsid w:val="FBEE2FF4"/>
    <w:rsid w:val="FCEF2975"/>
    <w:rsid w:val="FCFF8D09"/>
    <w:rsid w:val="FD3FE550"/>
    <w:rsid w:val="FD4F7A7A"/>
    <w:rsid w:val="FD9BD39C"/>
    <w:rsid w:val="FDC655B5"/>
    <w:rsid w:val="FDDFC28A"/>
    <w:rsid w:val="FDEA4D55"/>
    <w:rsid w:val="FDEB07D4"/>
    <w:rsid w:val="FDFE79C8"/>
    <w:rsid w:val="FED7B8CE"/>
    <w:rsid w:val="FEE5E502"/>
    <w:rsid w:val="FF8BB626"/>
    <w:rsid w:val="FFBBF39D"/>
    <w:rsid w:val="FFBF62F3"/>
    <w:rsid w:val="FFDDC275"/>
    <w:rsid w:val="FFDE3544"/>
    <w:rsid w:val="FFDEF9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仿宋_GB2312"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jc w:val="left"/>
      <w:outlineLvl w:val="0"/>
    </w:pPr>
    <w:rPr>
      <w:rFonts w:ascii="黑体" w:eastAsia="黑体"/>
      <w:bCs/>
      <w:kern w:val="44"/>
      <w:szCs w:val="44"/>
    </w:rPr>
  </w:style>
  <w:style w:type="paragraph" w:styleId="5">
    <w:name w:val="heading 2"/>
    <w:basedOn w:val="1"/>
    <w:next w:val="1"/>
    <w:link w:val="48"/>
    <w:qFormat/>
    <w:uiPriority w:val="0"/>
    <w:pPr>
      <w:keepNext/>
      <w:keepLines/>
      <w:outlineLvl w:val="1"/>
    </w:pPr>
    <w:rPr>
      <w:rFonts w:ascii="楷体" w:hAnsi="Arial" w:eastAsia="楷体"/>
      <w:b/>
      <w:bCs/>
      <w:kern w:val="0"/>
      <w:szCs w:val="32"/>
    </w:rPr>
  </w:style>
  <w:style w:type="paragraph" w:styleId="6">
    <w:name w:val="heading 3"/>
    <w:basedOn w:val="1"/>
    <w:next w:val="1"/>
    <w:qFormat/>
    <w:uiPriority w:val="0"/>
    <w:pPr>
      <w:keepNext/>
      <w:keepLines/>
      <w:outlineLvl w:val="2"/>
    </w:pPr>
    <w:rPr>
      <w:b/>
      <w:bCs/>
      <w:szCs w:val="32"/>
    </w:rPr>
  </w:style>
  <w:style w:type="paragraph" w:styleId="7">
    <w:name w:val="heading 4"/>
    <w:basedOn w:val="1"/>
    <w:next w:val="1"/>
    <w:link w:val="49"/>
    <w:qFormat/>
    <w:uiPriority w:val="0"/>
    <w:pPr>
      <w:keepNext/>
      <w:keepLines/>
      <w:spacing w:before="280" w:after="290" w:line="376" w:lineRule="atLeast"/>
      <w:outlineLvl w:val="3"/>
    </w:pPr>
    <w:rPr>
      <w:rFonts w:ascii="等线 Light" w:hAnsi="等线 Light" w:eastAsia="等线 Light"/>
      <w:b/>
      <w:bCs/>
      <w:sz w:val="28"/>
      <w:szCs w:val="28"/>
    </w:rPr>
  </w:style>
  <w:style w:type="character" w:default="1" w:styleId="33">
    <w:name w:val="Default Paragraph Font"/>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qFormat/>
    <w:uiPriority w:val="0"/>
    <w:pPr>
      <w:spacing w:line="240" w:lineRule="exact"/>
      <w:ind w:firstLine="200" w:firstLineChars="200"/>
    </w:pPr>
    <w:rPr>
      <w:bCs/>
      <w:sz w:val="21"/>
    </w:rPr>
  </w:style>
  <w:style w:type="paragraph" w:styleId="8">
    <w:name w:val="toc 7"/>
    <w:basedOn w:val="1"/>
    <w:next w:val="1"/>
    <w:qFormat/>
    <w:uiPriority w:val="39"/>
    <w:pPr>
      <w:ind w:left="1920"/>
      <w:jc w:val="left"/>
    </w:pPr>
    <w:rPr>
      <w:rFonts w:ascii="等线" w:eastAsia="等线"/>
      <w:sz w:val="18"/>
      <w:szCs w:val="21"/>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3"/>
    <w:basedOn w:val="1"/>
    <w:qFormat/>
    <w:uiPriority w:val="0"/>
    <w:pPr>
      <w:spacing w:line="280" w:lineRule="exact"/>
      <w:jc w:val="center"/>
    </w:pPr>
    <w:rPr>
      <w:bCs/>
      <w:sz w:val="21"/>
    </w:rPr>
  </w:style>
  <w:style w:type="paragraph" w:styleId="12">
    <w:name w:val="Body Text"/>
    <w:basedOn w:val="1"/>
    <w:qFormat/>
    <w:uiPriority w:val="0"/>
    <w:pPr>
      <w:spacing w:line="300" w:lineRule="auto"/>
    </w:pPr>
    <w:rPr>
      <w:bCs/>
    </w:rPr>
  </w:style>
  <w:style w:type="paragraph" w:styleId="13">
    <w:name w:val="toc 5"/>
    <w:basedOn w:val="1"/>
    <w:next w:val="1"/>
    <w:qFormat/>
    <w:uiPriority w:val="39"/>
    <w:pPr>
      <w:ind w:left="1280"/>
      <w:jc w:val="left"/>
    </w:pPr>
    <w:rPr>
      <w:rFonts w:ascii="等线" w:eastAsia="等线"/>
      <w:sz w:val="18"/>
      <w:szCs w:val="21"/>
    </w:rPr>
  </w:style>
  <w:style w:type="paragraph" w:styleId="14">
    <w:name w:val="toc 3"/>
    <w:basedOn w:val="1"/>
    <w:next w:val="1"/>
    <w:qFormat/>
    <w:uiPriority w:val="39"/>
    <w:pPr>
      <w:ind w:left="640"/>
      <w:jc w:val="left"/>
    </w:pPr>
    <w:rPr>
      <w:rFonts w:ascii="等线" w:eastAsia="等线"/>
      <w:i/>
      <w:iCs/>
      <w:sz w:val="20"/>
    </w:rPr>
  </w:style>
  <w:style w:type="paragraph" w:styleId="15">
    <w:name w:val="toc 8"/>
    <w:basedOn w:val="1"/>
    <w:next w:val="1"/>
    <w:qFormat/>
    <w:uiPriority w:val="39"/>
    <w:pPr>
      <w:ind w:left="2240"/>
      <w:jc w:val="left"/>
    </w:pPr>
    <w:rPr>
      <w:rFonts w:ascii="等线" w:eastAsia="等线"/>
      <w:sz w:val="18"/>
      <w:szCs w:val="21"/>
    </w:rPr>
  </w:style>
  <w:style w:type="paragraph" w:styleId="16">
    <w:name w:val="Date"/>
    <w:basedOn w:val="1"/>
    <w:next w:val="1"/>
    <w:qFormat/>
    <w:uiPriority w:val="0"/>
    <w:pPr>
      <w:ind w:left="2500" w:leftChars="2500"/>
    </w:pPr>
    <w:rPr>
      <w:rFonts w:eastAsia="宋体"/>
      <w:b/>
      <w:bCs/>
      <w:sz w:val="44"/>
    </w:rPr>
  </w:style>
  <w:style w:type="paragraph" w:styleId="17">
    <w:name w:val="Body Text Indent 2"/>
    <w:basedOn w:val="1"/>
    <w:qFormat/>
    <w:uiPriority w:val="0"/>
    <w:pPr>
      <w:spacing w:line="340" w:lineRule="exact"/>
      <w:ind w:firstLine="200" w:firstLineChars="200"/>
    </w:pPr>
    <w:rPr>
      <w:bCs/>
      <w:sz w:val="24"/>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bCs/>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等线" w:eastAsia="等线"/>
      <w:b/>
      <w:bCs/>
      <w:caps/>
      <w:sz w:val="20"/>
    </w:rPr>
  </w:style>
  <w:style w:type="paragraph" w:styleId="22">
    <w:name w:val="toc 4"/>
    <w:basedOn w:val="1"/>
    <w:next w:val="1"/>
    <w:qFormat/>
    <w:uiPriority w:val="39"/>
    <w:pPr>
      <w:ind w:left="960"/>
      <w:jc w:val="left"/>
    </w:pPr>
    <w:rPr>
      <w:rFonts w:ascii="等线" w:eastAsia="等线"/>
      <w:sz w:val="18"/>
      <w:szCs w:val="21"/>
    </w:rPr>
  </w:style>
  <w:style w:type="paragraph" w:styleId="23">
    <w:name w:val="toc 6"/>
    <w:basedOn w:val="1"/>
    <w:next w:val="1"/>
    <w:qFormat/>
    <w:uiPriority w:val="39"/>
    <w:pPr>
      <w:ind w:left="1600"/>
      <w:jc w:val="left"/>
    </w:pPr>
    <w:rPr>
      <w:rFonts w:ascii="等线" w:eastAsia="等线"/>
      <w:sz w:val="18"/>
      <w:szCs w:val="21"/>
    </w:rPr>
  </w:style>
  <w:style w:type="paragraph" w:styleId="24">
    <w:name w:val="Body Text Indent 3"/>
    <w:basedOn w:val="1"/>
    <w:qFormat/>
    <w:uiPriority w:val="0"/>
    <w:pPr>
      <w:spacing w:line="480" w:lineRule="exact"/>
      <w:ind w:left="90" w:leftChars="90"/>
    </w:pPr>
    <w:rPr>
      <w:sz w:val="30"/>
    </w:rPr>
  </w:style>
  <w:style w:type="paragraph" w:styleId="25">
    <w:name w:val="toc 2"/>
    <w:basedOn w:val="1"/>
    <w:next w:val="1"/>
    <w:qFormat/>
    <w:uiPriority w:val="39"/>
    <w:pPr>
      <w:ind w:left="320"/>
      <w:jc w:val="left"/>
    </w:pPr>
    <w:rPr>
      <w:rFonts w:ascii="等线" w:eastAsia="等线"/>
      <w:smallCaps/>
      <w:sz w:val="20"/>
    </w:rPr>
  </w:style>
  <w:style w:type="paragraph" w:styleId="26">
    <w:name w:val="toc 9"/>
    <w:basedOn w:val="1"/>
    <w:next w:val="1"/>
    <w:qFormat/>
    <w:uiPriority w:val="39"/>
    <w:pPr>
      <w:ind w:left="2560"/>
      <w:jc w:val="left"/>
    </w:pPr>
    <w:rPr>
      <w:rFonts w:ascii="等线" w:eastAsia="等线"/>
      <w:sz w:val="18"/>
      <w:szCs w:val="21"/>
    </w:rPr>
  </w:style>
  <w:style w:type="paragraph" w:styleId="27">
    <w:name w:val="Body Text 2"/>
    <w:basedOn w:val="1"/>
    <w:qFormat/>
    <w:uiPriority w:val="0"/>
    <w:rPr>
      <w:rFonts w:eastAsia="宋体"/>
      <w:sz w:val="21"/>
    </w:rPr>
  </w:style>
  <w:style w:type="paragraph" w:styleId="28">
    <w:name w:val="Normal (Web)"/>
    <w:basedOn w:val="1"/>
    <w:qFormat/>
    <w:uiPriority w:val="0"/>
    <w:pPr>
      <w:widowControl/>
      <w:jc w:val="left"/>
    </w:pPr>
    <w:rPr>
      <w:rFonts w:ascii="宋体" w:eastAsia="宋体" w:cs="宋体"/>
      <w:color w:val="000000"/>
      <w:kern w:val="0"/>
      <w:sz w:val="24"/>
      <w:lang w:bidi="ar-SA"/>
    </w:rPr>
  </w:style>
  <w:style w:type="paragraph" w:styleId="29">
    <w:name w:val="Title"/>
    <w:basedOn w:val="1"/>
    <w:next w:val="1"/>
    <w:link w:val="50"/>
    <w:qFormat/>
    <w:uiPriority w:val="0"/>
    <w:pPr>
      <w:ind w:firstLine="0" w:firstLineChars="0"/>
      <w:jc w:val="center"/>
      <w:outlineLvl w:val="0"/>
    </w:pPr>
    <w:rPr>
      <w:rFonts w:ascii="方正小标宋简体" w:hAnsi="等线 Light" w:eastAsia="方正小标宋简体"/>
      <w:bCs/>
      <w:sz w:val="44"/>
      <w:szCs w:val="32"/>
    </w:rPr>
  </w:style>
  <w:style w:type="paragraph" w:styleId="30">
    <w:name w:val="annotation subject"/>
    <w:basedOn w:val="10"/>
    <w:next w:val="10"/>
    <w:qFormat/>
    <w:uiPriority w:val="0"/>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22"/>
    <w:rPr>
      <w:b/>
      <w:bCs/>
    </w:rPr>
  </w:style>
  <w:style w:type="character" w:styleId="35">
    <w:name w:val="endnote reference"/>
    <w:qFormat/>
    <w:uiPriority w:val="0"/>
    <w:rPr>
      <w:vertAlign w:val="superscript"/>
    </w:rPr>
  </w:style>
  <w:style w:type="character" w:styleId="36">
    <w:name w:val="page number"/>
    <w:qFormat/>
    <w:uiPriority w:val="0"/>
  </w:style>
  <w:style w:type="character" w:styleId="37">
    <w:name w:val="FollowedHyperlink"/>
    <w:qFormat/>
    <w:uiPriority w:val="0"/>
    <w:rPr>
      <w:color w:val="337AB7"/>
      <w:u w:val="single"/>
    </w:rPr>
  </w:style>
  <w:style w:type="character" w:styleId="38">
    <w:name w:val="Emphasis"/>
    <w:qFormat/>
    <w:uiPriority w:val="0"/>
  </w:style>
  <w:style w:type="character" w:styleId="39">
    <w:name w:val="HTML Definition"/>
    <w:qFormat/>
    <w:uiPriority w:val="0"/>
  </w:style>
  <w:style w:type="character" w:styleId="40">
    <w:name w:val="HTML Acronym"/>
    <w:qFormat/>
    <w:uiPriority w:val="0"/>
  </w:style>
  <w:style w:type="character" w:styleId="41">
    <w:name w:val="HTML Variable"/>
    <w:qFormat/>
    <w:uiPriority w:val="0"/>
  </w:style>
  <w:style w:type="character" w:styleId="42">
    <w:name w:val="Hyperlink"/>
    <w:qFormat/>
    <w:uiPriority w:val="99"/>
    <w:rPr>
      <w:color w:val="555555"/>
      <w:u w:val="none"/>
    </w:rPr>
  </w:style>
  <w:style w:type="character" w:styleId="43">
    <w:name w:val="HTML Code"/>
    <w:qFormat/>
    <w:uiPriority w:val="0"/>
    <w:rPr>
      <w:rFonts w:hint="default" w:ascii="Menlo" w:hAnsi="Menlo" w:eastAsia="Menlo" w:cs="Menlo"/>
      <w:color w:val="C7254E"/>
      <w:sz w:val="21"/>
      <w:szCs w:val="21"/>
      <w:shd w:val="clear" w:color="auto" w:fill="F9F2F4"/>
    </w:rPr>
  </w:style>
  <w:style w:type="character" w:styleId="44">
    <w:name w:val="annotation reference"/>
    <w:qFormat/>
    <w:uiPriority w:val="0"/>
    <w:rPr>
      <w:sz w:val="21"/>
      <w:szCs w:val="21"/>
    </w:rPr>
  </w:style>
  <w:style w:type="character" w:styleId="45">
    <w:name w:val="HTML Cite"/>
    <w:qFormat/>
    <w:uiPriority w:val="0"/>
  </w:style>
  <w:style w:type="character" w:styleId="46">
    <w:name w:val="HTML Keyboard"/>
    <w:qFormat/>
    <w:uiPriority w:val="0"/>
    <w:rPr>
      <w:rFonts w:hint="default" w:ascii="Menlo" w:hAnsi="Menlo" w:eastAsia="Menlo" w:cs="Menlo"/>
      <w:color w:val="FFFFFF"/>
      <w:sz w:val="21"/>
      <w:szCs w:val="21"/>
      <w:shd w:val="clear" w:color="auto" w:fill="333333"/>
    </w:rPr>
  </w:style>
  <w:style w:type="character" w:styleId="47">
    <w:name w:val="HTML Sample"/>
    <w:qFormat/>
    <w:uiPriority w:val="0"/>
    <w:rPr>
      <w:rFonts w:ascii="Menlo" w:hAnsi="Menlo" w:eastAsia="Menlo" w:cs="Menlo"/>
      <w:sz w:val="21"/>
      <w:szCs w:val="21"/>
    </w:rPr>
  </w:style>
  <w:style w:type="character" w:customStyle="1" w:styleId="48">
    <w:name w:val="标题 2 字符"/>
    <w:link w:val="5"/>
    <w:qFormat/>
    <w:uiPriority w:val="0"/>
    <w:rPr>
      <w:rFonts w:ascii="楷体" w:hAnsi="Arial" w:eastAsia="楷体"/>
      <w:b/>
      <w:bCs/>
      <w:sz w:val="32"/>
      <w:szCs w:val="32"/>
    </w:rPr>
  </w:style>
  <w:style w:type="character" w:customStyle="1" w:styleId="49">
    <w:name w:val="标题 4 字符"/>
    <w:link w:val="7"/>
    <w:semiHidden/>
    <w:qFormat/>
    <w:uiPriority w:val="0"/>
    <w:rPr>
      <w:rFonts w:ascii="等线 Light" w:hAnsi="等线 Light" w:eastAsia="等线 Light" w:cs="Times New Roman"/>
      <w:b/>
      <w:bCs/>
      <w:kern w:val="2"/>
      <w:sz w:val="28"/>
      <w:szCs w:val="28"/>
    </w:rPr>
  </w:style>
  <w:style w:type="character" w:customStyle="1" w:styleId="50">
    <w:name w:val="标题 字符"/>
    <w:link w:val="29"/>
    <w:qFormat/>
    <w:uiPriority w:val="0"/>
    <w:rPr>
      <w:rFonts w:ascii="方正小标宋简体" w:hAnsi="等线 Light" w:eastAsia="方正小标宋简体" w:cs="Times New Roman"/>
      <w:bCs/>
      <w:kern w:val="2"/>
      <w:sz w:val="44"/>
      <w:szCs w:val="32"/>
    </w:rPr>
  </w:style>
  <w:style w:type="character" w:customStyle="1" w:styleId="51">
    <w:name w:val="red-s"/>
    <w:qFormat/>
    <w:uiPriority w:val="0"/>
    <w:rPr>
      <w:color w:val="EA2E2E"/>
    </w:rPr>
  </w:style>
  <w:style w:type="character" w:customStyle="1" w:styleId="52">
    <w:name w:val="正文1"/>
    <w:qFormat/>
    <w:uiPriority w:val="0"/>
    <w:rPr>
      <w:rFonts w:ascii="宋体" w:eastAsia="宋体"/>
      <w:color w:val="000000"/>
      <w:sz w:val="22"/>
      <w:szCs w:val="22"/>
    </w:rPr>
  </w:style>
  <w:style w:type="character" w:customStyle="1" w:styleId="53">
    <w:name w:val="_Style 52"/>
    <w:unhideWhenUsed/>
    <w:qFormat/>
    <w:uiPriority w:val="99"/>
    <w:rPr>
      <w:color w:val="605E5C"/>
      <w:shd w:val="clear" w:color="auto" w:fill="E1DFDD"/>
    </w:rPr>
  </w:style>
  <w:style w:type="character" w:customStyle="1" w:styleId="54">
    <w:name w:val="blue-s"/>
    <w:qFormat/>
    <w:uiPriority w:val="0"/>
    <w:rPr>
      <w:color w:val="007BDE"/>
    </w:rPr>
  </w:style>
  <w:style w:type="character" w:customStyle="1" w:styleId="55">
    <w:name w:val="printico"/>
    <w:qFormat/>
    <w:uiPriority w:val="0"/>
    <w:rPr>
      <w:color w:val="ADAEAF"/>
    </w:rPr>
  </w:style>
  <w:style w:type="character" w:customStyle="1" w:styleId="56">
    <w:name w:val="apple-converted-space"/>
    <w:qFormat/>
    <w:uiPriority w:val="0"/>
  </w:style>
  <w:style w:type="character" w:customStyle="1" w:styleId="57">
    <w:name w:val="green-s"/>
    <w:qFormat/>
    <w:uiPriority w:val="0"/>
    <w:rPr>
      <w:color w:val="00BA12"/>
    </w:rPr>
  </w:style>
  <w:style w:type="character" w:customStyle="1" w:styleId="58">
    <w:name w:val="on5"/>
    <w:qFormat/>
    <w:uiPriority w:val="0"/>
  </w:style>
  <w:style w:type="character" w:customStyle="1" w:styleId="59">
    <w:name w:val="bg1"/>
    <w:qFormat/>
    <w:uiPriority w:val="0"/>
    <w:rPr>
      <w:color w:val="FFFFFF"/>
      <w:shd w:val="clear" w:color="auto" w:fill="4975D4"/>
    </w:rPr>
  </w:style>
  <w:style w:type="paragraph" w:customStyle="1" w:styleId="60">
    <w:name w:val="List Paragraph"/>
    <w:basedOn w:val="1"/>
    <w:qFormat/>
    <w:uiPriority w:val="0"/>
    <w:pPr>
      <w:ind w:firstLine="200" w:firstLineChars="200"/>
    </w:pPr>
    <w:rPr>
      <w:rFonts w:eastAsia="宋体"/>
      <w:sz w:val="21"/>
    </w:rPr>
  </w:style>
  <w:style w:type="paragraph" w:customStyle="1" w:styleId="61">
    <w:name w:val="Char1 Char Char Char Char Char Char Char Char Char Char Char Char"/>
    <w:basedOn w:val="1"/>
    <w:qFormat/>
    <w:uiPriority w:val="0"/>
    <w:pPr>
      <w:ind w:firstLine="200" w:firstLineChars="200"/>
    </w:pPr>
    <w:rPr>
      <w:rFonts w:ascii="宋体" w:eastAsia="宋体" w:cs="宋体"/>
      <w:sz w:val="24"/>
      <w:lang w:bidi="ar-SA"/>
    </w:rPr>
  </w:style>
  <w:style w:type="paragraph" w:customStyle="1" w:styleId="62">
    <w:name w:val="_Style 4"/>
    <w:basedOn w:val="1"/>
    <w:qFormat/>
    <w:uiPriority w:val="0"/>
    <w:pPr>
      <w:ind w:firstLine="200" w:firstLineChars="200"/>
    </w:pPr>
    <w:rPr>
      <w:rFonts w:eastAsia="宋体"/>
      <w:sz w:val="21"/>
    </w:rPr>
  </w:style>
  <w:style w:type="paragraph" w:customStyle="1" w:styleId="63">
    <w:name w:val="_Style 62"/>
    <w:qFormat/>
    <w:uiPriority w:val="0"/>
    <w:rPr>
      <w:rFonts w:ascii="Times New Roman" w:hAnsi="Times New Roman" w:eastAsia="仿宋_GB2312" w:cs="Times New Roman"/>
      <w:kern w:val="2"/>
      <w:sz w:val="32"/>
      <w:szCs w:val="24"/>
      <w:lang w:val="en-US" w:eastAsia="zh-CN" w:bidi="ar-SA"/>
    </w:rPr>
  </w:style>
  <w:style w:type="paragraph" w:customStyle="1" w:styleId="64">
    <w:name w:val=" Char"/>
    <w:basedOn w:val="1"/>
    <w:qFormat/>
    <w:uiPriority w:val="0"/>
    <w:rPr>
      <w:rFonts w:eastAsia="宋体"/>
      <w:sz w:val="21"/>
    </w:rPr>
  </w:style>
  <w:style w:type="paragraph" w:customStyle="1" w:styleId="65">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94</Pages>
  <Words>7573</Words>
  <Characters>43172</Characters>
  <Lines>359</Lines>
  <Paragraphs>101</Paragraphs>
  <TotalTime>0</TotalTime>
  <ScaleCrop>false</ScaleCrop>
  <LinksUpToDate>false</LinksUpToDate>
  <CharactersWithSpaces>50644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2020-06-23T11:01:00Z</dcterms:created>
  <dc:creator>谭文武</dc:creator>
  <cp:lastModifiedBy>庄元昊</cp:lastModifiedBy>
  <cp:lastPrinted>2022-01-15T00:27:00Z</cp:lastPrinted>
  <dcterms:modified xsi:type="dcterms:W3CDTF">2023-01-31T09:34:59Z</dcterms:modified>
  <dc:title>深圳市龙岗区危险化学品</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E2715970688D4FAA9E516B651D0471BF</vt:lpwstr>
  </property>
</Properties>
</file>