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rPr>
          <w:rFonts w:ascii="仿宋_GB2312" w:eastAsia="仿宋_GB2312"/>
          <w:sz w:val="44"/>
          <w:szCs w:val="44"/>
        </w:rPr>
      </w:pPr>
    </w:p>
    <w:p>
      <w:pPr>
        <w:ind w:firstLine="880"/>
        <w:rPr>
          <w:rFonts w:ascii="仿宋_GB2312" w:eastAsia="仿宋_GB2312"/>
          <w:sz w:val="44"/>
          <w:szCs w:val="44"/>
        </w:rPr>
      </w:pPr>
    </w:p>
    <w:p>
      <w:pPr>
        <w:ind w:firstLine="880"/>
        <w:rPr>
          <w:rFonts w:ascii="仿宋_GB2312" w:eastAsia="仿宋_GB2312"/>
          <w:sz w:val="44"/>
          <w:szCs w:val="44"/>
        </w:rPr>
      </w:pPr>
    </w:p>
    <w:p>
      <w:pPr>
        <w:ind w:firstLine="880"/>
        <w:rPr>
          <w:rFonts w:ascii="仿宋_GB2312" w:eastAsia="仿宋_GB2312"/>
          <w:sz w:val="44"/>
          <w:szCs w:val="44"/>
        </w:rPr>
      </w:pPr>
    </w:p>
    <w:p>
      <w:pPr>
        <w:ind w:firstLine="880"/>
        <w:jc w:val="center"/>
        <w:rPr>
          <w:rFonts w:ascii="宋体" w:hAnsi="宋体"/>
          <w:sz w:val="44"/>
          <w:szCs w:val="44"/>
        </w:rPr>
      </w:pPr>
      <w:r>
        <w:rPr>
          <w:rFonts w:ascii="宋体" w:hAnsi="宋体"/>
          <w:sz w:val="44"/>
          <w:szCs w:val="44"/>
        </w:rPr>
        <w:t>2020年</w:t>
      </w:r>
      <w:r>
        <w:rPr>
          <w:rFonts w:hint="eastAsia" w:ascii="宋体" w:hAnsi="宋体"/>
          <w:sz w:val="44"/>
          <w:szCs w:val="44"/>
        </w:rPr>
        <w:t>度部门</w:t>
      </w:r>
      <w:r>
        <w:rPr>
          <w:rFonts w:ascii="宋体" w:hAnsi="宋体"/>
          <w:sz w:val="44"/>
          <w:szCs w:val="44"/>
        </w:rPr>
        <w:t>整体绩效自评报告</w:t>
      </w:r>
    </w:p>
    <w:p>
      <w:pPr>
        <w:ind w:firstLine="640"/>
        <w:rPr>
          <w:rFonts w:ascii="仿宋_GB2312" w:eastAsia="仿宋_GB2312"/>
          <w:sz w:val="32"/>
          <w:szCs w:val="32"/>
        </w:rPr>
      </w:pPr>
    </w:p>
    <w:p>
      <w:pPr>
        <w:ind w:firstLine="640"/>
        <w:rPr>
          <w:rFonts w:ascii="仿宋_GB2312" w:eastAsia="仿宋_GB2312"/>
          <w:sz w:val="32"/>
          <w:szCs w:val="32"/>
        </w:rPr>
      </w:pPr>
    </w:p>
    <w:p>
      <w:pPr>
        <w:ind w:firstLine="640"/>
        <w:rPr>
          <w:rFonts w:ascii="仿宋_GB2312" w:eastAsia="仿宋_GB2312"/>
          <w:sz w:val="32"/>
          <w:szCs w:val="32"/>
        </w:rPr>
      </w:pPr>
    </w:p>
    <w:p>
      <w:pPr>
        <w:ind w:firstLine="640"/>
        <w:rPr>
          <w:rFonts w:ascii="仿宋_GB2312" w:eastAsia="仿宋_GB2312"/>
          <w:sz w:val="32"/>
          <w:szCs w:val="32"/>
        </w:rPr>
      </w:pPr>
    </w:p>
    <w:p>
      <w:pPr>
        <w:ind w:firstLine="640"/>
        <w:rPr>
          <w:rFonts w:ascii="仿宋_GB2312" w:eastAsia="仿宋_GB2312"/>
          <w:sz w:val="32"/>
          <w:szCs w:val="32"/>
        </w:rPr>
      </w:pPr>
    </w:p>
    <w:p>
      <w:pPr>
        <w:ind w:firstLine="640"/>
        <w:rPr>
          <w:rFonts w:ascii="仿宋_GB2312" w:eastAsia="仿宋_GB2312"/>
          <w:sz w:val="32"/>
          <w:szCs w:val="32"/>
          <w:highlight w:val="yellow"/>
        </w:rPr>
      </w:pPr>
    </w:p>
    <w:p>
      <w:pPr>
        <w:ind w:firstLine="640"/>
        <w:rPr>
          <w:rFonts w:ascii="仿宋_GB2312" w:eastAsia="仿宋_GB2312"/>
          <w:sz w:val="32"/>
          <w:szCs w:val="32"/>
        </w:rPr>
      </w:pPr>
      <w:r>
        <w:rPr>
          <w:rFonts w:hint="eastAsia" w:ascii="仿宋_GB2312" w:eastAsia="仿宋_GB2312"/>
          <w:sz w:val="32"/>
          <w:szCs w:val="32"/>
        </w:rPr>
        <w:t>部门名称（公章）：大鹏新区公共卫生管理服务中心</w:t>
      </w:r>
    </w:p>
    <w:p>
      <w:pPr>
        <w:ind w:firstLine="640"/>
        <w:rPr>
          <w:rFonts w:ascii="仿宋_GB2312" w:eastAsia="仿宋_GB2312"/>
          <w:sz w:val="32"/>
          <w:szCs w:val="32"/>
        </w:rPr>
      </w:pPr>
      <w:r>
        <w:rPr>
          <w:rFonts w:hint="eastAsia" w:ascii="仿宋_GB2312" w:eastAsia="仿宋_GB2312"/>
          <w:sz w:val="32"/>
          <w:szCs w:val="32"/>
        </w:rPr>
        <w:t>单位负责人：陆华</w:t>
      </w:r>
    </w:p>
    <w:p>
      <w:pPr>
        <w:ind w:firstLine="640"/>
        <w:rPr>
          <w:rFonts w:ascii="仿宋_GB2312" w:eastAsia="仿宋_GB2312"/>
          <w:sz w:val="32"/>
          <w:szCs w:val="32"/>
        </w:rPr>
      </w:pPr>
      <w:r>
        <w:rPr>
          <w:rFonts w:hint="eastAsia" w:ascii="仿宋_GB2312" w:eastAsia="仿宋_GB2312"/>
          <w:sz w:val="32"/>
          <w:szCs w:val="32"/>
        </w:rPr>
        <w:t>填报人：廖仕云</w:t>
      </w:r>
    </w:p>
    <w:p>
      <w:pPr>
        <w:ind w:firstLine="640"/>
        <w:rPr>
          <w:rFonts w:ascii="仿宋_GB2312" w:eastAsia="仿宋_GB2312"/>
          <w:sz w:val="32"/>
          <w:szCs w:val="32"/>
        </w:rPr>
      </w:pPr>
      <w:r>
        <w:rPr>
          <w:rFonts w:hint="eastAsia" w:ascii="仿宋_GB2312" w:eastAsia="仿宋_GB2312"/>
          <w:sz w:val="32"/>
          <w:szCs w:val="32"/>
        </w:rPr>
        <w:t>联系电话：0755</w:t>
      </w:r>
      <w:r>
        <w:rPr>
          <w:rFonts w:hint="eastAsia" w:ascii="仿宋_GB2312" w:eastAsia="仿宋_GB2312"/>
          <w:sz w:val="32"/>
          <w:szCs w:val="32"/>
          <w:lang w:val="en-US" w:eastAsia="zh-CN"/>
        </w:rPr>
        <w:t>-</w:t>
      </w:r>
      <w:r>
        <w:rPr>
          <w:rFonts w:hint="eastAsia" w:ascii="仿宋_GB2312" w:eastAsia="仿宋_GB2312"/>
          <w:sz w:val="32"/>
          <w:szCs w:val="32"/>
        </w:rPr>
        <w:t>84202065</w:t>
      </w:r>
    </w:p>
    <w:p>
      <w:pPr>
        <w:ind w:firstLine="640"/>
        <w:jc w:val="center"/>
        <w:rPr>
          <w:rFonts w:ascii="仿宋_GB2312" w:eastAsia="仿宋_GB2312"/>
          <w:sz w:val="32"/>
          <w:szCs w:val="32"/>
        </w:rPr>
      </w:pPr>
    </w:p>
    <w:p>
      <w:pPr>
        <w:ind w:firstLine="880"/>
        <w:jc w:val="center"/>
        <w:rPr>
          <w:rFonts w:ascii="宋体" w:hAnsi="宋体"/>
          <w:sz w:val="44"/>
          <w:szCs w:val="44"/>
        </w:rPr>
      </w:pPr>
    </w:p>
    <w:p>
      <w:pPr>
        <w:ind w:firstLine="880"/>
        <w:jc w:val="center"/>
        <w:rPr>
          <w:rFonts w:ascii="宋体" w:hAnsi="宋体"/>
          <w:sz w:val="44"/>
          <w:szCs w:val="44"/>
        </w:rPr>
      </w:pPr>
    </w:p>
    <w:p>
      <w:pPr>
        <w:ind w:firstLine="880"/>
        <w:rPr>
          <w:rFonts w:ascii="宋体" w:hAnsi="宋体"/>
          <w:sz w:val="44"/>
          <w:szCs w:val="44"/>
        </w:rPr>
      </w:pPr>
    </w:p>
    <w:p>
      <w:pPr>
        <w:ind w:firstLine="880"/>
        <w:rPr>
          <w:rFonts w:ascii="宋体" w:hAnsi="宋体"/>
          <w:sz w:val="44"/>
          <w:szCs w:val="44"/>
        </w:rPr>
      </w:pPr>
    </w:p>
    <w:p>
      <w:pPr>
        <w:pStyle w:val="3"/>
        <w:spacing w:before="0" w:after="0"/>
        <w:ind w:firstLine="640"/>
        <w:rPr>
          <w:rFonts w:ascii="黑体" w:hAnsi="黑体" w:eastAsia="黑体" w:cs="黑体"/>
          <w:b w:val="0"/>
          <w:bCs w:val="0"/>
          <w:sz w:val="32"/>
        </w:rPr>
      </w:pPr>
      <w:r>
        <w:rPr>
          <w:rFonts w:hint="eastAsia" w:ascii="黑体" w:hAnsi="黑体" w:eastAsia="黑体" w:cs="黑体"/>
          <w:b w:val="0"/>
          <w:bCs w:val="0"/>
          <w:sz w:val="32"/>
        </w:rPr>
        <w:t>一、部门（单位）基本情况</w:t>
      </w:r>
    </w:p>
    <w:p>
      <w:pPr>
        <w:pStyle w:val="4"/>
        <w:spacing w:before="0" w:after="0"/>
        <w:ind w:firstLine="640"/>
        <w:rPr>
          <w:rFonts w:ascii="楷体" w:hAnsi="楷体" w:eastAsia="楷体" w:cs="楷体"/>
          <w:sz w:val="32"/>
        </w:rPr>
      </w:pPr>
      <w:r>
        <w:rPr>
          <w:rFonts w:hint="eastAsia" w:ascii="楷体" w:hAnsi="楷体" w:eastAsia="楷体" w:cs="楷体"/>
          <w:sz w:val="32"/>
        </w:rPr>
        <w:t>（一）部门主要职能</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深圳市大鹏新区</w:t>
      </w:r>
      <w:r>
        <w:rPr>
          <w:rFonts w:hint="eastAsia" w:ascii="仿宋_GB2312" w:eastAsia="仿宋_GB2312"/>
          <w:sz w:val="32"/>
          <w:szCs w:val="32"/>
        </w:rPr>
        <w:t>公共卫生管理服务中心</w:t>
      </w:r>
      <w:r>
        <w:rPr>
          <w:rFonts w:hint="eastAsia" w:ascii="仿宋_GB2312" w:hAnsi="仿宋_GB2312" w:eastAsia="仿宋_GB2312" w:cs="仿宋_GB2312"/>
          <w:sz w:val="32"/>
          <w:szCs w:val="32"/>
        </w:rPr>
        <w:t>2020年度独立编制机构数</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个，独立核算机构数1个。单位核定职员编23名，编制内实有人数22人。设有综合科、</w:t>
      </w:r>
      <w:r>
        <w:rPr>
          <w:rFonts w:hint="eastAsia" w:ascii="仿宋_GB2312" w:hAnsi="仿宋_GB2312" w:eastAsia="仿宋_GB2312" w:cs="仿宋_GB2312"/>
          <w:sz w:val="32"/>
          <w:szCs w:val="32"/>
          <w:lang w:eastAsia="zh-CN"/>
        </w:rPr>
        <w:t>传染病防治</w:t>
      </w:r>
      <w:r>
        <w:rPr>
          <w:rFonts w:hint="eastAsia" w:ascii="仿宋_GB2312" w:hAnsi="仿宋_GB2312" w:eastAsia="仿宋_GB2312" w:cs="仿宋_GB2312"/>
          <w:sz w:val="32"/>
          <w:szCs w:val="32"/>
        </w:rPr>
        <w:t>科、公共卫生科、慢性病防制科、精神卫生科、健康促进科、免疫规划科、艾滋病防制科、职业卫生科、应急管理科、理化检验科、微生物检验科、质量管理科等13个科室。主要职能包括：</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负责辖区疾病预防控制具体工作的管理和落实；组织实施规划免疫、消毒、控制病媒生物的危害；负责辖区突发公共卫生事件的监测调查与信息收集、报告，落实具体控制措施；开展病原微生物检验和污染物的检验；负责辖区内疫苗的使用管理；承担卫生行政部门委托的与卫生监督执法相关的检验检测任务；负责指导辖区内医疗卫生机构、社康中心开展卫生防病工作，负责考核和评价公共服务质量，对从事疾病预防控制相关工作的人员进行培训；负责疫情和公共卫生健康危害因素监测、评价、报告，指导医疗卫生机构、社康中心和有关部门收集、报告疫情；负责辖区重点职业病监测和风险评估工作，配合省、市相关部门开展核电站周围居民辐射水平监测与健康评估；承担辖区的慢性传染性疾病（肺结核病、性病、麻风病）、慢性非传染性疾病（高血压、糖尿病、恶性肿瘤、脑卒中、口腔疾病和意外伤害）以及精神疾病的预防与控制管理、疫情及健康相关因素监测；开展卫生宣传教育与健康促进活动，普及卫生防病知识并进行质量和效果评估，促进社会健康环境的建立和人群健康行为的形成；承办新区党工委、管委会和上级主管部门交办的其他工作。</w:t>
      </w:r>
    </w:p>
    <w:p>
      <w:pPr>
        <w:pStyle w:val="4"/>
        <w:ind w:firstLine="640"/>
        <w:rPr>
          <w:rFonts w:ascii="楷体" w:hAnsi="楷体" w:eastAsia="楷体" w:cs="楷体"/>
          <w:sz w:val="32"/>
        </w:rPr>
      </w:pPr>
      <w:r>
        <w:rPr>
          <w:rFonts w:hint="eastAsia" w:ascii="楷体" w:hAnsi="楷体" w:eastAsia="楷体" w:cs="楷体"/>
          <w:sz w:val="32"/>
        </w:rPr>
        <w:t>（二）年度总体工作和重点工作任务</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在新区管委会、新区教育和卫生健康局的坚强领导下，在市疾病预防控制中心的正确指导下，我中心认真贯彻落实党的十九届五中全会和习近平总书记在深圳经济特区成立40周年大会讲话精神，紧紧围绕深圳建设先行示范区和新区党工委、管委会的工作部署，以打造高质量“健康大鹏”为引领，以提升新区公共卫生服务水平为核心，积极推进和落实各项工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我中心</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年重点工作开展情况具体如下：</w:t>
      </w:r>
    </w:p>
    <w:p>
      <w:pPr>
        <w:pStyle w:val="4"/>
        <w:ind w:firstLine="640"/>
        <w:rPr>
          <w:rFonts w:ascii="楷体" w:hAnsi="楷体" w:eastAsia="楷体" w:cs="楷体"/>
          <w:sz w:val="32"/>
        </w:rPr>
      </w:pPr>
      <w:r>
        <w:rPr>
          <w:rFonts w:ascii="楷体" w:hAnsi="楷体" w:eastAsia="楷体" w:cs="楷体"/>
          <w:sz w:val="32"/>
        </w:rPr>
        <w:t>1</w:t>
      </w:r>
      <w:r>
        <w:rPr>
          <w:rFonts w:hint="eastAsia" w:ascii="楷体" w:hAnsi="楷体" w:eastAsia="楷体" w:cs="楷体"/>
          <w:sz w:val="32"/>
        </w:rPr>
        <w:t>.传染病防控工作。</w:t>
      </w:r>
    </w:p>
    <w:p>
      <w:pPr>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新冠肺炎疫情防控。始终坚持把疫情防控工作作为当前最重要的工作来抓，充分发挥疫情防控主力军作用，开展流行病学调查、疫点消杀、病例标本采集、企业复工复产等，切实做到应检尽检，外防输入，内防反弹，高效处置3起新冠肺炎疫情。</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传染病监测。2020年1月1日至2020年11月30日，全区未报告甲类传染病，报告法定传染病有13种共635例，同比（2333例）下降72.78%。其中报告乙类传染病发病7种247例，同比（284例）下降13.02%；丙类传染病发病6种388例，同比（2049例）下降81.11%。</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病媒生物监测。积极开展病媒监测，2020年成蚊密度为1.78只/盏；诱蚊诱卵指数（MOI）为5.61；布雷图指数（BI）为3.90；鼠密度为0.44%；蟑螂密度为0.73只/张；蝇密度为1.03只/笼。</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消毒监测工作。医疗机构消毒监测35家，消毒监测对象覆盖率100%，监测合格率为99.5%，比去年同期（98.67%）上升0.83%。托幼机构消毒监测15家，监测对象覆盖率100%，监测合格率为97.56%，比去年同期（90.22%）上升7.52%。开展深圳市医院感染控制与消毒质量监测专项，在辖区抽查一家综合医院，对该院肠镜、牙科器械、人员、场所等开展专项监测。</w:t>
      </w:r>
      <w:r>
        <w:rPr>
          <w:rFonts w:hint="eastAsia" w:ascii="仿宋_GB2312" w:hAnsi="仿宋_GB2312" w:eastAsia="仿宋_GB2312" w:cs="仿宋_GB2312"/>
          <w:b/>
          <w:bCs/>
          <w:sz w:val="32"/>
          <w:szCs w:val="32"/>
        </w:rPr>
        <w:t>五是</w:t>
      </w:r>
      <w:r>
        <w:rPr>
          <w:rFonts w:hint="eastAsia" w:ascii="仿宋_GB2312" w:hAnsi="仿宋_GB2312" w:eastAsia="仿宋_GB2312" w:cs="仿宋_GB2312"/>
          <w:sz w:val="32"/>
          <w:szCs w:val="32"/>
        </w:rPr>
        <w:t>死因监测。报告及时率为99.32%（≥90%）；身份证号填写完整率为92.47%（≥90%）；多死因链填写完整率为91.10%（≥60%）；审核率为100%（100%）；报告迟审率为0（0）；死因诊断不明比例为1.56%（&lt;5%）；死因不准确率为1.56%（&lt;5%），无不达标情况。</w:t>
      </w:r>
      <w:r>
        <w:rPr>
          <w:rFonts w:hint="eastAsia" w:ascii="仿宋_GB2312" w:hAnsi="仿宋_GB2312" w:eastAsia="仿宋_GB2312" w:cs="仿宋_GB2312"/>
          <w:b/>
          <w:bCs/>
          <w:sz w:val="32"/>
          <w:szCs w:val="32"/>
        </w:rPr>
        <w:t>六是</w:t>
      </w:r>
      <w:r>
        <w:rPr>
          <w:rFonts w:hint="eastAsia" w:ascii="仿宋_GB2312" w:hAnsi="仿宋_GB2312" w:eastAsia="仿宋_GB2312" w:cs="仿宋_GB2312"/>
          <w:sz w:val="32"/>
          <w:szCs w:val="32"/>
        </w:rPr>
        <w:t>重大活动卫生保障。完成文博会、春运、中高考考点、成人高考、第三届海峡两岸暨港澳无人机航拍创作大赛等重大活动传染病防控卫生保障工作。</w:t>
      </w:r>
      <w:r>
        <w:rPr>
          <w:rFonts w:hint="eastAsia" w:ascii="仿宋_GB2312" w:hAnsi="仿宋_GB2312" w:eastAsia="仿宋_GB2312" w:cs="仿宋_GB2312"/>
          <w:b/>
          <w:bCs/>
          <w:sz w:val="32"/>
          <w:szCs w:val="32"/>
        </w:rPr>
        <w:t>七是</w:t>
      </w:r>
      <w:r>
        <w:rPr>
          <w:rFonts w:hint="eastAsia" w:ascii="仿宋_GB2312" w:hAnsi="仿宋_GB2312" w:eastAsia="仿宋_GB2312" w:cs="仿宋_GB2312"/>
          <w:sz w:val="32"/>
          <w:szCs w:val="32"/>
        </w:rPr>
        <w:t>寄生虫病防控。考核年度我区未出现肝吸虫等重点寄生虫病报告。10月中旬，我中心开展重点寄生虫调查工作，共采集样本656份，发现1例鞭虫阳性，其余阴性。</w:t>
      </w:r>
    </w:p>
    <w:p>
      <w:pPr>
        <w:pStyle w:val="4"/>
        <w:ind w:firstLine="640"/>
        <w:rPr>
          <w:rFonts w:ascii="楷体" w:hAnsi="楷体" w:eastAsia="楷体" w:cs="楷体"/>
          <w:sz w:val="32"/>
        </w:rPr>
      </w:pPr>
      <w:r>
        <w:rPr>
          <w:rFonts w:ascii="楷体" w:hAnsi="楷体" w:eastAsia="楷体" w:cs="楷体"/>
          <w:sz w:val="32"/>
        </w:rPr>
        <w:t>2</w:t>
      </w:r>
      <w:r>
        <w:rPr>
          <w:rFonts w:hint="eastAsia" w:ascii="楷体" w:hAnsi="楷体" w:eastAsia="楷体" w:cs="楷体"/>
          <w:sz w:val="32"/>
        </w:rPr>
        <w:t>.环境卫生工作。</w:t>
      </w:r>
    </w:p>
    <w:p>
      <w:pPr>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开展公共场所卫生监测。积极开展公共场所委托</w:t>
      </w:r>
      <w:r>
        <w:rPr>
          <w:rFonts w:hint="default" w:ascii="仿宋_GB2312" w:hAnsi="仿宋_GB2312" w:eastAsia="仿宋_GB2312" w:cs="仿宋_GB2312"/>
          <w:sz w:val="32"/>
          <w:szCs w:val="32"/>
        </w:rPr>
        <w:t>监测</w:t>
      </w:r>
      <w:r>
        <w:rPr>
          <w:rFonts w:hint="eastAsia" w:ascii="仿宋_GB2312" w:hAnsi="仿宋_GB2312" w:eastAsia="仿宋_GB2312" w:cs="仿宋_GB2312"/>
          <w:sz w:val="32"/>
          <w:szCs w:val="32"/>
        </w:rPr>
        <w:t>工作，重点监督抽检32间，实际监测97间次，完成率303%，其中合格89间次，合格率91.8%。</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开展公共场所集中空调危害因素监测。计划监测2间次，实际监测5间次，完成率250%，其中合格3间次，合格率60.0%。</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做好生活饮用水水质监测。每个季度均对辖区4家水厂的出厂水、末梢水进行抽检，四个季度共采集水样104份，检测项次3538项，合格项次3538项，合格率100%。</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做好新冠肺炎环境监测。疫情防控期间每周开展辖区集中隔离点环境采样、入境人员转运车辆外环境采样核酸检测工作。</w:t>
      </w:r>
    </w:p>
    <w:p>
      <w:pPr>
        <w:pStyle w:val="4"/>
        <w:ind w:firstLine="640"/>
        <w:rPr>
          <w:rFonts w:ascii="楷体" w:hAnsi="楷体" w:eastAsia="楷体" w:cs="楷体"/>
          <w:sz w:val="32"/>
        </w:rPr>
      </w:pPr>
      <w:r>
        <w:rPr>
          <w:rFonts w:ascii="楷体" w:hAnsi="楷体" w:eastAsia="楷体" w:cs="楷体"/>
          <w:sz w:val="32"/>
        </w:rPr>
        <w:t>3</w:t>
      </w:r>
      <w:r>
        <w:rPr>
          <w:rFonts w:hint="eastAsia" w:ascii="楷体" w:hAnsi="楷体" w:eastAsia="楷体" w:cs="楷体"/>
          <w:sz w:val="32"/>
        </w:rPr>
        <w:t>.食品卫生、学校卫生工作。</w:t>
      </w:r>
    </w:p>
    <w:p>
      <w:pPr>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做好食品安全风险监测。2020考核年度内采集送检婴幼儿食品、贝类、水产品、生食水产品、蔬菜、畜肉类、禽肉类、熟肉制品等各类食品共184份，检测项目涵盖微生物、毒理学、农兽药残留，食源性寄生虫等指标。</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开展食源性疾病主动监测。1-11月辖区医疗机构、社区健康服务中心食源性疾病主动监测覆盖率100%，食源性疾病各医院上报病例总数286例（较去年上升21.68%，去年224例），可疑食物史填报完整率100% 。</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开展人群合理膳食指导工作。分别在辖区三个街道举办了3场人群合理膳食指导培训班，培训人数约109人，培训后发放问卷109份，收回问卷109份，问卷总体知晓率达到95.2%。</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开展碘缺乏病防治工作。随机抽取大鹏街道共40名非寄宿学生8-10岁的儿童和20名孕妇开展家用碘盐和尿碘监测工作，共采集学生食用盐和尿液样品各40份，孕妇食用盐和尿液样品各20份，学生尿碘中位数为262.48µg/L；孕妇尿碘中位数为156.16µg/L。</w:t>
      </w:r>
      <w:r>
        <w:rPr>
          <w:rFonts w:hint="eastAsia" w:ascii="仿宋_GB2312" w:hAnsi="仿宋_GB2312" w:eastAsia="仿宋_GB2312" w:cs="仿宋_GB2312"/>
          <w:b/>
          <w:bCs/>
          <w:sz w:val="32"/>
          <w:szCs w:val="32"/>
        </w:rPr>
        <w:t>五是</w:t>
      </w:r>
      <w:r>
        <w:rPr>
          <w:rFonts w:hint="eastAsia" w:ascii="仿宋_GB2312" w:hAnsi="仿宋_GB2312" w:eastAsia="仿宋_GB2312" w:cs="仿宋_GB2312"/>
          <w:sz w:val="32"/>
          <w:szCs w:val="32"/>
        </w:rPr>
        <w:t>开展学校教学环境监测与干预工作。计划监测7所，实际监测14所，完成率200%，达到两年全覆盖。</w:t>
      </w:r>
      <w:r>
        <w:rPr>
          <w:rFonts w:hint="eastAsia" w:ascii="仿宋_GB2312" w:hAnsi="仿宋_GB2312" w:eastAsia="仿宋_GB2312" w:cs="仿宋_GB2312"/>
          <w:b/>
          <w:bCs/>
          <w:sz w:val="32"/>
          <w:szCs w:val="32"/>
        </w:rPr>
        <w:t>六是</w:t>
      </w:r>
      <w:r>
        <w:rPr>
          <w:rFonts w:hint="eastAsia" w:ascii="仿宋_GB2312" w:hAnsi="仿宋_GB2312" w:eastAsia="仿宋_GB2312" w:cs="仿宋_GB2312"/>
          <w:sz w:val="32"/>
          <w:szCs w:val="32"/>
        </w:rPr>
        <w:t>开展学生常见病监测和干预工作。2019-2020学年辖区9所学校（5所学校因为疫情未开展体检）均按要求开展了体检，且体检结果反馈率100%，实现了常见病的早期预警。</w:t>
      </w:r>
      <w:r>
        <w:rPr>
          <w:rFonts w:hint="eastAsia" w:ascii="仿宋_GB2312" w:hAnsi="仿宋_GB2312" w:eastAsia="仿宋_GB2312" w:cs="仿宋_GB2312"/>
          <w:b/>
          <w:bCs/>
          <w:sz w:val="32"/>
          <w:szCs w:val="32"/>
        </w:rPr>
        <w:t>七是</w:t>
      </w:r>
      <w:r>
        <w:rPr>
          <w:rFonts w:hint="eastAsia" w:ascii="仿宋_GB2312" w:hAnsi="仿宋_GB2312" w:eastAsia="仿宋_GB2312" w:cs="仿宋_GB2312"/>
          <w:sz w:val="32"/>
          <w:szCs w:val="32"/>
        </w:rPr>
        <w:t>开展学生伤害监测与干预工作。2019-2020学年辖区两所监测点学校共上报伤害个案22例，其中骨折10例，交通伤害4例，均按要求进行了个案审核，并对骨折和交通伤害病例进行了面对面访谈。</w:t>
      </w:r>
      <w:r>
        <w:rPr>
          <w:rFonts w:hint="eastAsia" w:ascii="仿宋_GB2312" w:hAnsi="仿宋_GB2312" w:eastAsia="仿宋_GB2312" w:cs="仿宋_GB2312"/>
          <w:b/>
          <w:bCs/>
          <w:sz w:val="32"/>
          <w:szCs w:val="32"/>
        </w:rPr>
        <w:t>八是</w:t>
      </w:r>
      <w:r>
        <w:rPr>
          <w:rFonts w:hint="eastAsia" w:ascii="仿宋_GB2312" w:hAnsi="仿宋_GB2312" w:eastAsia="仿宋_GB2312" w:cs="仿宋_GB2312"/>
          <w:sz w:val="32"/>
          <w:szCs w:val="32"/>
        </w:rPr>
        <w:t>开展师生直接饮用水水质监测工作。将中小学和幼儿园的供师生直接饮用水纳入科室年度水质监测工作计划，每学期开展一次监测工作，2019-2020学年共监测34间次，合格32间次，合格率94.1%，采集36份水样，合格水样33份，监测合格率91.67%。</w:t>
      </w:r>
      <w:r>
        <w:rPr>
          <w:rFonts w:hint="eastAsia" w:ascii="仿宋_GB2312" w:hAnsi="仿宋_GB2312" w:eastAsia="仿宋_GB2312" w:cs="仿宋_GB2312"/>
          <w:b/>
          <w:bCs/>
          <w:sz w:val="32"/>
          <w:szCs w:val="32"/>
        </w:rPr>
        <w:t>九是</w:t>
      </w:r>
      <w:r>
        <w:rPr>
          <w:rFonts w:hint="eastAsia" w:ascii="仿宋_GB2312" w:hAnsi="仿宋_GB2312" w:eastAsia="仿宋_GB2312" w:cs="仿宋_GB2312"/>
          <w:sz w:val="32"/>
          <w:szCs w:val="32"/>
        </w:rPr>
        <w:t>开展中小学生近视筛查和脊柱侧弯筛查工作。其中近视筛查16625人，近视9304人，近视率55.96%；脊柱侧弯筛查11018人，姿态异常17人，疑似侧弯631人。</w:t>
      </w:r>
    </w:p>
    <w:p>
      <w:pPr>
        <w:pStyle w:val="4"/>
        <w:ind w:firstLine="640"/>
        <w:rPr>
          <w:rFonts w:ascii="楷体" w:hAnsi="楷体" w:eastAsia="楷体" w:cs="楷体"/>
          <w:sz w:val="32"/>
        </w:rPr>
      </w:pPr>
      <w:r>
        <w:rPr>
          <w:rFonts w:ascii="楷体" w:hAnsi="楷体" w:eastAsia="楷体" w:cs="楷体"/>
          <w:sz w:val="32"/>
        </w:rPr>
        <w:t>4</w:t>
      </w:r>
      <w:r>
        <w:rPr>
          <w:rFonts w:hint="eastAsia" w:ascii="楷体" w:hAnsi="楷体" w:eastAsia="楷体" w:cs="楷体"/>
          <w:sz w:val="32"/>
        </w:rPr>
        <w:t>.应急管理工作。</w:t>
      </w:r>
    </w:p>
    <w:p>
      <w:pPr>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加强制度建设，完善应急预案。制定和完善了中心应急队伍管理制度、信息报送制度、应急物资管理制度、应急队伍演练培训等制度，制定或修订中心新冠肺炎疫情、鼠疫、霍乱、流感大流行、流行性感冒、埃博拉出血热、麻疹、手足口等16项应急预案。</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开展风险评估，全力做好应急保障。每月开展突发事件公共卫生风险评估，考核年度内，共完成11次突发公共卫生事件风险评估、6次新冠肺炎专题风险评估和1次生活饮用水风险评估。</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规范队伍建设，强化培训和演练。成立传染病、突发中毒、核事故碘片发放等3支应急专业队伍，明确职责，规范装备配置，强化培训和演练，先后派出500余人次参加国家、省、市组织的新冠肺炎疫情处置、卫生急救知识、食物中毒处置等培训班的学习，同时中心内部组织了16次新冠肺炎流行病学调查、消杀和感染控制、个人防护等实操集训，2次卫生急救知识培训，2次野外生存训练，2次新冠肺炎疫情处置应急演练，参与3次区、街道组织的新冠肺炎疫情处置应急演练，1次市卫健委组织的突发急性传染病卫生应急队伍拉练比赛，获得总分第八名的成绩。</w:t>
      </w:r>
    </w:p>
    <w:p>
      <w:pPr>
        <w:pStyle w:val="4"/>
        <w:ind w:firstLine="640"/>
        <w:rPr>
          <w:rFonts w:ascii="楷体" w:hAnsi="楷体" w:eastAsia="楷体" w:cs="楷体"/>
          <w:sz w:val="32"/>
        </w:rPr>
      </w:pPr>
      <w:r>
        <w:rPr>
          <w:rFonts w:ascii="楷体" w:hAnsi="楷体" w:eastAsia="楷体" w:cs="楷体"/>
          <w:sz w:val="32"/>
        </w:rPr>
        <w:t>5</w:t>
      </w:r>
      <w:r>
        <w:rPr>
          <w:rFonts w:hint="eastAsia" w:ascii="楷体" w:hAnsi="楷体" w:eastAsia="楷体" w:cs="楷体"/>
          <w:sz w:val="32"/>
        </w:rPr>
        <w:t>.艾滋病防控工作。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截至2020年11月30日，我区在管 HIV感染者/AIDS病人共69例，其中HIV感染者40例，AIDS病人29例；男性56例，女性13例。今年病例报告1-11月共报告8例HIV/AIDS，病例报告首次随访率、及时率100%；非婚异性接触史填报率100%。</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我中心进一步加强重点人群宣传教育，开展数场面对农民工、学生、新入职人员、老年人等人群的艾滋病性病宣传教育活动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此外</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开展行为干预、暗娼高危人群干预达50人，360人次；2020年1月－11月全区HIV检测人次数为7905人次，较上年同期下降13%。</w:t>
      </w:r>
    </w:p>
    <w:p>
      <w:pPr>
        <w:pStyle w:val="4"/>
        <w:ind w:firstLine="640"/>
        <w:rPr>
          <w:rFonts w:ascii="楷体" w:hAnsi="楷体" w:eastAsia="楷体" w:cs="楷体"/>
          <w:sz w:val="32"/>
        </w:rPr>
      </w:pPr>
      <w:r>
        <w:rPr>
          <w:rFonts w:ascii="楷体" w:hAnsi="楷体" w:eastAsia="楷体" w:cs="楷体"/>
          <w:sz w:val="32"/>
        </w:rPr>
        <w:t>6</w:t>
      </w:r>
      <w:r>
        <w:rPr>
          <w:rFonts w:hint="eastAsia" w:ascii="楷体" w:hAnsi="楷体" w:eastAsia="楷体" w:cs="楷体"/>
          <w:sz w:val="32"/>
        </w:rPr>
        <w:t>.免疫规划工作。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按既定工作计划，稳步推进免疫规划管理及服务工作。一是本年度无麻疹确诊病例；二是我区国家免疫规划疫苗保持高接种率，均能达到95%以上，本年度共报告疑似预防接种异常反应6例，其中一般反应5例，异常反应1例，无疫苗质量事故、接种事故、心因性反应等报告，所有疑似预防接种异常反应均按规范处置；三是开展辖区内中小学生及深圳户籍或在深圳参加医疗保险的60岁以上老人免费接种流感疫苗；四是根据《国家基本公共卫生服务规范》（第三版）的要求，举办预防接种项目工作培训班，邀请辖区所有社区健康服务中心的医生共同学习国家基本公共卫生服务预防接种项目的相关内容与工作要求，每季度对辖区所有预防接种门诊进行督导，从辖区内抽取1间学校和1间托幼机构，获取适龄儿童预防接种信息，评估建证建卡率与国家免疫规划疫苗接种率。</w:t>
      </w:r>
    </w:p>
    <w:p>
      <w:pPr>
        <w:pStyle w:val="4"/>
        <w:ind w:firstLine="640"/>
        <w:rPr>
          <w:rFonts w:ascii="楷体" w:hAnsi="楷体" w:eastAsia="楷体" w:cs="楷体"/>
          <w:sz w:val="32"/>
        </w:rPr>
      </w:pPr>
      <w:r>
        <w:rPr>
          <w:rFonts w:ascii="楷体" w:hAnsi="楷体" w:eastAsia="楷体" w:cs="楷体"/>
          <w:sz w:val="32"/>
        </w:rPr>
        <w:t>7</w:t>
      </w:r>
      <w:r>
        <w:rPr>
          <w:rFonts w:hint="eastAsia" w:ascii="楷体" w:hAnsi="楷体" w:eastAsia="楷体" w:cs="楷体"/>
          <w:sz w:val="32"/>
        </w:rPr>
        <w:t>.健康教育工作。</w:t>
      </w:r>
    </w:p>
    <w:p>
      <w:pPr>
        <w:ind w:firstLine="643"/>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通过大鹏新闻、微信公众号等新媒体开辟专题栏目，搭建“互联网+公共卫生知识科普”宣传平台，一年来，发布健康风险预警信息共30篇。</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开展学校托幼机构洗手健康促进活动，活动覆盖全区中、小学及幼儿园，以“正确洗手，‘手’筑健康”等主题的宣传活动，开展讲座20场，在学校走廊、黑板、校园宣传栏张贴宣传海报，在课间及健康课播放《“手”护健康》宣传视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并组织学生上台讲解正确洗手的方法，提高学校师生对洗手的认识，将正确的洗手知识融入到生活中。</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组织业务骨干开展卫生应急知识“三进”活动，在新冠肺炎防控期、食品安全宣传周、卫生应急宣传周、传染病防控月期间，走街串巷，派发、张贴宣传折页及海报约20000余份，开展新冠肺炎疫情防控知识入校园活动、集中隔离酒店防疫工作人员和境外输入专班个人防护知识培训、社区“3+1”工作人员新冠肺炎疫情防控知识培训等。</w:t>
      </w:r>
    </w:p>
    <w:p>
      <w:pPr>
        <w:pStyle w:val="4"/>
        <w:ind w:firstLine="640"/>
        <w:rPr>
          <w:rFonts w:ascii="楷体" w:hAnsi="楷体" w:eastAsia="楷体" w:cs="楷体"/>
          <w:sz w:val="32"/>
        </w:rPr>
      </w:pPr>
      <w:r>
        <w:rPr>
          <w:rFonts w:ascii="楷体" w:hAnsi="楷体" w:eastAsia="楷体" w:cs="楷体"/>
          <w:sz w:val="32"/>
        </w:rPr>
        <w:t>8</w:t>
      </w:r>
      <w:r>
        <w:rPr>
          <w:rFonts w:hint="eastAsia" w:ascii="楷体" w:hAnsi="楷体" w:eastAsia="楷体" w:cs="楷体"/>
          <w:sz w:val="32"/>
        </w:rPr>
        <w:t>.检验检测工作。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是按要求及时完成食品风险样品检测及数据上报工作，二是开展辖区城市网络供水、学校直饮水及涉水产品监测，检测样品155份，5213项次；三是开展辖区流感、手足口、感染性腹泻哨点医院监测工作，检测样品276份，1380项次；四是完成50份H7N9外环境样品、150份流感正常人群血清样品的采集送检工作；五是完成对辖区学生、孕妇盐碘检测工作，检测盐碘77份；六是完成日常委托检测工作，检测公共场所用品用具及集中空调样品2039份、消毒检测样品777份、娱乐场所暴露人群HIV病毒样品检测66份、梅毒监测样品66份、风疹麻疹检测样品2份、工厂企业工作场所职业危险因素样品178份；七是参加国外、国内机构组织的实验室室间比对工作，除个别项目结果未反馈外，结果都满意或合格。</w:t>
      </w:r>
    </w:p>
    <w:p>
      <w:pPr>
        <w:pStyle w:val="4"/>
        <w:ind w:firstLine="640"/>
        <w:rPr>
          <w:rFonts w:ascii="楷体" w:hAnsi="楷体" w:eastAsia="楷体" w:cs="楷体"/>
          <w:sz w:val="32"/>
        </w:rPr>
      </w:pPr>
      <w:r>
        <w:rPr>
          <w:rFonts w:hint="eastAsia" w:ascii="楷体" w:hAnsi="楷体" w:eastAsia="楷体" w:cs="楷体"/>
          <w:sz w:val="32"/>
        </w:rPr>
        <w:t>（三）2020年部门预算编制情况</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1.预算编制合理、规范</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2020年，我中心根据深鹏发财综[2019] 4号《深圳市大鹏新区发展和财政局财务管理制度》，进一步增强预算编制的科学性和可行性，保障部门单位顺利履行行政管理职能，防范财务风险，确保财政资金使用安全，控制铺张浪费。进一步加大对预算编制的宣传力度，按照新区发展和财政局有关预算编制管理规定的要求，开展2020年部门预算编制工作，紧密结合我中心职能，按照收支平衡、保障重点的原则，合理编制部门预算。根据全局发展计划和任务编制年度综合财务收支计划，结合国家有关预算法规、政策及上级主管部门的部署和要求，我中心认真分析当年预算执行情况，充分考虑预算年度的变化因素，提出预算编制的原则和要求，各业务科室编制预算项目具体内容并提供预算编制依据，我中心部门预算编制、分配符合本部门职责、符合新区党工委管委会方针政策和工作要求，部门预算资金能根据年度工作重点，在不同项目、不同用途之间分配合理；专项资金预算编制细化程度合理。</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2020年预算总收入</w:t>
      </w:r>
      <w:r>
        <w:rPr>
          <w:rFonts w:ascii="仿宋_GB2312" w:hAnsi="仿宋_GB2312" w:eastAsia="仿宋_GB2312" w:cs="仿宋_GB2312"/>
          <w:sz w:val="32"/>
          <w:szCs w:val="32"/>
        </w:rPr>
        <w:t>4,078.38</w:t>
      </w:r>
      <w:r>
        <w:rPr>
          <w:rFonts w:hint="eastAsia" w:ascii="仿宋_GB2312" w:hAnsi="仿宋_GB2312" w:eastAsia="仿宋_GB2312" w:cs="仿宋_GB2312"/>
          <w:sz w:val="32"/>
          <w:szCs w:val="32"/>
        </w:rPr>
        <w:t>万元，其中财政预算拨款收入</w:t>
      </w:r>
      <w:r>
        <w:rPr>
          <w:rFonts w:ascii="仿宋_GB2312" w:hAnsi="仿宋_GB2312" w:eastAsia="仿宋_GB2312" w:cs="仿宋_GB2312"/>
          <w:sz w:val="32"/>
          <w:szCs w:val="32"/>
        </w:rPr>
        <w:t>4,078.38</w:t>
      </w:r>
      <w:r>
        <w:rPr>
          <w:rFonts w:hint="eastAsia" w:ascii="仿宋_GB2312" w:hAnsi="仿宋_GB2312" w:eastAsia="仿宋_GB2312" w:cs="仿宋_GB2312"/>
          <w:sz w:val="32"/>
          <w:szCs w:val="32"/>
        </w:rPr>
        <w:t>万元，主要包括一般公共预算拨款</w:t>
      </w:r>
      <w:r>
        <w:rPr>
          <w:rFonts w:ascii="仿宋_GB2312" w:hAnsi="仿宋_GB2312" w:eastAsia="仿宋_GB2312" w:cs="仿宋_GB2312"/>
          <w:sz w:val="32"/>
          <w:szCs w:val="32"/>
        </w:rPr>
        <w:t>4,078.38</w:t>
      </w:r>
      <w:r>
        <w:rPr>
          <w:rFonts w:hint="eastAsia" w:ascii="仿宋_GB2312" w:hAnsi="仿宋_GB2312" w:eastAsia="仿宋_GB2312" w:cs="仿宋_GB2312"/>
          <w:sz w:val="32"/>
          <w:szCs w:val="32"/>
        </w:rPr>
        <w:t>万元（含一般性经费拨款</w:t>
      </w:r>
      <w:r>
        <w:rPr>
          <w:rFonts w:ascii="仿宋_GB2312" w:hAnsi="仿宋_GB2312" w:eastAsia="仿宋_GB2312" w:cs="仿宋_GB2312"/>
          <w:sz w:val="32"/>
          <w:szCs w:val="32"/>
        </w:rPr>
        <w:t>4,053.88</w:t>
      </w:r>
      <w:r>
        <w:rPr>
          <w:rFonts w:hint="eastAsia" w:ascii="仿宋_GB2312" w:hAnsi="仿宋_GB2312" w:eastAsia="仿宋_GB2312" w:cs="仿宋_GB2312"/>
          <w:sz w:val="32"/>
          <w:szCs w:val="32"/>
        </w:rPr>
        <w:t>万元、财政专项资金拨款</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万元和政府投资项目拨款</w:t>
      </w:r>
      <w:r>
        <w:rPr>
          <w:rFonts w:ascii="仿宋_GB2312" w:hAnsi="仿宋_GB2312" w:eastAsia="仿宋_GB2312" w:cs="仿宋_GB2312"/>
          <w:sz w:val="32"/>
          <w:szCs w:val="32"/>
        </w:rPr>
        <w:t>4.50</w:t>
      </w:r>
      <w:r>
        <w:rPr>
          <w:rFonts w:hint="eastAsia" w:ascii="仿宋_GB2312" w:hAnsi="仿宋_GB2312" w:eastAsia="仿宋_GB2312" w:cs="仿宋_GB2312"/>
          <w:sz w:val="32"/>
          <w:szCs w:val="32"/>
        </w:rPr>
        <w:t>万元）。</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2020年预算总支出</w:t>
      </w:r>
      <w:r>
        <w:rPr>
          <w:rFonts w:ascii="仿宋_GB2312" w:hAnsi="仿宋_GB2312" w:eastAsia="仿宋_GB2312" w:cs="仿宋_GB2312"/>
          <w:sz w:val="32"/>
          <w:szCs w:val="32"/>
        </w:rPr>
        <w:t>4,078.38</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1,137.66</w:t>
      </w:r>
      <w:r>
        <w:rPr>
          <w:rFonts w:hint="eastAsia" w:ascii="仿宋_GB2312" w:hAnsi="仿宋_GB2312" w:eastAsia="仿宋_GB2312" w:cs="仿宋_GB2312"/>
          <w:sz w:val="32"/>
          <w:szCs w:val="32"/>
        </w:rPr>
        <w:t>万元（人员经费</w:t>
      </w:r>
      <w:r>
        <w:rPr>
          <w:rFonts w:ascii="仿宋_GB2312" w:hAnsi="仿宋_GB2312" w:eastAsia="仿宋_GB2312" w:cs="仿宋_GB2312"/>
          <w:sz w:val="32"/>
          <w:szCs w:val="32"/>
        </w:rPr>
        <w:t>897.6</w:t>
      </w:r>
      <w:r>
        <w:rPr>
          <w:rFonts w:hint="eastAsia" w:ascii="仿宋_GB2312" w:hAnsi="仿宋_GB2312" w:eastAsia="仿宋_GB2312" w:cs="仿宋_GB2312"/>
          <w:sz w:val="32"/>
          <w:szCs w:val="32"/>
        </w:rPr>
        <w:t>万元、公用经费</w:t>
      </w:r>
      <w:r>
        <w:rPr>
          <w:rFonts w:ascii="仿宋_GB2312" w:hAnsi="仿宋_GB2312" w:eastAsia="仿宋_GB2312" w:cs="仿宋_GB2312"/>
          <w:sz w:val="32"/>
          <w:szCs w:val="32"/>
        </w:rPr>
        <w:t>240.06</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2,940.72</w:t>
      </w:r>
      <w:r>
        <w:rPr>
          <w:rFonts w:hint="eastAsia" w:ascii="仿宋_GB2312" w:hAnsi="仿宋_GB2312" w:eastAsia="仿宋_GB2312" w:cs="仿宋_GB2312"/>
          <w:sz w:val="32"/>
          <w:szCs w:val="32"/>
        </w:rPr>
        <w:t>万元。</w:t>
      </w:r>
    </w:p>
    <w:p>
      <w:pPr>
        <w:snapToGrid w:val="0"/>
        <w:spacing w:line="588" w:lineRule="exact"/>
        <w:ind w:firstLine="482"/>
        <w:jc w:val="center"/>
        <w:rPr>
          <w:rFonts w:ascii="宋体" w:hAnsi="宋体" w:eastAsia="宋体"/>
          <w:b/>
          <w:color w:val="000000"/>
        </w:rPr>
      </w:pPr>
      <w:r>
        <w:rPr>
          <w:rFonts w:hint="eastAsia" w:ascii="宋体" w:hAnsi="宋体" w:eastAsia="宋体"/>
          <w:b/>
          <w:color w:val="000000"/>
        </w:rPr>
        <w:t>表1</w:t>
      </w:r>
      <w:r>
        <w:rPr>
          <w:rFonts w:ascii="宋体" w:hAnsi="宋体" w:eastAsia="宋体"/>
          <w:b/>
          <w:color w:val="000000"/>
        </w:rPr>
        <w:t xml:space="preserve"> 2020</w:t>
      </w:r>
      <w:r>
        <w:rPr>
          <w:rFonts w:hint="eastAsia" w:ascii="宋体" w:hAnsi="宋体" w:eastAsia="宋体"/>
          <w:b/>
          <w:color w:val="000000"/>
        </w:rPr>
        <w:t>年部门主要任务预算安排 单位：万元</w:t>
      </w:r>
    </w:p>
    <w:tbl>
      <w:tblPr>
        <w:tblStyle w:val="14"/>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1344"/>
        <w:gridCol w:w="269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pPr>
              <w:snapToGrid w:val="0"/>
              <w:spacing w:line="588" w:lineRule="exact"/>
              <w:ind w:firstLine="0" w:firstLineChars="0"/>
              <w:jc w:val="center"/>
              <w:rPr>
                <w:rFonts w:ascii="宋体" w:hAnsi="宋体" w:eastAsia="宋体" w:cs="仿宋_GB2312"/>
              </w:rPr>
            </w:pPr>
            <w:r>
              <w:rPr>
                <w:rFonts w:hint="eastAsia" w:ascii="宋体" w:hAnsi="宋体" w:eastAsia="宋体" w:cs="仿宋_GB2312"/>
              </w:rPr>
              <w:t>任务名称</w:t>
            </w:r>
          </w:p>
        </w:tc>
        <w:tc>
          <w:tcPr>
            <w:tcW w:w="1344" w:type="dxa"/>
          </w:tcPr>
          <w:p>
            <w:pPr>
              <w:snapToGrid w:val="0"/>
              <w:spacing w:line="588" w:lineRule="exact"/>
              <w:ind w:firstLine="0" w:firstLineChars="0"/>
              <w:jc w:val="center"/>
              <w:rPr>
                <w:rFonts w:ascii="宋体" w:hAnsi="宋体" w:eastAsia="宋体" w:cs="仿宋_GB2312"/>
              </w:rPr>
            </w:pPr>
            <w:r>
              <w:rPr>
                <w:rFonts w:hint="eastAsia" w:ascii="宋体" w:hAnsi="宋体" w:eastAsia="宋体" w:cs="仿宋_GB2312"/>
              </w:rPr>
              <w:t>预算金额</w:t>
            </w:r>
          </w:p>
        </w:tc>
        <w:tc>
          <w:tcPr>
            <w:tcW w:w="2696" w:type="dxa"/>
          </w:tcPr>
          <w:p>
            <w:pPr>
              <w:snapToGrid w:val="0"/>
              <w:spacing w:line="588" w:lineRule="exact"/>
              <w:ind w:firstLine="0" w:firstLineChars="0"/>
              <w:jc w:val="center"/>
              <w:rPr>
                <w:rFonts w:ascii="宋体" w:hAnsi="宋体" w:eastAsia="宋体" w:cs="仿宋_GB2312"/>
              </w:rPr>
            </w:pPr>
            <w:r>
              <w:rPr>
                <w:rFonts w:hint="eastAsia" w:ascii="宋体" w:hAnsi="宋体" w:eastAsia="宋体" w:cs="仿宋_GB2312"/>
              </w:rPr>
              <w:t>具体项目</w:t>
            </w:r>
          </w:p>
        </w:tc>
        <w:tc>
          <w:tcPr>
            <w:tcW w:w="2127" w:type="dxa"/>
          </w:tcPr>
          <w:p>
            <w:pPr>
              <w:snapToGrid w:val="0"/>
              <w:spacing w:line="588" w:lineRule="exact"/>
              <w:ind w:firstLine="0" w:firstLineChars="0"/>
              <w:jc w:val="center"/>
              <w:rPr>
                <w:rFonts w:ascii="宋体" w:hAnsi="宋体" w:eastAsia="宋体" w:cs="仿宋_GB2312"/>
              </w:rPr>
            </w:pPr>
            <w:r>
              <w:rPr>
                <w:rFonts w:hint="eastAsia" w:ascii="宋体" w:hAnsi="宋体" w:eastAsia="宋体" w:cs="仿宋_GB2312"/>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restart"/>
            <w:vAlign w:val="center"/>
          </w:tcPr>
          <w:p>
            <w:pPr>
              <w:adjustRightInd w:val="0"/>
              <w:snapToGrid w:val="0"/>
              <w:spacing w:line="240" w:lineRule="auto"/>
              <w:ind w:firstLine="0" w:firstLineChars="0"/>
              <w:jc w:val="center"/>
              <w:rPr>
                <w:rFonts w:ascii="宋体" w:hAnsi="宋体" w:eastAsia="宋体" w:cs="仿宋_GB2312"/>
                <w:sz w:val="32"/>
                <w:szCs w:val="32"/>
              </w:rPr>
            </w:pPr>
            <w:r>
              <w:rPr>
                <w:rFonts w:hint="eastAsia" w:ascii="宋体" w:hAnsi="宋体" w:eastAsia="宋体"/>
              </w:rPr>
              <w:t>公共卫生业务</w:t>
            </w:r>
          </w:p>
        </w:tc>
        <w:tc>
          <w:tcPr>
            <w:tcW w:w="1344" w:type="dxa"/>
            <w:vMerge w:val="restart"/>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1800.</w:t>
            </w:r>
            <w:r>
              <w:rPr>
                <w:rFonts w:ascii="宋体" w:hAnsi="宋体" w:eastAsia="宋体"/>
              </w:rPr>
              <w:t>27</w:t>
            </w: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传染病防控经费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健康教育工作经费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163.</w:t>
            </w:r>
            <w:r>
              <w:rPr>
                <w:rFonts w:ascii="宋体" w:hAnsi="宋体" w:eastAsia="宋体"/>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公共卫生防控经费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49.</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其他医疗卫生经费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5.</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应急经费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61.</w:t>
            </w:r>
            <w:r>
              <w:rPr>
                <w:rFonts w:ascii="宋体" w:hAnsi="宋体" w:eastAsia="宋体"/>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慢性病管理经费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102.</w:t>
            </w:r>
            <w:r>
              <w:rPr>
                <w:rFonts w:ascii="宋体" w:hAnsi="宋体" w:eastAsia="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检验检测经费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200.</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疫苗购置经费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700.</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科教信息经费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11.</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精神卫生防治经费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169.</w:t>
            </w:r>
            <w:r>
              <w:rPr>
                <w:rFonts w:ascii="宋体" w:hAnsi="宋体" w:eastAsia="宋体"/>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职业卫生防控经费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17.</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艾滋病防控经费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10.</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计划免疫工作经费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205.</w:t>
            </w:r>
            <w:r>
              <w:rPr>
                <w:rFonts w:ascii="宋体" w:hAnsi="宋体" w:eastAsia="宋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质量管理科经费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32.</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重大传染病防控经费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15.</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Align w:val="center"/>
          </w:tcPr>
          <w:p>
            <w:pPr>
              <w:adjustRightInd w:val="0"/>
              <w:snapToGrid w:val="0"/>
              <w:spacing w:line="240" w:lineRule="auto"/>
              <w:ind w:firstLine="0" w:firstLineChars="0"/>
              <w:jc w:val="center"/>
              <w:rPr>
                <w:rFonts w:ascii="宋体" w:hAnsi="宋体" w:eastAsia="宋体" w:cs="仿宋_GB2312"/>
                <w:sz w:val="32"/>
                <w:szCs w:val="32"/>
              </w:rPr>
            </w:pPr>
            <w:r>
              <w:rPr>
                <w:rFonts w:hint="eastAsia" w:ascii="宋体" w:hAnsi="宋体" w:eastAsia="宋体"/>
              </w:rPr>
              <w:t>政府投资项目</w:t>
            </w:r>
          </w:p>
        </w:tc>
        <w:tc>
          <w:tcPr>
            <w:tcW w:w="1344"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4.</w:t>
            </w:r>
            <w:r>
              <w:rPr>
                <w:rFonts w:ascii="宋体" w:hAnsi="宋体" w:eastAsia="宋体"/>
              </w:rPr>
              <w:t>50</w:t>
            </w: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2018年公共卫生管理服务中心医疗设备购置</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4.</w:t>
            </w:r>
            <w:r>
              <w:rPr>
                <w:rFonts w:ascii="宋体" w:hAnsi="宋体" w:eastAsia="宋体"/>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restart"/>
            <w:vAlign w:val="center"/>
          </w:tcPr>
          <w:p>
            <w:pPr>
              <w:adjustRightInd w:val="0"/>
              <w:snapToGrid w:val="0"/>
              <w:spacing w:line="240" w:lineRule="auto"/>
              <w:ind w:firstLine="0" w:firstLineChars="0"/>
              <w:jc w:val="center"/>
              <w:rPr>
                <w:rFonts w:ascii="宋体" w:hAnsi="宋体" w:eastAsia="宋体" w:cs="仿宋_GB2312"/>
                <w:sz w:val="32"/>
                <w:szCs w:val="32"/>
              </w:rPr>
            </w:pPr>
            <w:r>
              <w:rPr>
                <w:rFonts w:hint="eastAsia" w:ascii="宋体" w:hAnsi="宋体" w:eastAsia="宋体"/>
              </w:rPr>
              <w:t>综合管理事务</w:t>
            </w:r>
          </w:p>
        </w:tc>
        <w:tc>
          <w:tcPr>
            <w:tcW w:w="1344" w:type="dxa"/>
            <w:vMerge w:val="restart"/>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1115.</w:t>
            </w:r>
            <w:r>
              <w:rPr>
                <w:rFonts w:ascii="宋体" w:hAnsi="宋体" w:eastAsia="宋体"/>
              </w:rPr>
              <w:t>95</w:t>
            </w: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一般性支出</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1,555.14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党建工作经费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1.</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绩效考核</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230.</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综合管理工作经费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241.</w:t>
            </w:r>
            <w:r>
              <w:rPr>
                <w:rFonts w:ascii="宋体" w:hAnsi="宋体" w:eastAsia="宋体"/>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编外人员管理经费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555.</w:t>
            </w:r>
            <w:r>
              <w:rPr>
                <w:rFonts w:ascii="宋体" w:hAnsi="宋体" w:eastAsia="宋体"/>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设备购置及修缮经费</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25.</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vMerge w:val="continue"/>
            <w:vAlign w:val="center"/>
          </w:tcPr>
          <w:p>
            <w:pPr>
              <w:adjustRightInd w:val="0"/>
              <w:snapToGrid w:val="0"/>
              <w:spacing w:line="240" w:lineRule="auto"/>
              <w:ind w:firstLine="0" w:firstLineChars="0"/>
              <w:jc w:val="center"/>
              <w:rPr>
                <w:rFonts w:ascii="宋体" w:hAnsi="宋体" w:eastAsia="宋体"/>
              </w:rPr>
            </w:pPr>
          </w:p>
        </w:tc>
        <w:tc>
          <w:tcPr>
            <w:tcW w:w="1344" w:type="dxa"/>
            <w:vMerge w:val="continue"/>
            <w:vAlign w:val="center"/>
          </w:tcPr>
          <w:p>
            <w:pPr>
              <w:adjustRightInd w:val="0"/>
              <w:snapToGrid w:val="0"/>
              <w:spacing w:line="240" w:lineRule="auto"/>
              <w:ind w:firstLine="0" w:firstLineChars="0"/>
              <w:jc w:val="center"/>
              <w:rPr>
                <w:rFonts w:ascii="宋体" w:hAnsi="宋体" w:eastAsia="宋体"/>
              </w:rPr>
            </w:pP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预算准备金</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40.</w:t>
            </w:r>
            <w:r>
              <w:rPr>
                <w:rFonts w:ascii="宋体" w:hAnsi="宋体"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350" w:type="dxa"/>
            <w:vAlign w:val="center"/>
          </w:tcPr>
          <w:p>
            <w:pPr>
              <w:adjustRightInd w:val="0"/>
              <w:snapToGrid w:val="0"/>
              <w:spacing w:line="240" w:lineRule="auto"/>
              <w:ind w:firstLine="0" w:firstLineChars="0"/>
              <w:jc w:val="center"/>
              <w:rPr>
                <w:rFonts w:ascii="宋体" w:hAnsi="宋体" w:eastAsia="宋体" w:cs="仿宋_GB2312"/>
                <w:sz w:val="32"/>
                <w:szCs w:val="32"/>
              </w:rPr>
            </w:pPr>
            <w:r>
              <w:rPr>
                <w:rFonts w:hint="eastAsia" w:ascii="宋体" w:hAnsi="宋体" w:eastAsia="宋体"/>
              </w:rPr>
              <w:t>财政专项资金项目</w:t>
            </w:r>
          </w:p>
        </w:tc>
        <w:tc>
          <w:tcPr>
            <w:tcW w:w="1344"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20</w:t>
            </w:r>
          </w:p>
        </w:tc>
        <w:tc>
          <w:tcPr>
            <w:tcW w:w="2696"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机构运行保障</w:t>
            </w:r>
          </w:p>
        </w:tc>
        <w:tc>
          <w:tcPr>
            <w:tcW w:w="2127" w:type="dxa"/>
            <w:vAlign w:val="center"/>
          </w:tcPr>
          <w:p>
            <w:pPr>
              <w:adjustRightInd w:val="0"/>
              <w:snapToGrid w:val="0"/>
              <w:spacing w:line="240" w:lineRule="auto"/>
              <w:ind w:firstLine="0" w:firstLineChars="0"/>
              <w:jc w:val="center"/>
              <w:rPr>
                <w:rFonts w:ascii="宋体" w:hAnsi="宋体" w:eastAsia="宋体"/>
              </w:rPr>
            </w:pPr>
            <w:r>
              <w:rPr>
                <w:rFonts w:hint="eastAsia" w:ascii="宋体" w:hAnsi="宋体" w:eastAsia="宋体"/>
              </w:rPr>
              <w:t>5,273.09</w:t>
            </w:r>
          </w:p>
        </w:tc>
      </w:tr>
    </w:tbl>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2.绩效目标完整、绩效指标明确</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根据部门年度工作计划，从产出和效果两个方面对</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项任务设定了具体的目标，设定了保障单位人员数量、传染病聚集疫情案件增加数量</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聘请专家培训次数</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疾病预防检测工作完成率等1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个产出数量指标</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人员工资发放准确率、区内传染病患者调研覆盖率</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培训参与度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卫生监测结果及时率等</w:t>
      </w:r>
      <w:r>
        <w:rPr>
          <w:rFonts w:ascii="仿宋_GB2312" w:hAnsi="仿宋_GB2312" w:eastAsia="仿宋_GB2312" w:cs="仿宋_GB2312"/>
          <w:sz w:val="32"/>
          <w:szCs w:val="32"/>
        </w:rPr>
        <w:t>13</w:t>
      </w:r>
      <w:r>
        <w:rPr>
          <w:rFonts w:hint="eastAsia" w:ascii="仿宋_GB2312" w:hAnsi="仿宋_GB2312" w:eastAsia="仿宋_GB2312" w:cs="仿宋_GB2312"/>
          <w:sz w:val="32"/>
          <w:szCs w:val="32"/>
        </w:rPr>
        <w:t>个产出质量指标，并设定了</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个效益指标。部门预算符合财政部门关于预算编制的要求和规范、与部门履职紧密相关，绩效目标完整、依据充分、符合实际，绩效指标清晰、细化、可衡量。</w:t>
      </w:r>
    </w:p>
    <w:p>
      <w:pPr>
        <w:pStyle w:val="4"/>
        <w:ind w:firstLine="560"/>
        <w:rPr>
          <w:rFonts w:ascii="楷体" w:hAnsi="楷体" w:eastAsia="楷体" w:cs="楷体"/>
        </w:rPr>
      </w:pPr>
      <w:r>
        <w:rPr>
          <w:rFonts w:hint="eastAsia" w:ascii="楷体" w:hAnsi="楷体" w:eastAsia="楷体" w:cs="楷体"/>
        </w:rPr>
        <w:t>（四）2020年部门预算执行情况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2020年预算总收入</w:t>
      </w:r>
      <w:r>
        <w:rPr>
          <w:rFonts w:ascii="仿宋_GB2312" w:hAnsi="仿宋_GB2312" w:eastAsia="仿宋_GB2312" w:cs="仿宋_GB2312"/>
          <w:sz w:val="32"/>
          <w:szCs w:val="32"/>
        </w:rPr>
        <w:t>4,078.38</w:t>
      </w:r>
      <w:r>
        <w:rPr>
          <w:rFonts w:hint="eastAsia" w:ascii="仿宋_GB2312" w:hAnsi="仿宋_GB2312" w:eastAsia="仿宋_GB2312" w:cs="仿宋_GB2312"/>
          <w:sz w:val="32"/>
          <w:szCs w:val="32"/>
        </w:rPr>
        <w:t>万元，2020年度决算总收入</w:t>
      </w:r>
      <w:r>
        <w:rPr>
          <w:rFonts w:ascii="仿宋_GB2312" w:hAnsi="仿宋_GB2312" w:eastAsia="仿宋_GB2312" w:cs="仿宋_GB2312"/>
          <w:sz w:val="32"/>
          <w:szCs w:val="32"/>
        </w:rPr>
        <w:t>5,502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77</w:t>
      </w:r>
      <w:r>
        <w:rPr>
          <w:rFonts w:hint="eastAsia" w:ascii="仿宋_GB2312" w:hAnsi="仿宋_GB2312" w:eastAsia="仿宋_GB2312" w:cs="仿宋_GB2312"/>
          <w:sz w:val="32"/>
          <w:szCs w:val="32"/>
        </w:rPr>
        <w:t>万元，2020年度决算总支出</w:t>
      </w:r>
      <w:r>
        <w:rPr>
          <w:rFonts w:ascii="仿宋_GB2312" w:hAnsi="仿宋_GB2312" w:eastAsia="仿宋_GB2312" w:cs="仿宋_GB2312"/>
          <w:sz w:val="32"/>
          <w:szCs w:val="32"/>
        </w:rPr>
        <w:t>5,666.54</w:t>
      </w:r>
      <w:r>
        <w:rPr>
          <w:rFonts w:hint="eastAsia" w:ascii="仿宋_GB2312" w:hAnsi="仿宋_GB2312" w:eastAsia="仿宋_GB2312" w:cs="仿宋_GB2312"/>
          <w:sz w:val="32"/>
          <w:szCs w:val="32"/>
        </w:rPr>
        <w:t>万元，全年预算执行率为</w:t>
      </w:r>
      <w:r>
        <w:rPr>
          <w:rFonts w:ascii="仿宋_GB2312" w:hAnsi="仿宋_GB2312" w:eastAsia="仿宋_GB2312" w:cs="仿宋_GB2312"/>
          <w:sz w:val="32"/>
          <w:szCs w:val="32"/>
        </w:rPr>
        <w:t>102.98</w:t>
      </w:r>
      <w:r>
        <w:rPr>
          <w:rFonts w:hint="eastAsia" w:ascii="仿宋_GB2312" w:hAnsi="仿宋_GB2312" w:eastAsia="仿宋_GB2312" w:cs="仿宋_GB2312"/>
          <w:sz w:val="32"/>
          <w:szCs w:val="32"/>
        </w:rPr>
        <w:t>%，</w:t>
      </w:r>
      <w:r>
        <w:rPr>
          <w:rFonts w:hint="eastAsia" w:ascii="仿宋_GB2312" w:hAnsi="宋体" w:eastAsia="仿宋_GB2312" w:cs="宋体"/>
          <w:kern w:val="0"/>
          <w:sz w:val="32"/>
          <w:szCs w:val="32"/>
        </w:rPr>
        <w:t>本期结余为</w:t>
      </w:r>
      <w:r>
        <w:rPr>
          <w:rFonts w:ascii="仿宋_GB2312" w:hAnsi="宋体" w:eastAsia="仿宋_GB2312" w:cs="宋体"/>
          <w:kern w:val="0"/>
          <w:sz w:val="32"/>
          <w:szCs w:val="32"/>
        </w:rPr>
        <w:t>1,635,335.20</w:t>
      </w:r>
      <w:r>
        <w:rPr>
          <w:rFonts w:hint="eastAsia" w:ascii="仿宋_GB2312" w:hAnsi="宋体" w:eastAsia="仿宋_GB2312" w:cs="宋体"/>
          <w:kern w:val="0"/>
          <w:sz w:val="32"/>
          <w:szCs w:val="32"/>
        </w:rPr>
        <w:t>元，主要是由于权责发生制确认固定资产的折旧费，导致本期盈余为负数</w:t>
      </w:r>
      <w:r>
        <w:rPr>
          <w:rFonts w:ascii="仿宋_GB2312" w:hAnsi="宋体" w:eastAsia="仿宋_GB2312" w:cs="宋体"/>
          <w:kern w:val="0"/>
          <w:sz w:val="32"/>
          <w:szCs w:val="32"/>
        </w:rPr>
        <w:t>，</w:t>
      </w:r>
      <w:r>
        <w:rPr>
          <w:rFonts w:hint="eastAsia" w:ascii="仿宋_GB2312" w:hAnsi="仿宋_GB2312" w:eastAsia="仿宋_GB2312" w:cs="仿宋_GB2312"/>
          <w:sz w:val="32"/>
          <w:szCs w:val="32"/>
        </w:rPr>
        <w:t>总体年度预算资金执行情况良好。</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1.政府采购执行情况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我中心采购管理严格按照财政部门等外部规章制度及单位内部管理要求实施政府采购，提高政府采购效率，促进廉政建设，政府采购政策功能的执行和落实情况良好。2020年政府采购预算金额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元，调减</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元，实际支出0元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实际采购金额未大于采购计划金额。</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2.财务合规性</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结合我中心内部管理要求及本次绩效自评工作业务自查，我中心资金支出规范，资金管理、费用标准、支付严格按照预算批复、业务需求及相关财务制度规定执行，无超范围、超标准支出，不存在截留、挤占、挪用项目资金情况。会计核算制度执行规范，不存在支出依据不合规，虚列项目支出的情况，重大项目支出需经过前期评估论证和我中心重大议事会议集体决策。预算执行规范，按规定履行预算调整报批手续，全年预算执行率为</w:t>
      </w:r>
      <w:r>
        <w:rPr>
          <w:rFonts w:ascii="仿宋_GB2312" w:hAnsi="仿宋_GB2312" w:eastAsia="仿宋_GB2312" w:cs="仿宋_GB2312"/>
          <w:sz w:val="32"/>
          <w:szCs w:val="32"/>
        </w:rPr>
        <w:t>102.98</w:t>
      </w:r>
      <w:r>
        <w:rPr>
          <w:rFonts w:hint="eastAsia" w:ascii="仿宋_GB2312" w:hAnsi="仿宋_GB2312" w:eastAsia="仿宋_GB2312" w:cs="仿宋_GB2312"/>
          <w:sz w:val="32"/>
          <w:szCs w:val="32"/>
        </w:rPr>
        <w:t>%，主要原因</w:t>
      </w:r>
      <w:r>
        <w:rPr>
          <w:rFonts w:hint="eastAsia" w:ascii="仿宋_GB2312" w:hAnsi="宋体" w:eastAsia="仿宋_GB2312" w:cs="宋体"/>
          <w:kern w:val="0"/>
          <w:sz w:val="32"/>
          <w:szCs w:val="32"/>
        </w:rPr>
        <w:t>由于权责发生制确认固定资产的折旧费，导致本期盈余为负数</w:t>
      </w:r>
      <w:r>
        <w:rPr>
          <w:rFonts w:hint="eastAsia" w:ascii="仿宋_GB2312" w:hAnsi="仿宋_GB2312" w:eastAsia="仿宋_GB2312" w:cs="仿宋_GB2312"/>
          <w:sz w:val="32"/>
          <w:szCs w:val="32"/>
        </w:rPr>
        <w:t>。</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3.预决算信息公开</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中共中央办公厅 国务院办公厅印发</w:t>
      </w:r>
      <w:r>
        <w:rPr>
          <w:rFonts w:hint="eastAsia" w:ascii="仿宋_GB2312" w:hAnsi="仿宋_GB2312" w:eastAsia="仿宋_GB2312" w:cs="仿宋_GB2312"/>
          <w:sz w:val="32"/>
          <w:szCs w:val="32"/>
        </w:rPr>
        <w:t>关于进一步推进预算公开工作的意见》（中办发[2016] 13号）.《地方预决算公开操作规程》（财预[2016]143号）及《深圳市预算公开工作管理办法》（深财预[2016] 136号）等相关要求，我中心的预决算信息由上级单位深圳市大鹏新区教育和卫生健康局统一公开。</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4.项目管理</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我中心部门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中心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由审计机构常态化对项目进行专项或抽样性检查，及时监控发现问题马上督促整改，项目支出建立了有效的预算资金的管理机制且执行良好。</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5.资产管理</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我中心2020年度总资产</w:t>
      </w:r>
      <w:r>
        <w:rPr>
          <w:rFonts w:ascii="仿宋_GB2312" w:hAnsi="仿宋_GB2312" w:eastAsia="仿宋_GB2312" w:cs="仿宋_GB2312"/>
          <w:sz w:val="32"/>
          <w:szCs w:val="32"/>
        </w:rPr>
        <w:t>2,603</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79</w:t>
      </w:r>
      <w:r>
        <w:rPr>
          <w:rFonts w:hint="eastAsia" w:ascii="仿宋_GB2312" w:hAnsi="仿宋_GB2312" w:eastAsia="仿宋_GB2312" w:cs="仿宋_GB2312"/>
          <w:sz w:val="32"/>
          <w:szCs w:val="32"/>
        </w:rPr>
        <w:t>万元，其中流动资产</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07</w:t>
      </w:r>
      <w:r>
        <w:rPr>
          <w:rFonts w:hint="eastAsia" w:ascii="仿宋_GB2312" w:hAnsi="仿宋_GB2312" w:eastAsia="仿宋_GB2312" w:cs="仿宋_GB2312"/>
          <w:sz w:val="32"/>
          <w:szCs w:val="32"/>
        </w:rPr>
        <w:t>万元，占比</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非流动资产</w:t>
      </w:r>
      <w:r>
        <w:rPr>
          <w:rFonts w:ascii="仿宋_GB2312" w:hAnsi="仿宋_GB2312" w:eastAsia="仿宋_GB2312" w:cs="仿宋_GB2312"/>
          <w:sz w:val="32"/>
          <w:szCs w:val="32"/>
        </w:rPr>
        <w:t>2,553.72</w:t>
      </w:r>
      <w:r>
        <w:rPr>
          <w:rFonts w:hint="eastAsia" w:ascii="仿宋_GB2312" w:hAnsi="仿宋_GB2312" w:eastAsia="仿宋_GB2312" w:cs="仿宋_GB2312"/>
          <w:sz w:val="32"/>
          <w:szCs w:val="32"/>
        </w:rPr>
        <w:t>万元，占比9</w:t>
      </w:r>
      <w:r>
        <w:rPr>
          <w:rFonts w:ascii="仿宋_GB2312" w:hAnsi="仿宋_GB2312" w:eastAsia="仿宋_GB2312" w:cs="仿宋_GB2312"/>
          <w:sz w:val="32"/>
          <w:szCs w:val="32"/>
        </w:rPr>
        <w:t>8.08</w:t>
      </w:r>
      <w:r>
        <w:rPr>
          <w:rFonts w:hint="eastAsia" w:ascii="仿宋_GB2312" w:hAnsi="仿宋_GB2312" w:eastAsia="仿宋_GB2312" w:cs="仿宋_GB2312"/>
          <w:sz w:val="32"/>
          <w:szCs w:val="32"/>
        </w:rPr>
        <w:t>%。固定资产</w:t>
      </w:r>
      <w:r>
        <w:rPr>
          <w:rFonts w:ascii="仿宋_GB2312" w:hAnsi="仿宋_GB2312" w:eastAsia="仿宋_GB2312" w:cs="仿宋_GB2312"/>
          <w:sz w:val="32"/>
          <w:szCs w:val="32"/>
        </w:rPr>
        <w:t>2,195.39</w:t>
      </w:r>
      <w:r>
        <w:rPr>
          <w:rFonts w:hint="eastAsia" w:ascii="仿宋_GB2312" w:hAnsi="仿宋_GB2312" w:eastAsia="仿宋_GB2312" w:cs="仿宋_GB2312"/>
          <w:sz w:val="32"/>
          <w:szCs w:val="32"/>
        </w:rPr>
        <w:t>万元，在建工程</w:t>
      </w:r>
      <w:r>
        <w:rPr>
          <w:rFonts w:ascii="仿宋_GB2312" w:hAnsi="仿宋_GB2312" w:eastAsia="仿宋_GB2312" w:cs="仿宋_GB2312"/>
          <w:sz w:val="32"/>
          <w:szCs w:val="32"/>
        </w:rPr>
        <w:t>358.33</w:t>
      </w:r>
      <w:r>
        <w:rPr>
          <w:rFonts w:hint="eastAsia" w:ascii="仿宋_GB2312" w:hAnsi="仿宋_GB2312" w:eastAsia="仿宋_GB2312" w:cs="仿宋_GB2312"/>
          <w:sz w:val="32"/>
          <w:szCs w:val="32"/>
        </w:rPr>
        <w:t>万元，无形资产</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元。重要资产年度变化情况如下：货币资金年末</w:t>
      </w:r>
      <w:r>
        <w:rPr>
          <w:rFonts w:ascii="仿宋_GB2312" w:hAnsi="仿宋_GB2312" w:eastAsia="仿宋_GB2312" w:cs="仿宋_GB2312"/>
          <w:sz w:val="32"/>
          <w:szCs w:val="32"/>
        </w:rPr>
        <w:t>49.98</w:t>
      </w:r>
      <w:r>
        <w:rPr>
          <w:rFonts w:hint="eastAsia" w:ascii="仿宋_GB2312" w:hAnsi="仿宋_GB2312" w:eastAsia="仿宋_GB2312" w:cs="仿宋_GB2312"/>
          <w:sz w:val="32"/>
          <w:szCs w:val="32"/>
        </w:rPr>
        <w:t>万元，年初</w:t>
      </w:r>
      <w:r>
        <w:rPr>
          <w:rFonts w:ascii="仿宋_GB2312" w:hAnsi="仿宋_GB2312" w:eastAsia="仿宋_GB2312" w:cs="仿宋_GB2312"/>
          <w:sz w:val="32"/>
          <w:szCs w:val="32"/>
        </w:rPr>
        <w:t>62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37</w:t>
      </w:r>
      <w:r>
        <w:rPr>
          <w:rFonts w:hint="eastAsia" w:ascii="仿宋_GB2312" w:hAnsi="仿宋_GB2312" w:eastAsia="仿宋_GB2312" w:cs="仿宋_GB2312"/>
          <w:sz w:val="32"/>
          <w:szCs w:val="32"/>
        </w:rPr>
        <w:t>万元，下降</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39</w:t>
      </w:r>
      <w:r>
        <w:rPr>
          <w:rFonts w:hint="eastAsia" w:ascii="仿宋_GB2312" w:hAnsi="仿宋_GB2312" w:eastAsia="仿宋_GB2312" w:cs="仿宋_GB2312"/>
          <w:sz w:val="32"/>
          <w:szCs w:val="32"/>
        </w:rPr>
        <w:t>万元；固定资产年末净值</w:t>
      </w:r>
      <w:r>
        <w:rPr>
          <w:rFonts w:ascii="仿宋_GB2312" w:hAnsi="仿宋_GB2312" w:eastAsia="仿宋_GB2312" w:cs="仿宋_GB2312"/>
          <w:sz w:val="32"/>
          <w:szCs w:val="32"/>
        </w:rPr>
        <w:t>2,195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39</w:t>
      </w:r>
      <w:r>
        <w:rPr>
          <w:rFonts w:hint="eastAsia" w:ascii="仿宋_GB2312" w:hAnsi="仿宋_GB2312" w:eastAsia="仿宋_GB2312" w:cs="仿宋_GB2312"/>
          <w:sz w:val="32"/>
          <w:szCs w:val="32"/>
        </w:rPr>
        <w:t>万元，年初净值</w:t>
      </w:r>
      <w:r>
        <w:rPr>
          <w:rFonts w:ascii="仿宋_GB2312" w:hAnsi="仿宋_GB2312" w:eastAsia="仿宋_GB2312" w:cs="仿宋_GB2312"/>
          <w:sz w:val="32"/>
          <w:szCs w:val="32"/>
        </w:rPr>
        <w:t>2,714</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74</w:t>
      </w:r>
      <w:r>
        <w:rPr>
          <w:rFonts w:hint="eastAsia" w:ascii="仿宋_GB2312" w:hAnsi="仿宋_GB2312" w:eastAsia="仿宋_GB2312" w:cs="仿宋_GB2312"/>
          <w:sz w:val="32"/>
          <w:szCs w:val="32"/>
        </w:rPr>
        <w:t>万元，下降</w:t>
      </w:r>
      <w:r>
        <w:rPr>
          <w:rFonts w:ascii="仿宋_GB2312" w:hAnsi="仿宋_GB2312" w:eastAsia="仿宋_GB2312" w:cs="仿宋_GB2312"/>
          <w:sz w:val="32"/>
          <w:szCs w:val="32"/>
        </w:rPr>
        <w:t>519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35</w:t>
      </w:r>
      <w:r>
        <w:rPr>
          <w:rFonts w:hint="eastAsia" w:ascii="仿宋_GB2312" w:hAnsi="仿宋_GB2312" w:eastAsia="仿宋_GB2312" w:cs="仿宋_GB2312"/>
          <w:sz w:val="32"/>
          <w:szCs w:val="32"/>
        </w:rPr>
        <w:t>万元。我中心国有资产的配置标准均符合资产管理规定，各部门设立了资产主要责任人和资产管理专员，对国有资产的台账登记和盘点工作落实到位，固定资产账实。账账相符，使用管理规范、保管完整，实现了资产的动态监管，运行安全。各部门资产配置效率较高，部分部门共享共用闲置资产，切实盘活了存量资产，提高了资产效率。在用固定资产原值为</w:t>
      </w:r>
      <w:r>
        <w:rPr>
          <w:rFonts w:ascii="仿宋_GB2312" w:hAnsi="仿宋_GB2312" w:eastAsia="仿宋_GB2312" w:cs="仿宋_GB2312"/>
          <w:sz w:val="32"/>
          <w:szCs w:val="32"/>
        </w:rPr>
        <w:t>4,857.87</w:t>
      </w:r>
      <w:r>
        <w:rPr>
          <w:rFonts w:hint="eastAsia" w:ascii="仿宋_GB2312" w:hAnsi="仿宋_GB2312" w:eastAsia="仿宋_GB2312" w:cs="仿宋_GB2312"/>
          <w:sz w:val="32"/>
          <w:szCs w:val="32"/>
        </w:rPr>
        <w:t>万元，占固定资产原值</w:t>
      </w:r>
      <w:r>
        <w:rPr>
          <w:rFonts w:ascii="仿宋_GB2312" w:hAnsi="仿宋_GB2312" w:eastAsia="仿宋_GB2312" w:cs="仿宋_GB2312"/>
          <w:sz w:val="32"/>
          <w:szCs w:val="32"/>
        </w:rPr>
        <w:t>4,861.58</w:t>
      </w:r>
      <w:r>
        <w:rPr>
          <w:rFonts w:hint="eastAsia" w:ascii="仿宋_GB2312" w:hAnsi="仿宋_GB2312" w:eastAsia="仿宋_GB2312" w:cs="仿宋_GB2312"/>
          <w:sz w:val="32"/>
          <w:szCs w:val="32"/>
        </w:rPr>
        <w:t>万元的99.9</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%。2020年我中心无对外投资、出租、出借及处置国有资产情形。</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6.人员管理</w:t>
      </w:r>
    </w:p>
    <w:p>
      <w:pPr>
        <w:ind w:firstLine="640"/>
        <w:rPr>
          <w:rFonts w:ascii="仿宋_GB2312" w:hAnsi="仿宋_GB2312" w:eastAsia="仿宋_GB2312" w:cs="仿宋_GB2312"/>
          <w:b/>
          <w:sz w:val="32"/>
          <w:szCs w:val="32"/>
        </w:rPr>
      </w:pPr>
      <w:r>
        <w:rPr>
          <w:rFonts w:hint="eastAsia" w:ascii="仿宋_GB2312" w:hAnsi="仿宋_GB2312" w:eastAsia="仿宋_GB2312" w:cs="仿宋_GB2312"/>
          <w:sz w:val="32"/>
          <w:szCs w:val="32"/>
        </w:rPr>
        <w:t>我中心</w:t>
      </w:r>
      <w:r>
        <w:rPr>
          <w:rFonts w:hint="eastAsia" w:ascii="仿宋_GB2312" w:hAnsi="宋体" w:eastAsia="仿宋_GB2312" w:cs="楷体"/>
          <w:sz w:val="32"/>
          <w:szCs w:val="32"/>
        </w:rPr>
        <w:t>核定职员编23名、雇员编6名、员额内聘用人员33名</w:t>
      </w:r>
      <w:r>
        <w:rPr>
          <w:rFonts w:hint="eastAsia" w:ascii="仿宋_GB2312" w:hAnsi="仿宋_GB2312" w:eastAsia="仿宋_GB2312" w:cs="仿宋_GB2312"/>
          <w:sz w:val="32"/>
          <w:szCs w:val="32"/>
        </w:rPr>
        <w:t>。我中心2020年度独立编制机构数</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个，独立核算机构数1个。单位年末由财政拨款开支的实有在编人数</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人，财政供养人员控制率为</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65</w:t>
      </w:r>
      <w:r>
        <w:rPr>
          <w:rFonts w:hint="eastAsia" w:ascii="仿宋_GB2312" w:hAnsi="仿宋_GB2312" w:eastAsia="仿宋_GB2312" w:cs="仿宋_GB2312"/>
          <w:sz w:val="32"/>
          <w:szCs w:val="32"/>
        </w:rPr>
        <w:t>%。</w:t>
      </w:r>
      <w:r>
        <w:rPr>
          <w:rFonts w:hint="eastAsia" w:ascii="仿宋" w:hAnsi="仿宋" w:eastAsia="仿宋" w:cs="仿宋"/>
          <w:color w:val="000000"/>
          <w:sz w:val="32"/>
          <w:szCs w:val="32"/>
        </w:rPr>
        <w:t>离休0人，退休3人；由养老保险基金发放养老金的离退休人员3人；</w:t>
      </w:r>
      <w:r>
        <w:rPr>
          <w:rFonts w:hint="eastAsia" w:ascii="仿宋_GB2312" w:hAnsi="仿宋_GB2312" w:eastAsia="仿宋_GB2312" w:cs="仿宋_GB2312"/>
          <w:sz w:val="32"/>
          <w:szCs w:val="32"/>
        </w:rPr>
        <w:t>年末其他人员2</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人，占比为</w:t>
      </w:r>
      <w:r>
        <w:rPr>
          <w:rFonts w:ascii="仿宋_GB2312" w:hAnsi="仿宋_GB2312" w:eastAsia="仿宋_GB2312" w:cs="仿宋_GB2312"/>
          <w:sz w:val="32"/>
          <w:szCs w:val="32"/>
        </w:rPr>
        <w:t>46</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67</w:t>
      </w:r>
      <w:r>
        <w:rPr>
          <w:rFonts w:hint="eastAsia" w:ascii="仿宋_GB2312" w:hAnsi="仿宋_GB2312" w:eastAsia="仿宋_GB2312" w:cs="仿宋_GB2312"/>
          <w:sz w:val="32"/>
          <w:szCs w:val="32"/>
        </w:rPr>
        <w:t>%。</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7.制度管理</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我中心在财政资金管理，内部财务管理、预算绩效管理等方面都建立了较为完善的内部控制制度。目前我中心已经印发了《深圳市大鹏新区公共卫生管理服务中心预算管理暂行办法》、深鹏公卫通[201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号《大鹏新区公共卫生管理服务中心财务管理制度（暂行）》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大鹏新区公共卫生管理服务中心物资管理制度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大鹏新区公共卫生管理服务中心自行采购管 理方法（暂行）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大鹏新区公共卫生管理服务中心政府采购工作操作流程（暂行）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大鹏新区公共卫生管理服务中心医用耗材及医疗设备采购程序（暂行）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大鹏新区公共卫生管理服务中心会议议事制度（暂行）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大鹏新区公共卫生管理服务中心重大问题议事规范（暂行）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大鹏新区公共卫生管理服务中心党支部重大问题议事规范（暂行）</w:t>
      </w:r>
      <w:r>
        <w:rPr>
          <w:rFonts w:ascii="仿宋_GB2312" w:hAnsi="仿宋_GB2312" w:eastAsia="仿宋_GB2312" w:cs="仿宋_GB2312"/>
          <w:sz w:val="32"/>
          <w:szCs w:val="32"/>
        </w:rPr>
        <w:t>》《深圳市大鹏新区大鹏公共卫生管理服务中心资产管理办法》《深圳市大鹏新区公共卫生管理服务中心建设项目管理制度》《深圳市大鹏新区公共卫生管理服务中心合同管理办法》</w:t>
      </w:r>
      <w:r>
        <w:rPr>
          <w:rFonts w:hint="eastAsia" w:ascii="仿宋_GB2312" w:hAnsi="仿宋_GB2312" w:eastAsia="仿宋_GB2312" w:cs="仿宋_GB2312"/>
          <w:sz w:val="32"/>
          <w:szCs w:val="32"/>
        </w:rPr>
        <w:t>等一系列管理制度，基本涵盖重大事项管理、预算管理、收支管理、政府采购管理、会议管理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资产管理、工程项目管理、合同管理、等各部门基本业务活动，部门职能履行与预算执行得以保障，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为贯彻落实“全面实施预算绩效管理”精神，有效推进全过程预算绩效管理工作，加强预算绩效监控结果应用，根据《中华人民共和国预算法（2014年修订）》《中共中央国务院关于全面实施预算绩效管理的意见》（中发〔20</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〕34号）、《中共深圳市委办公厅深圳市人民政府办公厅印发〈关于进一步深化预算管理改革强化预算绩效管理意见〉的通知》（深办发〔20</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〕32号）、《深圳市财政局关于贯彻落实全面实施预算绩效管理有关事项的通知》（深财绩〔20</w:t>
      </w:r>
      <w:r>
        <w:rPr>
          <w:rFonts w:ascii="仿宋_GB2312" w:hAnsi="仿宋_GB2312" w:eastAsia="仿宋_GB2312" w:cs="仿宋_GB2312"/>
          <w:sz w:val="32"/>
          <w:szCs w:val="32"/>
        </w:rPr>
        <w:t>19</w:t>
      </w:r>
      <w:r>
        <w:rPr>
          <w:rFonts w:hint="eastAsia" w:ascii="仿宋_GB2312" w:hAnsi="仿宋_GB2312" w:eastAsia="仿宋_GB2312" w:cs="仿宋_GB2312"/>
          <w:sz w:val="32"/>
          <w:szCs w:val="32"/>
        </w:rPr>
        <w:t>〕5号）、《深圳市大鹏新区发展和财政局关于印发〈深圳市大鹏新区关于贯彻落实全面实施预算绩效管理的工作方案〉的通知》（深鹏发财〔20</w:t>
      </w:r>
      <w:r>
        <w:rPr>
          <w:rFonts w:ascii="仿宋_GB2312" w:hAnsi="仿宋_GB2312" w:eastAsia="仿宋_GB2312" w:cs="仿宋_GB2312"/>
          <w:sz w:val="32"/>
          <w:szCs w:val="32"/>
        </w:rPr>
        <w:t>19</w:t>
      </w:r>
      <w:r>
        <w:rPr>
          <w:rFonts w:hint="eastAsia" w:ascii="仿宋_GB2312" w:hAnsi="仿宋_GB2312" w:eastAsia="仿宋_GB2312" w:cs="仿宋_GB2312"/>
          <w:sz w:val="32"/>
          <w:szCs w:val="32"/>
        </w:rPr>
        <w:t>〕445号）《大鹏新区发展和财政局关于做好2020年预算绩效管理工作的通知》 （深鹏发财函〔2020〕204号）文件要求，我中心发布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大鹏新区公共卫生管理服务中心预算绩效管理暂行办法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认真组织开展2020年预算绩效监控工作。</w:t>
      </w:r>
    </w:p>
    <w:p>
      <w:pPr>
        <w:pStyle w:val="3"/>
        <w:spacing w:before="0" w:after="0"/>
        <w:ind w:firstLine="640"/>
        <w:rPr>
          <w:rFonts w:ascii="仿宋_GB2312" w:hAnsi="仿宋_GB2312" w:eastAsia="仿宋_GB2312" w:cs="仿宋_GB2312"/>
          <w:b w:val="0"/>
          <w:bCs w:val="0"/>
          <w:sz w:val="32"/>
        </w:rPr>
      </w:pPr>
      <w:r>
        <w:rPr>
          <w:rFonts w:hint="eastAsia" w:ascii="仿宋_GB2312" w:hAnsi="仿宋_GB2312" w:eastAsia="仿宋_GB2312" w:cs="仿宋_GB2312"/>
          <w:b w:val="0"/>
          <w:bCs w:val="0"/>
          <w:sz w:val="32"/>
        </w:rPr>
        <w:t>二、部门（单位）主要履职绩效分析</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我中心按照“部门职责一工作任务－预算项目”三个层级规范部门预算绩效管理结构，结合本部门主要职责和2020年重点工作任务，对预算使用绩效进行分析。</w:t>
      </w:r>
    </w:p>
    <w:p>
      <w:pPr>
        <w:pStyle w:val="4"/>
        <w:spacing w:before="0" w:after="0"/>
        <w:ind w:firstLine="643"/>
        <w:rPr>
          <w:rFonts w:ascii="仿宋_GB2312" w:hAnsi="仿宋_GB2312" w:eastAsia="仿宋_GB2312" w:cs="仿宋_GB2312"/>
          <w:sz w:val="32"/>
        </w:rPr>
      </w:pPr>
      <w:r>
        <w:rPr>
          <w:rFonts w:hint="eastAsia" w:ascii="仿宋_GB2312" w:hAnsi="仿宋_GB2312" w:eastAsia="仿宋_GB2312" w:cs="仿宋_GB2312"/>
          <w:sz w:val="32"/>
        </w:rPr>
        <w:t>（一）主要履职目标</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2020年部门主要履职工作目标为：</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目标1：合理的一般管理事务经费管理目标的设置，能进一步推动公共卫生服务资金支出管理的改革，强化财政支出责任和效率，完善专项资金管理制度，更好的保障我单位基本日常运行、人员基本开支、后勤保障等；</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目标2：全面落实传染病防控工作，开展传染病防控工作，更加高效的处置传染病疫情，让传染病聚集疫情均得到及时有效地控制，保障了全区居民的生活安全，减少甚至不再出现重症或死亡病例；有效地促进规范报告法定传染病信息的登记，通过全力开展禽流感、登革热等重点传染病防控，确保了不会出现人感染禽流感和登革热疫情；</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目标3：开展微生物名医和病媒生物名医共计8次培训，提高了单位专业人员对微生物和病媒生物的专业知识的进一步了解，促进单位专业人员对学习微生物及病媒生物等病菌学习的热情，更好的保障了全区传染病防控工作的有序进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组织开展传染病宣传活动，确保培训效率、覆盖率，提高了全区居民及传染病患者对传染病知识的了解，进一步加强了传染病的预防工作，更好的保障了全区的疾病卫生防御工作；</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目标4：支付2018年公共卫生管理服务中心医疗设备购置尾款，于本年度完成。</w:t>
      </w:r>
    </w:p>
    <w:p>
      <w:pPr>
        <w:pStyle w:val="4"/>
        <w:spacing w:before="0" w:after="0"/>
        <w:ind w:firstLine="643"/>
        <w:rPr>
          <w:rFonts w:ascii="仿宋_GB2312" w:hAnsi="仿宋_GB2312" w:eastAsia="仿宋_GB2312" w:cs="仿宋_GB2312"/>
          <w:sz w:val="32"/>
        </w:rPr>
      </w:pPr>
      <w:r>
        <w:rPr>
          <w:rFonts w:hint="eastAsia" w:ascii="仿宋_GB2312" w:hAnsi="仿宋_GB2312" w:eastAsia="仿宋_GB2312" w:cs="仿宋_GB2312"/>
          <w:sz w:val="32"/>
        </w:rPr>
        <w:t>（二）主要履职情况</w:t>
      </w:r>
    </w:p>
    <w:p>
      <w:pPr>
        <w:spacing w:line="560" w:lineRule="exact"/>
        <w:ind w:firstLine="640"/>
        <w:rPr>
          <w:rFonts w:ascii="仿宋_GB2312" w:hAnsi="仿宋_GB2312" w:eastAsia="仿宋_GB2312" w:cs="仿宋_GB2312"/>
          <w:kern w:val="0"/>
          <w:sz w:val="32"/>
          <w:szCs w:val="32"/>
        </w:rPr>
      </w:pPr>
      <w:r>
        <w:rPr>
          <w:rFonts w:ascii="楷体" w:hAnsi="楷体" w:eastAsia="楷体" w:cs="楷体"/>
          <w:kern w:val="0"/>
          <w:sz w:val="32"/>
          <w:szCs w:val="32"/>
        </w:rPr>
        <w:t>1</w:t>
      </w:r>
      <w:r>
        <w:rPr>
          <w:rFonts w:hint="eastAsia" w:ascii="楷体" w:hAnsi="楷体" w:eastAsia="楷体" w:cs="楷体"/>
          <w:kern w:val="0"/>
          <w:sz w:val="32"/>
          <w:szCs w:val="32"/>
        </w:rPr>
        <w:t>.勇于担当，主动作为，为新区疫情防控工作取得阶段性胜利作出贡献。</w:t>
      </w:r>
      <w:r>
        <w:rPr>
          <w:rFonts w:hint="eastAsia" w:ascii="仿宋_GB2312" w:hAnsi="仿宋_GB2312" w:eastAsia="仿宋_GB2312" w:cs="仿宋_GB2312"/>
          <w:kern w:val="0"/>
          <w:sz w:val="32"/>
          <w:szCs w:val="32"/>
        </w:rPr>
        <w:t>我单位全体干部职工坚决贯彻落</w:t>
      </w:r>
      <w:r>
        <w:rPr>
          <w:rFonts w:hint="eastAsia" w:ascii="仿宋_GB2312" w:hAnsi="仿宋_GB2312" w:eastAsia="仿宋_GB2312" w:cs="仿宋_GB2312"/>
          <w:color w:val="auto"/>
          <w:kern w:val="0"/>
          <w:sz w:val="32"/>
          <w:szCs w:val="32"/>
          <w:u w:val="none"/>
        </w:rPr>
        <w:t>实习</w:t>
      </w:r>
      <w:r>
        <w:rPr>
          <w:rFonts w:hint="eastAsia" w:ascii="仿宋_GB2312" w:hAnsi="仿宋_GB2312" w:eastAsia="仿宋_GB2312" w:cs="仿宋_GB2312"/>
          <w:kern w:val="0"/>
          <w:sz w:val="32"/>
          <w:szCs w:val="32"/>
        </w:rPr>
        <w:t>近平总书记重要指示精神，严格落实疫情防控各项措施，经过一年多的日夜奋战，新区新冠肺炎疫情防控工作得到各级领导高度肯定和人民群众广泛赞誉，在全市抗击新冠肺炎疫情表彰大会上，我单位被评为“抗疫先进集体”和“先进基层党组织”，刘坚基同志被评为深圳市“抗疫先进个人”和“优秀共产党员”，陆华同志被评为市“2020年度三八红旗手”。</w:t>
      </w:r>
    </w:p>
    <w:p>
      <w:pPr>
        <w:spacing w:line="560" w:lineRule="exact"/>
        <w:ind w:firstLine="640"/>
        <w:rPr>
          <w:rFonts w:ascii="仿宋_GB2312" w:hAnsi="仿宋_GB2312" w:eastAsia="仿宋_GB2312" w:cs="仿宋_GB2312"/>
          <w:kern w:val="0"/>
          <w:sz w:val="32"/>
          <w:szCs w:val="32"/>
        </w:rPr>
      </w:pPr>
      <w:r>
        <w:rPr>
          <w:rFonts w:ascii="楷体" w:hAnsi="楷体" w:eastAsia="楷体" w:cs="楷体"/>
          <w:kern w:val="0"/>
          <w:sz w:val="32"/>
          <w:szCs w:val="32"/>
        </w:rPr>
        <w:t>2</w:t>
      </w:r>
      <w:r>
        <w:rPr>
          <w:rFonts w:hint="eastAsia" w:ascii="楷体" w:hAnsi="楷体" w:eastAsia="楷体" w:cs="楷体"/>
          <w:kern w:val="0"/>
          <w:sz w:val="32"/>
          <w:szCs w:val="32"/>
        </w:rPr>
        <w:t>.敢于创新，攻坚克难，推动新区公共卫生服务工作高质量发展。</w:t>
      </w:r>
      <w:r>
        <w:rPr>
          <w:rFonts w:hint="eastAsia" w:ascii="仿宋_GB2312" w:hAnsi="仿宋_GB2312" w:eastAsia="仿宋_GB2312" w:cs="仿宋_GB2312"/>
          <w:kern w:val="0"/>
          <w:sz w:val="32"/>
          <w:szCs w:val="32"/>
        </w:rPr>
        <w:t>2020年我单位分别获得深圳市第三届家庭健康技能竞赛二等奖、第六届深圳市民健康素养大赛总决赛二等奖和深圳市突发中毒事件卫生应急演练三等奖，社区居民健康素养水平达39.13%，比2019年上升了9个百分点。</w:t>
      </w:r>
    </w:p>
    <w:p>
      <w:pPr>
        <w:ind w:firstLine="640"/>
        <w:rPr>
          <w:rFonts w:ascii="仿宋_GB2312" w:hAnsi="仿宋_GB2312" w:eastAsia="仿宋_GB2312" w:cs="仿宋_GB2312"/>
          <w:sz w:val="32"/>
          <w:szCs w:val="32"/>
        </w:rPr>
      </w:pPr>
      <w:r>
        <w:rPr>
          <w:rFonts w:ascii="楷体" w:hAnsi="楷体" w:eastAsia="楷体" w:cs="楷体"/>
          <w:kern w:val="0"/>
          <w:sz w:val="32"/>
          <w:szCs w:val="32"/>
        </w:rPr>
        <w:t>3</w:t>
      </w:r>
      <w:r>
        <w:rPr>
          <w:rFonts w:hint="eastAsia" w:ascii="楷体" w:hAnsi="楷体" w:eastAsia="楷体" w:cs="楷体"/>
          <w:kern w:val="0"/>
          <w:sz w:val="32"/>
          <w:szCs w:val="32"/>
        </w:rPr>
        <w:t>.强化演练，规范装备，突发公共卫生应急处置能力显著提升。</w:t>
      </w:r>
      <w:r>
        <w:rPr>
          <w:rFonts w:hint="eastAsia" w:ascii="仿宋_GB2312" w:hAnsi="仿宋_GB2312" w:eastAsia="仿宋_GB2312" w:cs="仿宋_GB2312"/>
          <w:kern w:val="0"/>
          <w:sz w:val="32"/>
          <w:szCs w:val="32"/>
        </w:rPr>
        <w:t>组建成立了传染病、突发中毒、核事故碘片发放等3支应急专业队伍，规范装备配置，强化培训和演练，打造成为一支召之即来，来之能战，战之能胜的应急队伍。</w:t>
      </w:r>
    </w:p>
    <w:p>
      <w:pPr>
        <w:pStyle w:val="4"/>
        <w:spacing w:before="0" w:after="0"/>
        <w:ind w:firstLine="643"/>
        <w:rPr>
          <w:rFonts w:ascii="仿宋_GB2312" w:hAnsi="仿宋_GB2312" w:eastAsia="仿宋_GB2312" w:cs="仿宋_GB2312"/>
          <w:sz w:val="32"/>
        </w:rPr>
      </w:pPr>
      <w:r>
        <w:rPr>
          <w:rFonts w:hint="eastAsia" w:ascii="仿宋_GB2312" w:hAnsi="仿宋_GB2312" w:eastAsia="仿宋_GB2312" w:cs="仿宋_GB2312"/>
          <w:sz w:val="32"/>
        </w:rPr>
        <w:t>（三）部门履职绩效情况</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1.经济性</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(1)“三公”经费控制率</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我中心2020年度“三公”经费预算1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万元，实际支出</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万元，预算执行率为</w:t>
      </w:r>
      <w:r>
        <w:rPr>
          <w:rFonts w:ascii="仿宋_GB2312" w:hAnsi="仿宋_GB2312" w:eastAsia="仿宋_GB2312" w:cs="仿宋_GB2312"/>
          <w:sz w:val="32"/>
          <w:szCs w:val="32"/>
        </w:rPr>
        <w:t>91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77</w:t>
      </w:r>
      <w:r>
        <w:rPr>
          <w:rFonts w:hint="eastAsia" w:ascii="仿宋_GB2312" w:hAnsi="仿宋_GB2312" w:eastAsia="仿宋_GB2312" w:cs="仿宋_GB2312"/>
          <w:sz w:val="32"/>
          <w:szCs w:val="32"/>
        </w:rPr>
        <w:t>%，其中因公出国（境）经费年初预算0.00万元，实际支出0.00万元；公务用车购置及运行维护费年初预算1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万元，实际支出</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万元；公务接待费年初预算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万元，实际支出0.00万元。与上年决算对比，“三公”经费减少</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35</w:t>
      </w:r>
      <w:r>
        <w:rPr>
          <w:rFonts w:hint="eastAsia" w:ascii="仿宋_GB2312" w:hAnsi="仿宋_GB2312" w:eastAsia="仿宋_GB2312" w:cs="仿宋_GB2312"/>
          <w:sz w:val="32"/>
          <w:szCs w:val="32"/>
        </w:rPr>
        <w:t>万元，同比下降</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41</w:t>
      </w:r>
      <w:r>
        <w:rPr>
          <w:rFonts w:hint="eastAsia" w:ascii="仿宋_GB2312" w:hAnsi="仿宋_GB2312" w:eastAsia="仿宋_GB2312" w:cs="仿宋_GB2312"/>
          <w:sz w:val="32"/>
          <w:szCs w:val="32"/>
        </w:rPr>
        <w:t>%。</w:t>
      </w:r>
    </w:p>
    <w:p>
      <w:pPr>
        <w:ind w:firstLine="643"/>
        <w:rPr>
          <w:rFonts w:ascii="仿宋_GB2312" w:hAnsi="仿宋_GB2312" w:eastAsia="仿宋_GB2312" w:cs="仿宋_GB2312"/>
          <w:sz w:val="32"/>
          <w:szCs w:val="32"/>
        </w:rPr>
      </w:pPr>
      <w:r>
        <w:rPr>
          <w:rFonts w:hint="eastAsia" w:ascii="仿宋_GB2312" w:hAnsi="仿宋_GB2312" w:eastAsia="仿宋_GB2312" w:cs="仿宋_GB2312"/>
          <w:b/>
          <w:sz w:val="32"/>
          <w:szCs w:val="32"/>
        </w:rPr>
        <w:t xml:space="preserve"> (2）日常公用经费控制率</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我中心2019年日常公用经费预算安排</w:t>
      </w:r>
      <w:r>
        <w:rPr>
          <w:rFonts w:ascii="仿宋_GB2312" w:hAnsi="仿宋_GB2312" w:eastAsia="仿宋_GB2312" w:cs="仿宋_GB2312"/>
          <w:sz w:val="32"/>
          <w:szCs w:val="32"/>
        </w:rPr>
        <w:t>240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06</w:t>
      </w:r>
      <w:r>
        <w:rPr>
          <w:rFonts w:hint="eastAsia" w:ascii="仿宋_GB2312" w:hAnsi="仿宋_GB2312" w:eastAsia="仿宋_GB2312" w:cs="仿宋_GB2312"/>
          <w:sz w:val="32"/>
          <w:szCs w:val="32"/>
        </w:rPr>
        <w:t>万元，实际支出</w:t>
      </w:r>
      <w:r>
        <w:rPr>
          <w:rFonts w:ascii="仿宋_GB2312" w:hAnsi="仿宋_GB2312" w:eastAsia="仿宋_GB2312" w:cs="仿宋_GB2312"/>
          <w:sz w:val="32"/>
          <w:szCs w:val="32"/>
        </w:rPr>
        <w:t>237</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90</w:t>
      </w:r>
      <w:r>
        <w:rPr>
          <w:rFonts w:hint="eastAsia" w:ascii="仿宋_GB2312" w:hAnsi="仿宋_GB2312" w:eastAsia="仿宋_GB2312" w:cs="仿宋_GB2312"/>
          <w:sz w:val="32"/>
          <w:szCs w:val="32"/>
        </w:rPr>
        <w:t>万元，占年初预算的</w:t>
      </w:r>
      <w:r>
        <w:rPr>
          <w:rFonts w:ascii="仿宋_GB2312" w:hAnsi="仿宋_GB2312" w:eastAsia="仿宋_GB2312" w:cs="仿宋_GB2312"/>
          <w:sz w:val="32"/>
          <w:szCs w:val="32"/>
        </w:rPr>
        <w:t>99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2.效率性</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我中心2020 年重点工作任务均已按期保质保量完成。重点工作有效落实。具体完成情况如下：</w:t>
      </w:r>
    </w:p>
    <w:tbl>
      <w:tblPr>
        <w:tblStyle w:val="13"/>
        <w:tblW w:w="8523" w:type="dxa"/>
        <w:tblInd w:w="0" w:type="dxa"/>
        <w:tblLayout w:type="fixed"/>
        <w:tblCellMar>
          <w:top w:w="0" w:type="dxa"/>
          <w:left w:w="108" w:type="dxa"/>
          <w:bottom w:w="0" w:type="dxa"/>
          <w:right w:w="108" w:type="dxa"/>
        </w:tblCellMar>
      </w:tblPr>
      <w:tblGrid>
        <w:gridCol w:w="965"/>
        <w:gridCol w:w="4527"/>
        <w:gridCol w:w="3031"/>
      </w:tblGrid>
      <w:tr>
        <w:tblPrEx>
          <w:tblCellMar>
            <w:top w:w="0" w:type="dxa"/>
            <w:left w:w="108" w:type="dxa"/>
            <w:bottom w:w="0" w:type="dxa"/>
            <w:right w:w="108" w:type="dxa"/>
          </w:tblCellMar>
        </w:tblPrEx>
        <w:trPr>
          <w:trHeight w:val="20" w:hRule="atLeast"/>
        </w:trPr>
        <w:tc>
          <w:tcPr>
            <w:tcW w:w="965" w:type="dxa"/>
            <w:tcBorders>
              <w:top w:val="single" w:color="auto" w:sz="4" w:space="0"/>
              <w:left w:val="single" w:color="auto" w:sz="4" w:space="0"/>
              <w:bottom w:val="single" w:color="000000" w:sz="4" w:space="0"/>
              <w:right w:val="nil"/>
            </w:tcBorders>
            <w:shd w:val="clear" w:color="auto" w:fill="auto"/>
            <w:noWrap/>
            <w:vAlign w:val="center"/>
          </w:tcPr>
          <w:p>
            <w:pPr>
              <w:widowControl/>
              <w:spacing w:line="240" w:lineRule="auto"/>
              <w:ind w:firstLine="0" w:firstLineChars="0"/>
              <w:jc w:val="center"/>
              <w:rPr>
                <w:rFonts w:ascii="宋体" w:hAnsi="宋体" w:cs="宋体"/>
                <w:b/>
                <w:bCs/>
                <w:color w:val="000000"/>
                <w:kern w:val="0"/>
                <w:sz w:val="18"/>
                <w:szCs w:val="18"/>
              </w:rPr>
            </w:pPr>
            <w:r>
              <w:rPr>
                <w:rFonts w:hint="eastAsia" w:ascii="宋体" w:hAnsi="宋体" w:cs="宋体"/>
                <w:b/>
                <w:bCs/>
                <w:color w:val="000000"/>
                <w:kern w:val="0"/>
                <w:sz w:val="18"/>
                <w:szCs w:val="18"/>
              </w:rPr>
              <w:t>任务名称</w:t>
            </w:r>
          </w:p>
        </w:tc>
        <w:tc>
          <w:tcPr>
            <w:tcW w:w="452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ind w:firstLine="0" w:firstLineChars="0"/>
              <w:jc w:val="center"/>
              <w:rPr>
                <w:rFonts w:ascii="宋体" w:hAnsi="宋体" w:cs="宋体"/>
                <w:b/>
                <w:bCs/>
                <w:color w:val="000000"/>
                <w:kern w:val="0"/>
                <w:sz w:val="18"/>
                <w:szCs w:val="18"/>
              </w:rPr>
            </w:pPr>
            <w:r>
              <w:rPr>
                <w:rFonts w:hint="eastAsia" w:ascii="宋体" w:hAnsi="宋体" w:cs="宋体"/>
                <w:b/>
                <w:bCs/>
                <w:color w:val="000000"/>
                <w:kern w:val="0"/>
                <w:sz w:val="18"/>
                <w:szCs w:val="18"/>
              </w:rPr>
              <w:t>工作内容及目标</w:t>
            </w:r>
          </w:p>
        </w:tc>
        <w:tc>
          <w:tcPr>
            <w:tcW w:w="3031"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宋体" w:hAnsi="宋体" w:cs="宋体"/>
                <w:b/>
                <w:bCs/>
                <w:color w:val="000000"/>
                <w:kern w:val="0"/>
                <w:sz w:val="18"/>
                <w:szCs w:val="18"/>
              </w:rPr>
            </w:pPr>
            <w:r>
              <w:rPr>
                <w:rFonts w:hint="eastAsia" w:ascii="宋体" w:hAnsi="宋体" w:cs="宋体"/>
                <w:b/>
                <w:bCs/>
                <w:color w:val="000000"/>
                <w:kern w:val="0"/>
                <w:sz w:val="18"/>
                <w:szCs w:val="18"/>
              </w:rPr>
              <w:t>完成情况</w:t>
            </w:r>
          </w:p>
        </w:tc>
      </w:tr>
      <w:tr>
        <w:tblPrEx>
          <w:tblCellMar>
            <w:top w:w="0" w:type="dxa"/>
            <w:left w:w="108" w:type="dxa"/>
            <w:bottom w:w="0" w:type="dxa"/>
            <w:right w:w="108" w:type="dxa"/>
          </w:tblCellMar>
        </w:tblPrEx>
        <w:trPr>
          <w:trHeight w:val="20" w:hRule="atLeast"/>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综合管理业务</w:t>
            </w:r>
          </w:p>
        </w:tc>
        <w:tc>
          <w:tcPr>
            <w:tcW w:w="4527"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cs="宋体"/>
                <w:color w:val="000000"/>
                <w:kern w:val="0"/>
                <w:sz w:val="18"/>
                <w:szCs w:val="18"/>
              </w:rPr>
            </w:pPr>
            <w:r>
              <w:rPr>
                <w:rFonts w:hint="eastAsia" w:ascii="宋体" w:hAnsi="宋体" w:cs="宋体"/>
                <w:color w:val="000000"/>
                <w:kern w:val="0"/>
                <w:sz w:val="18"/>
                <w:szCs w:val="18"/>
              </w:rPr>
              <w:t>根据深圳市大鹏新区机构编制委员会深编鹏2016年【56】文关于调整我单位机构编制人员的回复，我单位最高行政管理岗位等级为职员6级，内设机构5个，综合管理部、疾病预防控制部、公共卫生与健康促进部、检验检测与质量管理部、慢性病与精神卫生管理部，根据以上部门设置，给予我单位人员事业编制人员23人，普通雇员6人，聘用人员33人，结合单位基本情况和业务要求，设立年度绩效目标支出1137.65万元，主要用于人员经费及后勤保障支出。合理的一般管理事务经费管理目标的设置，能进一步推动公共卫生服务资金支出管理的改革，强化财政支出责任和效率，完善专项资金管理制度，</w:t>
            </w:r>
            <w:r>
              <w:rPr>
                <w:rFonts w:hint="eastAsia" w:ascii="宋体" w:hAnsi="宋体" w:cs="宋体"/>
                <w:color w:val="000000"/>
                <w:kern w:val="0"/>
                <w:sz w:val="18"/>
                <w:szCs w:val="18"/>
                <w:lang w:val="en-US" w:eastAsia="zh-Hans"/>
              </w:rPr>
              <w:t>更好地</w:t>
            </w:r>
            <w:r>
              <w:rPr>
                <w:rFonts w:hint="eastAsia" w:ascii="宋体" w:hAnsi="宋体" w:cs="宋体"/>
                <w:color w:val="000000"/>
                <w:kern w:val="0"/>
                <w:sz w:val="18"/>
                <w:szCs w:val="18"/>
              </w:rPr>
              <w:t>保障我单位基本日常运行、人员基本开支、后勤保障等。</w:t>
            </w:r>
          </w:p>
        </w:tc>
        <w:tc>
          <w:tcPr>
            <w:tcW w:w="3031"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宋体" w:hAnsi="宋体" w:cs="宋体"/>
                <w:b/>
                <w:color w:val="000000"/>
                <w:kern w:val="0"/>
                <w:sz w:val="18"/>
                <w:szCs w:val="18"/>
              </w:rPr>
            </w:pPr>
            <w:r>
              <w:rPr>
                <w:rFonts w:hint="eastAsia" w:ascii="宋体" w:hAnsi="宋体" w:cs="宋体"/>
                <w:b/>
                <w:color w:val="000000"/>
                <w:kern w:val="0"/>
                <w:sz w:val="18"/>
                <w:szCs w:val="18"/>
              </w:rPr>
              <w:t>已完成</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每月25日前发放员工工资，每月对卫生清扫</w:t>
            </w:r>
            <w:r>
              <w:rPr>
                <w:rFonts w:hint="eastAsia" w:ascii="宋体" w:hAnsi="宋体" w:cs="宋体"/>
                <w:color w:val="000000"/>
                <w:kern w:val="0"/>
                <w:sz w:val="18"/>
                <w:szCs w:val="18"/>
                <w:lang w:val="en-US" w:eastAsia="zh-Hans"/>
              </w:rPr>
              <w:t>及</w:t>
            </w:r>
            <w:r>
              <w:rPr>
                <w:rFonts w:hint="eastAsia" w:ascii="宋体" w:hAnsi="宋体" w:cs="宋体"/>
                <w:color w:val="000000"/>
                <w:kern w:val="0"/>
                <w:sz w:val="18"/>
                <w:szCs w:val="18"/>
              </w:rPr>
              <w:t>保安巡逻工作进行总体考核，各周对卫生清扫</w:t>
            </w:r>
            <w:r>
              <w:rPr>
                <w:rFonts w:hint="eastAsia" w:ascii="宋体" w:hAnsi="宋体" w:cs="宋体"/>
                <w:color w:val="000000"/>
                <w:kern w:val="0"/>
                <w:sz w:val="18"/>
                <w:szCs w:val="18"/>
                <w:lang w:val="en-US" w:eastAsia="zh-Hans"/>
              </w:rPr>
              <w:t>及</w:t>
            </w:r>
            <w:r>
              <w:rPr>
                <w:rFonts w:hint="eastAsia" w:ascii="宋体" w:hAnsi="宋体" w:cs="宋体"/>
                <w:color w:val="000000"/>
                <w:kern w:val="0"/>
                <w:sz w:val="18"/>
                <w:szCs w:val="18"/>
              </w:rPr>
              <w:t>保安巡逻进行1-2次抽查，各月20日前支付单位房租及水电。</w:t>
            </w:r>
          </w:p>
        </w:tc>
      </w:tr>
      <w:tr>
        <w:tblPrEx>
          <w:tblCellMar>
            <w:top w:w="0" w:type="dxa"/>
            <w:left w:w="108" w:type="dxa"/>
            <w:bottom w:w="0" w:type="dxa"/>
            <w:right w:w="108" w:type="dxa"/>
          </w:tblCellMar>
        </w:tblPrEx>
        <w:trPr>
          <w:trHeight w:val="20" w:hRule="atLeast"/>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公共卫生业务</w:t>
            </w:r>
          </w:p>
        </w:tc>
        <w:tc>
          <w:tcPr>
            <w:tcW w:w="4527"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cs="宋体"/>
                <w:color w:val="000000"/>
                <w:kern w:val="0"/>
                <w:sz w:val="18"/>
                <w:szCs w:val="18"/>
              </w:rPr>
            </w:pPr>
            <w:r>
              <w:rPr>
                <w:rFonts w:hint="eastAsia" w:ascii="宋体" w:hAnsi="宋体" w:cs="宋体"/>
                <w:color w:val="000000"/>
                <w:kern w:val="0"/>
                <w:sz w:val="18"/>
                <w:szCs w:val="18"/>
              </w:rPr>
              <w:t>目标全面落实传染病防控工作，开展传染病防控工作，更加高效的处置传染病疫情，让传染病聚集疫情均得到及时有效地控制，保障了全区居民的生活安全，减少甚至不再出现重症或死亡病例；有效地促进规范报告法定传染病信息的登记，通过全力开展禽流感、登革热等重点传染病防控，确保了不会出现人感染禽流感和登革热疫情。</w:t>
            </w:r>
          </w:p>
        </w:tc>
        <w:tc>
          <w:tcPr>
            <w:tcW w:w="3031" w:type="dxa"/>
            <w:tcBorders>
              <w:top w:val="nil"/>
              <w:left w:val="nil"/>
              <w:bottom w:val="single" w:color="auto" w:sz="4" w:space="0"/>
              <w:right w:val="single" w:color="auto" w:sz="4" w:space="0"/>
            </w:tcBorders>
            <w:vAlign w:val="center"/>
          </w:tcPr>
          <w:p>
            <w:pPr>
              <w:widowControl/>
              <w:spacing w:line="240" w:lineRule="auto"/>
              <w:ind w:firstLine="0" w:firstLineChars="0"/>
              <w:jc w:val="center"/>
              <w:rPr>
                <w:rFonts w:ascii="宋体" w:hAnsi="宋体" w:cs="宋体"/>
                <w:b/>
                <w:color w:val="000000"/>
                <w:kern w:val="0"/>
                <w:sz w:val="18"/>
                <w:szCs w:val="18"/>
              </w:rPr>
            </w:pPr>
            <w:r>
              <w:rPr>
                <w:rFonts w:hint="eastAsia" w:ascii="宋体" w:hAnsi="宋体" w:cs="宋体"/>
                <w:b/>
                <w:color w:val="000000"/>
                <w:kern w:val="0"/>
                <w:sz w:val="18"/>
                <w:szCs w:val="18"/>
              </w:rPr>
              <w:t>已完成</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一、高效处置传染病疫情，每个季度针对新区发生传染病聚集疫情进行登记，保证辖区不会因为传染病出现重症或死亡病例，</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 xml:space="preserve">  二、登记法定传染病信息，法定传染病有21种共1413例，每季度对以上人员进行跟踪登记不少于6种354例；</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 xml:space="preserve">  三、开展禽流感、登革热等重点传染病防控，各季度对于可能受污染区域开展全方位卫生防疫消杀工作，对全区各种易暴发疫情场所进行检查，各季度不少于20处；</w:t>
            </w:r>
          </w:p>
        </w:tc>
      </w:tr>
      <w:tr>
        <w:tblPrEx>
          <w:tblCellMar>
            <w:top w:w="0" w:type="dxa"/>
            <w:left w:w="108" w:type="dxa"/>
            <w:bottom w:w="0" w:type="dxa"/>
            <w:right w:w="108" w:type="dxa"/>
          </w:tblCellMar>
        </w:tblPrEx>
        <w:trPr>
          <w:trHeight w:val="20" w:hRule="atLeast"/>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rPr>
                <w:rFonts w:ascii="宋体" w:hAnsi="宋体" w:cs="宋体"/>
                <w:color w:val="000000"/>
                <w:kern w:val="0"/>
                <w:sz w:val="18"/>
                <w:szCs w:val="18"/>
              </w:rPr>
            </w:pPr>
            <w:r>
              <w:rPr>
                <w:rFonts w:hint="eastAsia" w:ascii="宋体" w:hAnsi="宋体" w:cs="宋体"/>
                <w:color w:val="000000"/>
                <w:kern w:val="0"/>
                <w:sz w:val="18"/>
                <w:szCs w:val="18"/>
              </w:rPr>
              <w:t>财政专项资金项目</w:t>
            </w:r>
          </w:p>
        </w:tc>
        <w:tc>
          <w:tcPr>
            <w:tcW w:w="4527"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ascii="宋体" w:hAnsi="宋体" w:cs="宋体"/>
                <w:color w:val="000000"/>
                <w:kern w:val="0"/>
                <w:sz w:val="18"/>
                <w:szCs w:val="18"/>
              </w:rPr>
            </w:pPr>
            <w:r>
              <w:rPr>
                <w:rFonts w:hint="eastAsia" w:ascii="宋体" w:hAnsi="宋体" w:cs="宋体"/>
                <w:color w:val="000000"/>
                <w:kern w:val="0"/>
                <w:sz w:val="18"/>
                <w:szCs w:val="18"/>
              </w:rPr>
              <w:t>目标1开展微生物名医和病媒生物名医共计8次培训，提高了单位专业人员对微生物和病媒生物的专业知识的进一步了解，促进单位专业人员对学习微生物及病媒生物等病菌学习的热情，更好的保障了全区传染病防控工作的有序进行。</w:t>
            </w:r>
          </w:p>
          <w:p>
            <w:pPr>
              <w:widowControl/>
              <w:spacing w:line="240" w:lineRule="auto"/>
              <w:ind w:firstLine="0" w:firstLineChars="0"/>
              <w:jc w:val="left"/>
              <w:rPr>
                <w:rFonts w:ascii="宋体" w:hAnsi="宋体" w:cs="宋体"/>
                <w:color w:val="000000"/>
                <w:kern w:val="0"/>
                <w:sz w:val="18"/>
                <w:szCs w:val="18"/>
              </w:rPr>
            </w:pPr>
            <w:r>
              <w:rPr>
                <w:rFonts w:hint="eastAsia" w:ascii="宋体" w:hAnsi="宋体" w:cs="宋体"/>
                <w:color w:val="000000"/>
                <w:kern w:val="0"/>
                <w:sz w:val="18"/>
                <w:szCs w:val="18"/>
              </w:rPr>
              <w:t>目标2 组织开展传染病宣传活动，确保培训效率、覆盖率，提高了全区居民及传染病患者对传染病知识的了解，进一步加强了传染病的预防工作，更好的保障了全区的疾病卫生防御工作。</w:t>
            </w:r>
          </w:p>
        </w:tc>
        <w:tc>
          <w:tcPr>
            <w:tcW w:w="3031" w:type="dxa"/>
            <w:tcBorders>
              <w:top w:val="nil"/>
              <w:left w:val="nil"/>
              <w:bottom w:val="single" w:color="auto" w:sz="4" w:space="0"/>
              <w:right w:val="single" w:color="auto" w:sz="4" w:space="0"/>
            </w:tcBorders>
          </w:tcPr>
          <w:p>
            <w:pPr>
              <w:widowControl/>
              <w:spacing w:line="240" w:lineRule="auto"/>
              <w:ind w:firstLine="0" w:firstLineChars="0"/>
              <w:jc w:val="center"/>
              <w:rPr>
                <w:rFonts w:ascii="宋体" w:hAnsi="宋体" w:cs="宋体"/>
                <w:b/>
                <w:color w:val="000000"/>
                <w:kern w:val="0"/>
                <w:sz w:val="18"/>
                <w:szCs w:val="18"/>
              </w:rPr>
            </w:pPr>
            <w:r>
              <w:rPr>
                <w:rFonts w:hint="eastAsia" w:ascii="宋体" w:hAnsi="宋体" w:cs="宋体"/>
                <w:b/>
                <w:color w:val="000000"/>
                <w:kern w:val="0"/>
                <w:sz w:val="18"/>
                <w:szCs w:val="18"/>
              </w:rPr>
              <w:t>已完成</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已开展</w:t>
            </w:r>
            <w:r>
              <w:rPr>
                <w:rFonts w:ascii="宋体" w:hAnsi="宋体" w:cs="宋体"/>
                <w:color w:val="000000"/>
                <w:kern w:val="0"/>
                <w:sz w:val="18"/>
                <w:szCs w:val="18"/>
              </w:rPr>
              <w:t>8</w:t>
            </w:r>
            <w:r>
              <w:rPr>
                <w:rFonts w:hint="eastAsia" w:ascii="宋体" w:hAnsi="宋体" w:cs="宋体"/>
                <w:color w:val="000000"/>
                <w:kern w:val="0"/>
                <w:sz w:val="18"/>
                <w:szCs w:val="18"/>
              </w:rPr>
              <w:t>次培训</w:t>
            </w:r>
          </w:p>
        </w:tc>
      </w:tr>
      <w:tr>
        <w:tblPrEx>
          <w:tblCellMar>
            <w:top w:w="0" w:type="dxa"/>
            <w:left w:w="108" w:type="dxa"/>
            <w:bottom w:w="0" w:type="dxa"/>
            <w:right w:w="108" w:type="dxa"/>
          </w:tblCellMar>
        </w:tblPrEx>
        <w:trPr>
          <w:trHeight w:val="20" w:hRule="atLeast"/>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政府投资项目</w:t>
            </w:r>
          </w:p>
        </w:tc>
        <w:tc>
          <w:tcPr>
            <w:tcW w:w="4527"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医疗设备购置尾款，本年度完成。</w:t>
            </w:r>
          </w:p>
        </w:tc>
        <w:tc>
          <w:tcPr>
            <w:tcW w:w="3031" w:type="dxa"/>
            <w:tcBorders>
              <w:top w:val="nil"/>
              <w:left w:val="nil"/>
              <w:bottom w:val="single" w:color="auto" w:sz="4" w:space="0"/>
              <w:right w:val="single" w:color="auto" w:sz="4" w:space="0"/>
            </w:tcBorders>
          </w:tcPr>
          <w:p>
            <w:pPr>
              <w:widowControl/>
              <w:spacing w:line="240" w:lineRule="auto"/>
              <w:ind w:firstLine="0" w:firstLineChars="0"/>
              <w:jc w:val="center"/>
              <w:rPr>
                <w:rFonts w:ascii="宋体" w:hAnsi="宋体" w:cs="宋体"/>
                <w:b/>
                <w:color w:val="000000"/>
                <w:kern w:val="0"/>
                <w:sz w:val="18"/>
                <w:szCs w:val="18"/>
              </w:rPr>
            </w:pPr>
            <w:r>
              <w:rPr>
                <w:rFonts w:hint="eastAsia" w:ascii="宋体" w:hAnsi="宋体" w:cs="宋体"/>
                <w:b/>
                <w:color w:val="000000"/>
                <w:kern w:val="0"/>
                <w:sz w:val="18"/>
                <w:szCs w:val="18"/>
              </w:rPr>
              <w:t>已完成</w:t>
            </w:r>
          </w:p>
          <w:p>
            <w:pPr>
              <w:widowControl/>
              <w:spacing w:line="240" w:lineRule="auto"/>
              <w:ind w:firstLine="0" w:firstLineChars="0"/>
              <w:jc w:val="center"/>
              <w:rPr>
                <w:rFonts w:ascii="宋体" w:hAnsi="宋体" w:cs="宋体"/>
                <w:color w:val="000000"/>
                <w:kern w:val="0"/>
                <w:sz w:val="18"/>
                <w:szCs w:val="18"/>
              </w:rPr>
            </w:pPr>
            <w:r>
              <w:rPr>
                <w:rFonts w:hint="eastAsia" w:ascii="宋体" w:hAnsi="宋体" w:cs="宋体"/>
                <w:color w:val="000000"/>
                <w:kern w:val="0"/>
                <w:sz w:val="18"/>
                <w:szCs w:val="18"/>
              </w:rPr>
              <w:t>完成尾款支付</w:t>
            </w:r>
          </w:p>
        </w:tc>
      </w:tr>
    </w:tbl>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2020年部门安排项目均按计划如期完成。</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3.效果性</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2020年通过项目建设，取得了以下成效：</w:t>
      </w:r>
    </w:p>
    <w:p>
      <w:pPr>
        <w:spacing w:line="560" w:lineRule="exact"/>
        <w:ind w:firstLine="640"/>
        <w:rPr>
          <w:rFonts w:ascii="仿宋_GB2312" w:hAnsi="仿宋_GB2312" w:eastAsia="仿宋_GB2312" w:cs="仿宋_GB2312"/>
          <w:sz w:val="32"/>
          <w:szCs w:val="32"/>
        </w:rPr>
      </w:pPr>
      <w:r>
        <w:rPr>
          <w:rFonts w:hint="eastAsia" w:ascii="楷体" w:hAnsi="楷体" w:eastAsia="楷体" w:cs="仿宋"/>
          <w:sz w:val="32"/>
          <w:szCs w:val="32"/>
        </w:rPr>
        <w:t>一是竭尽所能落实新冠肺炎疫情防控工作，无本地感染病例。</w:t>
      </w:r>
      <w:r>
        <w:rPr>
          <w:rFonts w:hint="eastAsia" w:ascii="仿宋_GB2312" w:hAnsi="楷体" w:eastAsia="仿宋_GB2312" w:cs="仿宋"/>
          <w:sz w:val="32"/>
          <w:szCs w:val="32"/>
        </w:rPr>
        <w:t>2020年新冠肺炎疫情以来，</w:t>
      </w:r>
      <w:r>
        <w:rPr>
          <w:rFonts w:hint="eastAsia" w:ascii="仿宋_GB2312" w:hAnsi="仿宋_GB2312" w:eastAsia="仿宋_GB2312" w:cs="仿宋_GB2312"/>
          <w:sz w:val="32"/>
          <w:szCs w:val="32"/>
        </w:rPr>
        <w:t>共计</w:t>
      </w:r>
      <w:r>
        <w:rPr>
          <w:rFonts w:hint="eastAsia" w:ascii="仿宋_GB2312" w:hAnsi="仿宋" w:eastAsia="仿宋_GB2312" w:cs="仿宋_GB2312"/>
          <w:sz w:val="32"/>
          <w:szCs w:val="32"/>
        </w:rPr>
        <w:t>流调排查密切接触者153人，落实集中隔离密切接触者150人，发现新冠肺炎确诊病例（无症状感染者）11例，其中2例武汉输入确诊病例，9例境外输入病例，11例病例均送往深圳市第三人民医院隔离治疗，有效切断传播途径，落实闭环管理。</w:t>
      </w:r>
      <w:r>
        <w:rPr>
          <w:rFonts w:hint="eastAsia" w:ascii="仿宋_GB2312" w:hAnsi="仿宋_GB2312" w:eastAsia="仿宋_GB2312" w:cs="仿宋_GB2312"/>
          <w:sz w:val="32"/>
          <w:szCs w:val="32"/>
        </w:rPr>
        <w:t>开展对新冠肺炎密切接触者、社区居家隔离人员、国外入境人员、港澳台返深人员、隔离点社区防疫工作人员、医疗机构及公卫机构等12类重点场所从业人员及环境开展核酸检测采样工作，核酸采样检测共计58781人份，切实做到应检尽检，外防输入，内防反弹。全覆盖落实疫点和隔离点消毒及消毒效果评价，规范处置疫点和隔离点消毒227次，面积约94188平方米，每周一次对新区4个隔离点污水开展采样和检测，共检测污水64份，有效切断传播途径。深入辖区25个社区、机关单位、企业、建筑工地、高速收费站等场所广泛开展健康教育宣传、防控培训指导和演示。累计开展现场指导266次、车载流动宣传113次、发布稿件21篇、接受电话咨询792次、共发放资料15万余份。组织对公立医疗机构院感防控、集中隔离点等场所进行技术指导，累计开展院感督导15次，企业复工复产督导105次，学校幼儿园复学督导53次，敬老院防疫督导2次，集中隔离点防疫督导</w:t>
      </w:r>
      <w:r>
        <w:rPr>
          <w:rFonts w:hint="eastAsia" w:ascii="仿宋_GB2312" w:hAnsi="仿宋_GB2312" w:eastAsia="仿宋_GB2312" w:cs="仿宋_GB2312"/>
          <w:color w:val="000000"/>
          <w:sz w:val="32"/>
          <w:szCs w:val="32"/>
        </w:rPr>
        <w:t>4</w:t>
      </w:r>
      <w:r>
        <w:rPr>
          <w:rFonts w:hint="eastAsia" w:ascii="仿宋_GB2312" w:hAnsi="仿宋_GB2312" w:eastAsia="仿宋_GB2312" w:cs="仿宋_GB2312"/>
          <w:sz w:val="32"/>
          <w:szCs w:val="32"/>
        </w:rPr>
        <w:t>次。指导对隔离人员进行心理健康干预、跟踪共计89910人次，建立身心档案760份，助力综合防控，维护社会稳定。对隔离点防疫工作人员、社区三人工作小组、隔离转运专班工作人员、广大群众等重点人群开展新冠肺炎防控知识和个人防护知识培训，并对各隔离点开展防控指导工作，累计开展宣教活动334场次、8.7万余人。</w:t>
      </w:r>
    </w:p>
    <w:p>
      <w:pPr>
        <w:tabs>
          <w:tab w:val="left" w:pos="1928"/>
        </w:tabs>
        <w:spacing w:line="560" w:lineRule="exact"/>
        <w:ind w:firstLine="640"/>
        <w:rPr>
          <w:rFonts w:ascii="仿宋_GB2312" w:hAnsi="楷体" w:eastAsia="仿宋_GB2312" w:cs="仿宋"/>
          <w:sz w:val="32"/>
          <w:szCs w:val="32"/>
        </w:rPr>
      </w:pPr>
      <w:r>
        <w:rPr>
          <w:rFonts w:hint="eastAsia" w:ascii="楷体" w:hAnsi="楷体" w:eastAsia="楷体" w:cs="仿宋"/>
          <w:sz w:val="32"/>
          <w:szCs w:val="32"/>
        </w:rPr>
        <w:t>二是实时监测预警，辖区无重大疫情报告。</w:t>
      </w:r>
      <w:r>
        <w:rPr>
          <w:rFonts w:ascii="仿宋_GB2312" w:hAnsi="楷体" w:eastAsia="仿宋_GB2312" w:cs="仿宋"/>
          <w:sz w:val="32"/>
          <w:szCs w:val="32"/>
        </w:rPr>
        <w:t>2020</w:t>
      </w:r>
      <w:r>
        <w:rPr>
          <w:rFonts w:hint="eastAsia" w:ascii="仿宋_GB2312" w:hAnsi="楷体" w:eastAsia="仿宋_GB2312" w:cs="仿宋"/>
          <w:sz w:val="32"/>
          <w:szCs w:val="32"/>
        </w:rPr>
        <w:t>年</w:t>
      </w:r>
      <w:r>
        <w:rPr>
          <w:rFonts w:ascii="仿宋_GB2312" w:hAnsi="楷体" w:eastAsia="仿宋_GB2312" w:cs="仿宋"/>
          <w:sz w:val="32"/>
          <w:szCs w:val="32"/>
        </w:rPr>
        <w:t>，</w:t>
      </w:r>
      <w:r>
        <w:rPr>
          <w:rFonts w:hint="eastAsia" w:ascii="仿宋_GB2312" w:hAnsi="楷体" w:eastAsia="仿宋_GB2312" w:cs="仿宋"/>
          <w:sz w:val="32"/>
          <w:szCs w:val="32"/>
        </w:rPr>
        <w:t>辖区无人感染登革热、高致病性禽流感、寨卡病毒、基孔肯雅热、黄热病、霍乱、疟疾等重大传染病报告。</w:t>
      </w:r>
    </w:p>
    <w:p>
      <w:pPr>
        <w:widowControl/>
        <w:spacing w:line="560" w:lineRule="exact"/>
        <w:ind w:firstLine="640"/>
        <w:rPr>
          <w:rFonts w:ascii="楷体" w:hAnsi="楷体" w:eastAsia="楷体" w:cs="楷体"/>
          <w:bCs/>
          <w:sz w:val="32"/>
          <w:szCs w:val="32"/>
        </w:rPr>
      </w:pPr>
      <w:r>
        <w:rPr>
          <w:rFonts w:hint="eastAsia" w:ascii="楷体" w:hAnsi="楷体" w:eastAsia="楷体" w:cs="楷体"/>
          <w:bCs/>
          <w:sz w:val="32"/>
          <w:szCs w:val="32"/>
        </w:rPr>
        <w:t>三是结合辖区特色，开展专项监测。</w:t>
      </w:r>
      <w:r>
        <w:rPr>
          <w:rFonts w:hint="eastAsia" w:ascii="仿宋_GB2312" w:hAnsi="楷体" w:eastAsia="仿宋_GB2312" w:cs="仿宋"/>
          <w:sz w:val="32"/>
          <w:szCs w:val="32"/>
        </w:rPr>
        <w:t>对海产品中重金属铅、隔、汞、砷、铬开展专项监测。对辖区山泉水进行监测，共采集11份水样，合格0份，合格率0%。开展辖区中小学教室照明专项监测，针对中小学教室照明安装存在的问题，指导5所中小学完成教室照明标准化改造。</w:t>
      </w:r>
      <w:r>
        <w:rPr>
          <w:rFonts w:hint="eastAsia" w:ascii="仿宋_GB2312" w:hAnsi="宋体" w:eastAsia="仿宋_GB2312" w:cs="仿宋"/>
          <w:sz w:val="32"/>
          <w:szCs w:val="32"/>
        </w:rPr>
        <w:t>开展供师生直接饮用水水质监测，保障师生饮用水安全</w:t>
      </w:r>
      <w:r>
        <w:rPr>
          <w:rFonts w:hint="eastAsia" w:ascii="仿宋_GB2312" w:hAnsi="楷体" w:eastAsia="仿宋_GB2312" w:cs="仿宋"/>
          <w:sz w:val="32"/>
          <w:szCs w:val="32"/>
        </w:rPr>
        <w:t>。</w:t>
      </w:r>
    </w:p>
    <w:p>
      <w:pPr>
        <w:spacing w:line="560" w:lineRule="exact"/>
        <w:ind w:firstLine="640"/>
        <w:rPr>
          <w:rFonts w:ascii="仿宋_GB2312" w:hAnsi="楷体" w:eastAsia="仿宋_GB2312" w:cs="仿宋"/>
          <w:sz w:val="32"/>
          <w:szCs w:val="32"/>
        </w:rPr>
      </w:pPr>
      <w:r>
        <w:rPr>
          <w:rFonts w:hint="eastAsia" w:ascii="楷体" w:hAnsi="楷体" w:eastAsia="楷体" w:cs="仿宋"/>
          <w:sz w:val="32"/>
          <w:szCs w:val="32"/>
        </w:rPr>
        <w:t>四是创新艾滋病防治宣传方式。</w:t>
      </w:r>
      <w:r>
        <w:rPr>
          <w:rFonts w:hint="eastAsia" w:ascii="仿宋_GB2312" w:hAnsi="楷体" w:eastAsia="仿宋_GB2312" w:cs="仿宋"/>
          <w:sz w:val="32"/>
          <w:szCs w:val="32"/>
        </w:rPr>
        <w:t>开展形式生动，内容活泼的老年人艾滋病健康教育宣传，</w:t>
      </w:r>
      <w:r>
        <w:rPr>
          <w:rFonts w:hint="eastAsia" w:ascii="仿宋" w:hAnsi="仿宋" w:eastAsia="仿宋"/>
          <w:sz w:val="32"/>
          <w:szCs w:val="32"/>
        </w:rPr>
        <w:t>以老年人容易接受，简单有趣的方式，向他们讲解艾滋病基本知识、传播途径及预防方法，受到了老年朋友的热烈欢迎。</w:t>
      </w:r>
      <w:r>
        <w:rPr>
          <w:rFonts w:hint="eastAsia" w:ascii="仿宋_GB2312" w:hAnsi="楷体" w:eastAsia="仿宋_GB2312" w:cs="仿宋"/>
          <w:sz w:val="32"/>
          <w:szCs w:val="32"/>
        </w:rPr>
        <w:t>深入开展艾滋病社区综合干预，</w:t>
      </w:r>
      <w:r>
        <w:rPr>
          <w:rFonts w:hint="eastAsia" w:ascii="仿宋" w:hAnsi="仿宋" w:eastAsia="仿宋" w:cs="仿宋_GB2312"/>
          <w:sz w:val="32"/>
          <w:szCs w:val="32"/>
        </w:rPr>
        <w:t>组织南澳办事处9个社区开展“性病防治主题宣传周”宣传教育</w:t>
      </w:r>
      <w:r>
        <w:rPr>
          <w:rFonts w:hint="eastAsia" w:ascii="仿宋_GB2312" w:hAnsi="楷体" w:eastAsia="仿宋_GB2312" w:cs="仿宋"/>
          <w:sz w:val="32"/>
          <w:szCs w:val="32"/>
        </w:rPr>
        <w:t xml:space="preserve">。 </w:t>
      </w:r>
    </w:p>
    <w:p>
      <w:pPr>
        <w:spacing w:line="560" w:lineRule="exact"/>
        <w:ind w:firstLine="640"/>
        <w:rPr>
          <w:rFonts w:ascii="仿宋_GB2312" w:hAnsi="楷体" w:eastAsia="仿宋_GB2312" w:cs="仿宋"/>
          <w:sz w:val="32"/>
          <w:szCs w:val="32"/>
        </w:rPr>
      </w:pPr>
      <w:r>
        <w:rPr>
          <w:rFonts w:hint="eastAsia" w:ascii="楷体" w:hAnsi="楷体" w:eastAsia="楷体" w:cs="仿宋"/>
          <w:sz w:val="32"/>
          <w:szCs w:val="32"/>
        </w:rPr>
        <w:t>五是提升科研立项、论文发表水平。</w:t>
      </w:r>
      <w:r>
        <w:rPr>
          <w:rFonts w:hint="eastAsia" w:ascii="仿宋_GB2312" w:hAnsi="楷体" w:eastAsia="仿宋_GB2312" w:cs="仿宋"/>
          <w:sz w:val="32"/>
          <w:szCs w:val="32"/>
        </w:rPr>
        <w:t>今年申报通过区级科研立项项目3个，论文发表7篇（其中3篇见刊，4篇已接收）。</w:t>
      </w:r>
    </w:p>
    <w:p>
      <w:pPr>
        <w:spacing w:line="560" w:lineRule="exact"/>
        <w:ind w:firstLine="640"/>
        <w:rPr>
          <w:rFonts w:ascii="仿宋_GB2312" w:hAnsi="仿宋_GB2312" w:eastAsia="仿宋_GB2312" w:cs="仿宋_GB2312"/>
          <w:sz w:val="32"/>
          <w:szCs w:val="32"/>
        </w:rPr>
      </w:pPr>
      <w:r>
        <w:rPr>
          <w:rFonts w:hint="eastAsia" w:ascii="楷体" w:hAnsi="楷体" w:eastAsia="楷体" w:cs="仿宋"/>
          <w:sz w:val="32"/>
          <w:szCs w:val="32"/>
        </w:rPr>
        <w:t>六是建立疫苗储存库和疫苗全程监测信息系统。</w:t>
      </w:r>
      <w:r>
        <w:rPr>
          <w:rFonts w:hint="eastAsia" w:ascii="仿宋_GB2312" w:hAnsi="楷体" w:eastAsia="仿宋_GB2312" w:cs="仿宋"/>
          <w:sz w:val="32"/>
          <w:szCs w:val="32"/>
        </w:rPr>
        <w:t>新区所有疫苗接种点全部配置了医用冰箱和智能疫苗柜，安装了温控监测系统，实现疫苗从出厂到接种全程追溯，全程质量监控、全程安全管控，确保疫苗安全。</w:t>
      </w:r>
    </w:p>
    <w:p>
      <w:pPr>
        <w:ind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4.公平性</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我中心已建立群众意见反映渠道和群众意见办理回复机制，记录群众的各项咨询投诉问题，做好信访回复工作。</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年我中心投诉率为0。</w:t>
      </w:r>
    </w:p>
    <w:p>
      <w:pPr>
        <w:pStyle w:val="3"/>
        <w:ind w:firstLine="640"/>
        <w:rPr>
          <w:rFonts w:ascii="黑体" w:hAnsi="黑体" w:eastAsia="黑体" w:cs="黑体"/>
          <w:b w:val="0"/>
          <w:bCs w:val="0"/>
          <w:sz w:val="32"/>
        </w:rPr>
      </w:pPr>
      <w:r>
        <w:rPr>
          <w:rFonts w:hint="eastAsia" w:ascii="黑体" w:hAnsi="黑体" w:eastAsia="黑体" w:cs="黑体"/>
          <w:b w:val="0"/>
          <w:bCs w:val="0"/>
          <w:sz w:val="32"/>
        </w:rPr>
        <w:t xml:space="preserve"> 三、总体评价和整改措施</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根据新区</w:t>
      </w:r>
      <w:r>
        <w:rPr>
          <w:rFonts w:hint="eastAsia" w:ascii="仿宋_GB2312" w:hAnsi="仿宋_GB2312" w:eastAsia="仿宋_GB2312" w:cs="仿宋_GB2312"/>
          <w:sz w:val="32"/>
          <w:szCs w:val="32"/>
          <w:lang w:eastAsia="zh-CN"/>
        </w:rPr>
        <w:t>发展和财政</w:t>
      </w:r>
      <w:r>
        <w:rPr>
          <w:rFonts w:hint="eastAsia" w:ascii="仿宋_GB2312" w:hAnsi="仿宋_GB2312" w:eastAsia="仿宋_GB2312" w:cs="仿宋_GB2312"/>
          <w:sz w:val="32"/>
          <w:szCs w:val="32"/>
        </w:rPr>
        <w:t>局印发的《部门整体支出绩效评价共性指标体系框架（2019年修订）》，我中心整体支出绩效评价得分96分，部门整体支出绩效管理良好。</w:t>
      </w:r>
    </w:p>
    <w:p>
      <w:pPr>
        <w:pStyle w:val="4"/>
        <w:spacing w:before="0" w:after="0"/>
        <w:ind w:firstLine="640"/>
        <w:rPr>
          <w:rFonts w:ascii="楷体" w:hAnsi="楷体" w:eastAsia="楷体" w:cs="楷体"/>
          <w:sz w:val="32"/>
        </w:rPr>
      </w:pPr>
      <w:r>
        <w:rPr>
          <w:rFonts w:hint="eastAsia" w:ascii="楷体" w:hAnsi="楷体" w:eastAsia="楷体" w:cs="楷体"/>
          <w:sz w:val="32"/>
        </w:rPr>
        <w:t>（一）预算绩效管理工作主要经验、做法</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实施预算绩效管理改革，建立规范透明、标准科学、约束有力的预算制度。印发《大鹏新区贯彻落实全面实施预算绩效管理的工作方案》《2020年全面实施预算绩效管理有关事项通知》，进一步加强预算绩效管理理念宣传。</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加强全过程管理，开展年中绩效运行监控，确保及时发现问题及时整改。为贯彻落实“全面实施预算绩效管理”精神，有效推进全过程预算绩效管理工作，加强预算绩效监控结果应用，根据《大鹏新区发展和财政局关于做好2020年预算绩效管理工作的通知》（深鹏发财函〔2020〕204号）文件要求，我中心认真组织开展2020年预算绩效监控工作，并针对绩效运行监控中发现的问题认真分析，提出整改措施。此外，我中心认真贯彻落实</w:t>
      </w:r>
      <w:r>
        <w:rPr>
          <w:rFonts w:hint="eastAsia" w:ascii="仿宋_GB2312" w:hAnsi="仿宋_GB2312" w:eastAsia="仿宋_GB2312" w:cs="仿宋_GB2312"/>
          <w:sz w:val="32"/>
          <w:szCs w:val="32"/>
          <w:lang w:eastAsia="zh-CN"/>
        </w:rPr>
        <w:t>新区发展和</w:t>
      </w:r>
      <w:r>
        <w:rPr>
          <w:rFonts w:hint="eastAsia" w:ascii="仿宋_GB2312" w:hAnsi="仿宋_GB2312" w:eastAsia="仿宋_GB2312" w:cs="仿宋_GB2312"/>
          <w:sz w:val="32"/>
          <w:szCs w:val="32"/>
        </w:rPr>
        <w:t>财政局相关文件及会议精神，加强财务核算及预算绩效管理。决算工作事前按照财政部门的统一部署，参加决算编制工作布置会并听取业务讲解和系统培训。事中加强与财政部门的沟通协调，通过多次梳理、统计和核对财政对我单位的拨款情况，增强决算报表完整性与真实性，圆满完成2020年度部门决算编报、审核等工作任务，各项工作取得优异成绩。</w:t>
      </w:r>
    </w:p>
    <w:p>
      <w:pPr>
        <w:pStyle w:val="4"/>
        <w:spacing w:before="0" w:after="0"/>
        <w:ind w:firstLine="640"/>
        <w:rPr>
          <w:rFonts w:ascii="楷体" w:hAnsi="楷体" w:eastAsia="楷体" w:cs="楷体"/>
          <w:sz w:val="32"/>
        </w:rPr>
      </w:pPr>
      <w:r>
        <w:rPr>
          <w:rFonts w:hint="eastAsia" w:ascii="楷体" w:hAnsi="楷体" w:eastAsia="楷体" w:cs="楷体"/>
          <w:sz w:val="32"/>
        </w:rPr>
        <w:t>（二）部门整体支出绩效存在问题及改进措施</w:t>
      </w:r>
    </w:p>
    <w:p>
      <w:pPr>
        <w:pStyle w:val="27"/>
        <w:shd w:val="clear" w:color="auto" w:fill="auto"/>
        <w:tabs>
          <w:tab w:val="left" w:pos="1615"/>
        </w:tabs>
        <w:spacing w:before="0" w:line="360" w:lineRule="auto"/>
        <w:ind w:firstLine="640"/>
        <w:jc w:val="both"/>
        <w:rPr>
          <w:rFonts w:ascii="仿宋_GB2312" w:hAnsi="仿宋_GB2312" w:eastAsia="仿宋_GB2312" w:cs="仿宋_GB2312"/>
          <w:spacing w:val="0"/>
          <w:kern w:val="2"/>
          <w:sz w:val="32"/>
          <w:szCs w:val="32"/>
        </w:rPr>
      </w:pPr>
      <w:r>
        <w:rPr>
          <w:rFonts w:hint="eastAsia" w:ascii="仿宋_GB2312" w:hAnsi="仿宋_GB2312" w:eastAsia="仿宋_GB2312" w:cs="仿宋_GB2312"/>
          <w:spacing w:val="0"/>
          <w:kern w:val="2"/>
          <w:sz w:val="32"/>
          <w:szCs w:val="32"/>
        </w:rPr>
        <w:t>2020年度，在上级部门的关心支持下，在中心领导的正确带领下，我单位预算执行及绩效管理情况总体良好。但也存在以下问题：</w:t>
      </w:r>
    </w:p>
    <w:p>
      <w:pPr>
        <w:pStyle w:val="27"/>
        <w:shd w:val="clear" w:color="auto" w:fill="auto"/>
        <w:tabs>
          <w:tab w:val="left" w:pos="1615"/>
        </w:tabs>
        <w:spacing w:before="0" w:line="360" w:lineRule="auto"/>
        <w:ind w:firstLine="640"/>
        <w:jc w:val="both"/>
        <w:rPr>
          <w:rFonts w:ascii="仿宋_GB2312" w:hAnsi="仿宋_GB2312" w:eastAsia="仿宋_GB2312" w:cs="仿宋_GB2312"/>
          <w:spacing w:val="0"/>
          <w:kern w:val="2"/>
          <w:sz w:val="32"/>
          <w:szCs w:val="32"/>
        </w:rPr>
      </w:pPr>
      <w:r>
        <w:rPr>
          <w:rFonts w:hint="eastAsia" w:ascii="仿宋_GB2312" w:hAnsi="仿宋_GB2312" w:eastAsia="仿宋_GB2312" w:cs="仿宋_GB2312"/>
          <w:spacing w:val="0"/>
          <w:kern w:val="2"/>
          <w:sz w:val="32"/>
          <w:szCs w:val="32"/>
        </w:rPr>
        <w:t>1.年中绩效运行监控中存在个别项目预算执行进度相对较低，如预算管理业务和社会发展业务项目。</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2.部分项目受疫情影响、政策变化、工作安排调整等因 素影响，存在部分绩效目标无法达成的情况。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 部分业务人员绩效管理意识较为薄弱，尚未全面深入理解绩效管理工作，绩效管理经验不足。</w:t>
      </w:r>
    </w:p>
    <w:p>
      <w:pPr>
        <w:pStyle w:val="4"/>
        <w:spacing w:before="0" w:after="0"/>
        <w:ind w:firstLine="640"/>
        <w:rPr>
          <w:rFonts w:ascii="楷体" w:hAnsi="楷体" w:eastAsia="楷体" w:cs="楷体"/>
          <w:sz w:val="32"/>
        </w:rPr>
      </w:pPr>
      <w:r>
        <w:rPr>
          <w:rFonts w:hint="eastAsia" w:ascii="楷体" w:hAnsi="楷体" w:eastAsia="楷体" w:cs="楷体"/>
          <w:sz w:val="32"/>
        </w:rPr>
        <w:t>（三）后续工作计划、相关建议等</w:t>
      </w:r>
    </w:p>
    <w:p>
      <w:pPr>
        <w:spacing w:line="540" w:lineRule="exact"/>
        <w:ind w:firstLine="640"/>
        <w:rPr>
          <w:rFonts w:ascii="仿宋" w:hAnsi="仿宋" w:eastAsia="仿宋"/>
          <w:sz w:val="32"/>
          <w:szCs w:val="32"/>
        </w:rPr>
      </w:pPr>
      <w:r>
        <w:rPr>
          <w:rFonts w:ascii="楷体" w:hAnsi="楷体" w:eastAsia="楷体"/>
          <w:sz w:val="32"/>
          <w:szCs w:val="32"/>
        </w:rPr>
        <w:t>1</w:t>
      </w:r>
      <w:r>
        <w:rPr>
          <w:rFonts w:hint="eastAsia" w:ascii="楷体" w:hAnsi="楷体" w:eastAsia="楷体"/>
          <w:sz w:val="32"/>
          <w:szCs w:val="32"/>
        </w:rPr>
        <w:t>.毫不松懈，全力做好新冠肺炎常态化防控工作。</w:t>
      </w:r>
      <w:r>
        <w:rPr>
          <w:rFonts w:hint="eastAsia" w:ascii="仿宋_GB2312" w:eastAsia="仿宋_GB2312"/>
          <w:sz w:val="32"/>
          <w:szCs w:val="32"/>
        </w:rPr>
        <w:t>一是强化疫情监测和信息报告，严格落实“外防输入、内防反弹”，做到“应检尽检”，结合实际，加强发热门诊医务人员、隔离场所工作人员培训，加强病例排查，继续对入境人员、隔离场所人员等开展核酸检测，发现情况及时报告；二是真刀真枪地开展应急演练及检测、流调培训，加强各项能力建设，做到“来之能战，战则必胜”</w:t>
      </w:r>
      <w:r>
        <w:rPr>
          <w:rFonts w:hint="eastAsia" w:ascii="仿宋" w:hAnsi="仿宋" w:eastAsia="仿宋"/>
          <w:sz w:val="32"/>
          <w:szCs w:val="32"/>
        </w:rPr>
        <w:t>。</w:t>
      </w:r>
    </w:p>
    <w:p>
      <w:pPr>
        <w:spacing w:line="540" w:lineRule="exact"/>
        <w:ind w:firstLine="640"/>
        <w:rPr>
          <w:rFonts w:ascii="仿宋_GB2312" w:hAnsi="楷体" w:eastAsia="仿宋_GB2312"/>
          <w:sz w:val="32"/>
          <w:szCs w:val="32"/>
        </w:rPr>
      </w:pPr>
      <w:r>
        <w:rPr>
          <w:rFonts w:ascii="楷体" w:hAnsi="楷体" w:eastAsia="楷体"/>
          <w:sz w:val="32"/>
          <w:szCs w:val="32"/>
        </w:rPr>
        <w:t>2</w:t>
      </w:r>
      <w:r>
        <w:rPr>
          <w:rFonts w:hint="eastAsia" w:ascii="楷体" w:hAnsi="楷体" w:eastAsia="楷体"/>
          <w:sz w:val="32"/>
          <w:szCs w:val="32"/>
        </w:rPr>
        <w:t>.因地制宜，切实提高健康危害因素监测质量。</w:t>
      </w:r>
      <w:r>
        <w:rPr>
          <w:rFonts w:hint="eastAsia" w:ascii="仿宋_GB2312" w:hAnsi="楷体" w:eastAsia="仿宋_GB2312"/>
          <w:sz w:val="32"/>
          <w:szCs w:val="32"/>
        </w:rPr>
        <w:t>一是配合市疾控中心开展民宿卫生状况调查研究，完成深圳市民宿地方标准的建立</w:t>
      </w:r>
      <w:r>
        <w:rPr>
          <w:rFonts w:hint="eastAsia" w:ascii="仿宋_GB2312" w:eastAsia="仿宋_GB2312"/>
          <w:sz w:val="32"/>
          <w:szCs w:val="32"/>
        </w:rPr>
        <w:t>；二是</w:t>
      </w:r>
      <w:r>
        <w:rPr>
          <w:rFonts w:hint="eastAsia" w:ascii="仿宋_GB2312" w:hAnsi="宋体" w:eastAsia="仿宋_GB2312" w:cs="仿宋"/>
          <w:sz w:val="32"/>
          <w:szCs w:val="32"/>
        </w:rPr>
        <w:t>结合辖区特色，继续开展食品安全监测自主专项工作、学校饮用水专项监测、山泉水专项监测、学校教室照明专项监测工作等工作</w:t>
      </w:r>
      <w:r>
        <w:rPr>
          <w:rFonts w:hint="eastAsia" w:ascii="仿宋_GB2312" w:eastAsia="仿宋_GB2312"/>
          <w:sz w:val="32"/>
          <w:szCs w:val="32"/>
        </w:rPr>
        <w:t>；三是</w:t>
      </w:r>
      <w:r>
        <w:rPr>
          <w:rFonts w:hint="eastAsia" w:ascii="仿宋_GB2312" w:hAnsi="宋体" w:eastAsia="仿宋_GB2312" w:cs="仿宋"/>
          <w:sz w:val="32"/>
          <w:szCs w:val="32"/>
        </w:rPr>
        <w:t>继续加强食源性疾病监测工作，通过调整食源性疾病补助、加强督导和培训，力争2021年食源性疾病监测覆盖率、报告及时率、报告卡完整率均达100%；四</w:t>
      </w:r>
      <w:r>
        <w:rPr>
          <w:rFonts w:hint="eastAsia" w:ascii="仿宋_GB2312" w:eastAsia="仿宋_GB2312"/>
          <w:sz w:val="32"/>
          <w:szCs w:val="32"/>
        </w:rPr>
        <w:t>是创新宣教形式和干预手段，充分加强和利用宣传阵地和媒介载体建设优势，增强常见病防治宣传教育的针对性、实效性和覆盖面，增强学校、学生、家长的常见病防治意识，降低学生常见病患病率</w:t>
      </w:r>
      <w:r>
        <w:rPr>
          <w:rFonts w:hint="eastAsia" w:ascii="仿宋_GB2312" w:hAnsi="楷体" w:eastAsia="仿宋_GB2312"/>
          <w:sz w:val="32"/>
          <w:szCs w:val="32"/>
        </w:rPr>
        <w:t>。</w:t>
      </w:r>
    </w:p>
    <w:p>
      <w:pPr>
        <w:spacing w:line="540" w:lineRule="exact"/>
        <w:ind w:firstLine="640"/>
        <w:rPr>
          <w:rFonts w:ascii="仿宋_GB2312" w:hAnsi="楷体" w:eastAsia="仿宋_GB2312"/>
          <w:sz w:val="32"/>
          <w:szCs w:val="32"/>
        </w:rPr>
      </w:pPr>
      <w:r>
        <w:rPr>
          <w:rFonts w:ascii="楷体" w:hAnsi="楷体" w:eastAsia="楷体"/>
          <w:sz w:val="32"/>
          <w:szCs w:val="32"/>
        </w:rPr>
        <w:t>3</w:t>
      </w:r>
      <w:r>
        <w:rPr>
          <w:rFonts w:hint="eastAsia" w:ascii="楷体" w:hAnsi="楷体" w:eastAsia="楷体"/>
          <w:sz w:val="32"/>
          <w:szCs w:val="32"/>
        </w:rPr>
        <w:t>.加强督导，进一步提升免疫规划管理水平。</w:t>
      </w:r>
      <w:r>
        <w:rPr>
          <w:rFonts w:hint="eastAsia" w:ascii="仿宋_GB2312" w:hAnsi="楷体" w:eastAsia="仿宋_GB2312"/>
          <w:sz w:val="32"/>
          <w:szCs w:val="32"/>
        </w:rPr>
        <w:t>一是</w:t>
      </w:r>
      <w:r>
        <w:rPr>
          <w:rFonts w:hint="eastAsia" w:ascii="仿宋" w:hAnsi="仿宋" w:eastAsia="仿宋"/>
          <w:sz w:val="32"/>
          <w:szCs w:val="32"/>
        </w:rPr>
        <w:t>继续加强常规免疫接种监测，消除人群免疫空白，进一步提高人群免疫水平，同时提高疑似预防接种异常反应监测敏感性，及时、规范报告</w:t>
      </w:r>
      <w:r>
        <w:rPr>
          <w:rFonts w:hint="eastAsia" w:ascii="仿宋_GB2312" w:eastAsia="仿宋_GB2312"/>
          <w:sz w:val="32"/>
          <w:szCs w:val="32"/>
        </w:rPr>
        <w:t>；二是</w:t>
      </w:r>
      <w:r>
        <w:rPr>
          <w:rFonts w:hint="eastAsia" w:ascii="仿宋" w:hAnsi="仿宋" w:eastAsia="仿宋"/>
          <w:sz w:val="32"/>
          <w:szCs w:val="32"/>
        </w:rPr>
        <w:t>有序开展</w:t>
      </w:r>
      <w:r>
        <w:rPr>
          <w:rFonts w:hint="eastAsia" w:ascii="仿宋" w:hAnsi="仿宋" w:eastAsia="仿宋" w:cs="仿宋"/>
          <w:sz w:val="32"/>
          <w:szCs w:val="32"/>
        </w:rPr>
        <w:t>在校中小学生流感疫苗免费接种工作，为辖区深圳户籍或在深圳参加医疗保险的60岁以上老人免费接种流感疫苗</w:t>
      </w:r>
      <w:r>
        <w:rPr>
          <w:rFonts w:hint="eastAsia" w:ascii="仿宋_GB2312" w:eastAsia="仿宋_GB2312"/>
          <w:sz w:val="32"/>
          <w:szCs w:val="32"/>
        </w:rPr>
        <w:t>；三是</w:t>
      </w:r>
      <w:r>
        <w:rPr>
          <w:rFonts w:hint="eastAsia" w:ascii="仿宋" w:hAnsi="仿宋" w:eastAsia="仿宋" w:cs="仿宋"/>
          <w:sz w:val="32"/>
          <w:szCs w:val="32"/>
        </w:rPr>
        <w:t>加快推进辖区预防接种单位标准化建设</w:t>
      </w:r>
      <w:r>
        <w:rPr>
          <w:rFonts w:hint="eastAsia" w:ascii="仿宋_GB2312" w:hAnsi="楷体" w:eastAsia="仿宋_GB2312"/>
          <w:sz w:val="32"/>
          <w:szCs w:val="32"/>
        </w:rPr>
        <w:t>。</w:t>
      </w:r>
    </w:p>
    <w:p>
      <w:pPr>
        <w:spacing w:line="540" w:lineRule="exact"/>
        <w:ind w:firstLine="640"/>
        <w:rPr>
          <w:rFonts w:ascii="仿宋_GB2312" w:hAnsi="楷体" w:eastAsia="仿宋_GB2312"/>
          <w:sz w:val="32"/>
          <w:szCs w:val="32"/>
        </w:rPr>
      </w:pPr>
      <w:r>
        <w:rPr>
          <w:rFonts w:ascii="楷体" w:hAnsi="楷体" w:eastAsia="楷体"/>
          <w:sz w:val="32"/>
          <w:szCs w:val="32"/>
        </w:rPr>
        <w:t>4</w:t>
      </w:r>
      <w:r>
        <w:rPr>
          <w:rFonts w:hint="eastAsia" w:ascii="楷体" w:hAnsi="楷体" w:eastAsia="楷体"/>
          <w:sz w:val="32"/>
          <w:szCs w:val="32"/>
        </w:rPr>
        <w:t>.创新宣教，扎实做好艾滋病防治工作。</w:t>
      </w:r>
      <w:r>
        <w:rPr>
          <w:rFonts w:hint="eastAsia" w:ascii="仿宋_GB2312" w:hAnsi="楷体" w:eastAsia="仿宋_GB2312"/>
          <w:sz w:val="32"/>
          <w:szCs w:val="32"/>
        </w:rPr>
        <w:t>一是</w:t>
      </w:r>
      <w:r>
        <w:rPr>
          <w:rFonts w:hint="eastAsia" w:ascii="仿宋" w:hAnsi="仿宋" w:eastAsia="仿宋" w:cs="仿宋"/>
          <w:color w:val="333333"/>
          <w:sz w:val="32"/>
          <w:szCs w:val="32"/>
        </w:rPr>
        <w:t>加强重点人群宣传，包括老年人、吸毒人员等人群的艾滋病防治宣传</w:t>
      </w:r>
      <w:r>
        <w:rPr>
          <w:rFonts w:hint="eastAsia" w:ascii="仿宋_GB2312" w:hAnsi="楷体" w:eastAsia="仿宋_GB2312"/>
          <w:sz w:val="32"/>
          <w:szCs w:val="32"/>
        </w:rPr>
        <w:t>；二</w:t>
      </w:r>
      <w:r>
        <w:rPr>
          <w:rFonts w:hint="eastAsia" w:ascii="仿宋_GB2312" w:eastAsia="仿宋_GB2312"/>
          <w:sz w:val="32"/>
          <w:szCs w:val="32"/>
        </w:rPr>
        <w:t>是</w:t>
      </w:r>
      <w:r>
        <w:rPr>
          <w:rFonts w:hint="eastAsia" w:ascii="仿宋" w:hAnsi="仿宋" w:eastAsia="仿宋" w:cs="仿宋"/>
          <w:color w:val="333333"/>
          <w:sz w:val="32"/>
          <w:szCs w:val="32"/>
        </w:rPr>
        <w:t>落实扩大检测工作</w:t>
      </w:r>
      <w:r>
        <w:rPr>
          <w:rFonts w:hint="eastAsia" w:ascii="仿宋_GB2312" w:eastAsia="仿宋_GB2312"/>
          <w:sz w:val="32"/>
          <w:szCs w:val="32"/>
        </w:rPr>
        <w:t>，</w:t>
      </w:r>
      <w:r>
        <w:rPr>
          <w:rFonts w:hint="eastAsia" w:ascii="仿宋" w:hAnsi="仿宋" w:eastAsia="仿宋" w:cs="仿宋"/>
          <w:color w:val="333333"/>
          <w:sz w:val="32"/>
          <w:szCs w:val="32"/>
        </w:rPr>
        <w:t>协助和指导区域社康中心实现</w:t>
      </w:r>
      <w:r>
        <w:rPr>
          <w:rFonts w:ascii="仿宋" w:hAnsi="仿宋" w:eastAsia="仿宋"/>
          <w:sz w:val="32"/>
          <w:szCs w:val="32"/>
        </w:rPr>
        <w:t>艾滋病快速检测能力</w:t>
      </w:r>
      <w:r>
        <w:rPr>
          <w:rFonts w:hint="eastAsia" w:ascii="仿宋" w:hAnsi="仿宋" w:eastAsia="仿宋"/>
          <w:sz w:val="32"/>
          <w:szCs w:val="32"/>
        </w:rPr>
        <w:t>，指导医疗机构的妇产科和皮肤性病科，按照“知情不拒绝”原则，对就诊者提供艾滋病检测</w:t>
      </w:r>
      <w:r>
        <w:rPr>
          <w:rFonts w:hint="eastAsia" w:ascii="仿宋_GB2312" w:hAnsi="楷体" w:eastAsia="仿宋_GB2312"/>
          <w:sz w:val="32"/>
          <w:szCs w:val="32"/>
        </w:rPr>
        <w:t>；三是</w:t>
      </w:r>
      <w:r>
        <w:rPr>
          <w:rFonts w:hint="eastAsia" w:ascii="仿宋" w:hAnsi="仿宋" w:eastAsia="仿宋"/>
          <w:sz w:val="32"/>
          <w:szCs w:val="32"/>
        </w:rPr>
        <w:t>落实救治救助政策，加强对艾滋病患者的关怀和救助工作</w:t>
      </w:r>
      <w:r>
        <w:rPr>
          <w:rFonts w:hint="eastAsia" w:ascii="仿宋_GB2312" w:eastAsia="仿宋_GB2312"/>
          <w:sz w:val="32"/>
          <w:szCs w:val="32"/>
        </w:rPr>
        <w:t>；四</w:t>
      </w:r>
      <w:r>
        <w:rPr>
          <w:rFonts w:hint="eastAsia" w:ascii="仿宋_GB2312" w:hAnsi="楷体" w:eastAsia="仿宋_GB2312"/>
          <w:sz w:val="32"/>
          <w:szCs w:val="32"/>
        </w:rPr>
        <w:t>是</w:t>
      </w:r>
      <w:r>
        <w:rPr>
          <w:rFonts w:hint="eastAsia" w:ascii="仿宋" w:hAnsi="仿宋" w:eastAsia="仿宋"/>
          <w:sz w:val="32"/>
          <w:szCs w:val="32"/>
        </w:rPr>
        <w:t>继续落实学校预防艾滋病教育工作，支持学生社团、志愿者等开展预防艾滋病、性与生殖健康等综合知识教育活动</w:t>
      </w:r>
      <w:r>
        <w:rPr>
          <w:rFonts w:hint="eastAsia" w:ascii="仿宋_GB2312" w:hAnsi="楷体" w:eastAsia="仿宋_GB2312"/>
          <w:sz w:val="32"/>
          <w:szCs w:val="32"/>
        </w:rPr>
        <w:t>。</w:t>
      </w:r>
    </w:p>
    <w:p>
      <w:pPr>
        <w:spacing w:line="540" w:lineRule="exact"/>
        <w:ind w:firstLine="640"/>
        <w:rPr>
          <w:rFonts w:ascii="仿宋_GB2312" w:hAnsi="楷体" w:eastAsia="仿宋_GB2312"/>
          <w:sz w:val="32"/>
          <w:szCs w:val="32"/>
        </w:rPr>
      </w:pPr>
      <w:r>
        <w:rPr>
          <w:rFonts w:ascii="楷体" w:hAnsi="楷体" w:eastAsia="楷体"/>
          <w:sz w:val="32"/>
          <w:szCs w:val="32"/>
        </w:rPr>
        <w:t>5</w:t>
      </w:r>
      <w:r>
        <w:rPr>
          <w:rFonts w:hint="eastAsia" w:ascii="楷体" w:hAnsi="楷体" w:eastAsia="楷体"/>
          <w:sz w:val="32"/>
          <w:szCs w:val="32"/>
        </w:rPr>
        <w:t>.夯实基础，开展重点学科建设。</w:t>
      </w:r>
      <w:r>
        <w:rPr>
          <w:rFonts w:hint="eastAsia" w:ascii="仿宋_GB2312" w:hAnsi="楷体" w:eastAsia="仿宋_GB2312"/>
          <w:sz w:val="32"/>
          <w:szCs w:val="32"/>
        </w:rPr>
        <w:t>结合辖区实际，争取新区</w:t>
      </w:r>
      <w:r>
        <w:rPr>
          <w:rFonts w:hint="eastAsia" w:ascii="仿宋_GB2312" w:hAnsi="楷体" w:eastAsia="仿宋_GB2312"/>
          <w:sz w:val="32"/>
          <w:szCs w:val="32"/>
          <w:lang w:eastAsia="zh-CN"/>
        </w:rPr>
        <w:t>管委会</w:t>
      </w:r>
      <w:r>
        <w:rPr>
          <w:rFonts w:hint="eastAsia" w:ascii="仿宋_GB2312" w:hAnsi="楷体" w:eastAsia="仿宋_GB2312"/>
          <w:sz w:val="32"/>
          <w:szCs w:val="32"/>
        </w:rPr>
        <w:t>和</w:t>
      </w:r>
      <w:r>
        <w:rPr>
          <w:rFonts w:hint="eastAsia" w:ascii="仿宋_GB2312" w:hAnsi="楷体" w:eastAsia="仿宋_GB2312"/>
          <w:sz w:val="32"/>
          <w:szCs w:val="32"/>
          <w:lang w:eastAsia="zh-CN"/>
        </w:rPr>
        <w:t>新区</w:t>
      </w:r>
      <w:r>
        <w:rPr>
          <w:rFonts w:hint="eastAsia" w:ascii="仿宋_GB2312" w:hAnsi="楷体" w:eastAsia="仿宋_GB2312"/>
          <w:sz w:val="32"/>
          <w:szCs w:val="32"/>
        </w:rPr>
        <w:t>教育</w:t>
      </w:r>
      <w:r>
        <w:rPr>
          <w:rFonts w:hint="eastAsia" w:ascii="仿宋_GB2312" w:hAnsi="楷体" w:eastAsia="仿宋_GB2312"/>
          <w:sz w:val="32"/>
          <w:szCs w:val="32"/>
          <w:lang w:eastAsia="zh-CN"/>
        </w:rPr>
        <w:t>和</w:t>
      </w:r>
      <w:r>
        <w:rPr>
          <w:rFonts w:hint="eastAsia" w:ascii="仿宋_GB2312" w:hAnsi="楷体" w:eastAsia="仿宋_GB2312"/>
          <w:sz w:val="32"/>
          <w:szCs w:val="32"/>
        </w:rPr>
        <w:t>卫生健康局的支持，申请重点学科建设，提高科研业务水平。</w:t>
      </w:r>
    </w:p>
    <w:p>
      <w:pPr>
        <w:spacing w:line="540" w:lineRule="exact"/>
        <w:ind w:firstLine="640"/>
        <w:rPr>
          <w:rFonts w:ascii="仿宋_GB2312" w:hAnsi="楷体" w:eastAsia="仿宋_GB2312"/>
          <w:sz w:val="32"/>
          <w:szCs w:val="32"/>
        </w:rPr>
      </w:pPr>
      <w:r>
        <w:rPr>
          <w:rFonts w:ascii="楷体" w:hAnsi="楷体" w:eastAsia="楷体"/>
          <w:sz w:val="32"/>
          <w:szCs w:val="32"/>
        </w:rPr>
        <w:t>6</w:t>
      </w:r>
      <w:r>
        <w:rPr>
          <w:rFonts w:hint="eastAsia" w:ascii="楷体" w:hAnsi="楷体" w:eastAsia="楷体"/>
          <w:sz w:val="32"/>
          <w:szCs w:val="32"/>
        </w:rPr>
        <w:t>.强化</w:t>
      </w:r>
      <w:r>
        <w:rPr>
          <w:rFonts w:hint="eastAsia" w:ascii="楷体" w:hAnsi="楷体" w:eastAsia="楷体" w:cs="仿宋_GB2312"/>
          <w:sz w:val="32"/>
          <w:szCs w:val="32"/>
        </w:rPr>
        <w:t>宣传，树立新区公共卫生管理服务中心形象。</w:t>
      </w:r>
      <w:r>
        <w:rPr>
          <w:rFonts w:hint="eastAsia" w:ascii="仿宋_GB2312" w:hAnsi="楷体" w:eastAsia="仿宋_GB2312"/>
          <w:sz w:val="32"/>
          <w:szCs w:val="32"/>
        </w:rPr>
        <w:t>积极撰写通讯稿件，</w:t>
      </w:r>
      <w:r>
        <w:rPr>
          <w:rFonts w:hint="eastAsia" w:ascii="仿宋_GB2312" w:hAnsi="仿宋_GB2312" w:eastAsia="仿宋_GB2312" w:cs="仿宋_GB2312"/>
          <w:sz w:val="32"/>
          <w:szCs w:val="32"/>
        </w:rPr>
        <w:t>通过大鹏信息、大鹏网、大鹏教育卫生公众号等传播平台，大力宣传中心开展各项公共卫生服务工作情况，让广大市民了解和支持公共卫生工作，树立新区公共卫生管理服务中心的形象。</w:t>
      </w:r>
    </w:p>
    <w:p>
      <w:pPr>
        <w:spacing w:line="540" w:lineRule="exact"/>
        <w:ind w:firstLine="640"/>
        <w:rPr>
          <w:rFonts w:ascii="仿宋_GB2312" w:hAnsi="楷体" w:eastAsia="仿宋_GB2312"/>
          <w:sz w:val="32"/>
          <w:szCs w:val="32"/>
        </w:rPr>
      </w:pPr>
      <w:r>
        <w:rPr>
          <w:rFonts w:ascii="楷体" w:hAnsi="楷体" w:eastAsia="楷体"/>
          <w:sz w:val="32"/>
          <w:szCs w:val="32"/>
        </w:rPr>
        <w:t>7</w:t>
      </w:r>
      <w:r>
        <w:rPr>
          <w:rFonts w:hint="eastAsia" w:ascii="楷体" w:hAnsi="楷体" w:eastAsia="楷体"/>
          <w:sz w:val="32"/>
          <w:szCs w:val="32"/>
        </w:rPr>
        <w:t>.加强演练，全面提升公共卫生应急处置能力。</w:t>
      </w:r>
      <w:r>
        <w:rPr>
          <w:rFonts w:hint="eastAsia" w:ascii="仿宋_GB2312" w:hAnsi="楷体" w:eastAsia="仿宋_GB2312"/>
          <w:sz w:val="32"/>
          <w:szCs w:val="32"/>
        </w:rPr>
        <w:t>一是</w:t>
      </w:r>
      <w:r>
        <w:rPr>
          <w:rFonts w:hint="eastAsia" w:ascii="仿宋_GB2312" w:hAnsi="宋体" w:eastAsia="仿宋_GB2312" w:cs="仿宋"/>
          <w:sz w:val="32"/>
          <w:szCs w:val="32"/>
        </w:rPr>
        <w:t>创新演练和培训形式，丰富培训内容，进一步提升卫生应急队伍的整体业务素质以及突发事件的应急能力，加强与相关部门间的联防联控，确保各类突发公共卫生事件得到科学预防、及时处理</w:t>
      </w:r>
      <w:r>
        <w:rPr>
          <w:rFonts w:hint="eastAsia" w:ascii="仿宋_GB2312" w:hAnsi="楷体" w:eastAsia="仿宋_GB2312"/>
          <w:sz w:val="32"/>
          <w:szCs w:val="32"/>
        </w:rPr>
        <w:t>；二是完善卫生应急预案体系，增强预案的实用性和可操作性；三是积极开展应急实战演练，强化应对突发事件处置快速反应能力；四是开展继续医学教育活动，切实提高检测、流调、消杀等专业技术人员的专业技术水平。</w:t>
      </w:r>
    </w:p>
    <w:p>
      <w:pPr>
        <w:ind w:firstLine="64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.进一步加强预算前期工作及预算全过程跟踪管理，加强预算绩效管理指引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一是形成绩效管理手册或实施细则等指引文件，指导业务人员全面细化落实绩效管理工作，二是落实预算绩效管理培训工作，以业务会议、专题会议、交流学习等多方式开展预算绩效管理培训，强化预算绩效管理理念，全面开展预算绩效管理工作。</w:t>
      </w:r>
    </w:p>
    <w:p>
      <w:pPr>
        <w:pStyle w:val="3"/>
        <w:spacing w:before="0" w:after="0"/>
        <w:ind w:firstLine="640"/>
        <w:rPr>
          <w:rFonts w:ascii="黑体" w:hAnsi="黑体" w:eastAsia="黑体" w:cs="黑体"/>
          <w:b w:val="0"/>
          <w:bCs w:val="0"/>
          <w:sz w:val="32"/>
        </w:rPr>
      </w:pPr>
      <w:r>
        <w:rPr>
          <w:rFonts w:hint="eastAsia" w:ascii="黑体" w:hAnsi="黑体" w:eastAsia="黑体" w:cs="黑体"/>
          <w:b w:val="0"/>
          <w:bCs w:val="0"/>
          <w:sz w:val="32"/>
        </w:rPr>
        <w:t>四、部门整体支出绩效评价指标评分情况</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参照《部门整体支出绩效评价共性指标体系框架（2019修订）》进行自评，填报得分情况。</w:t>
      </w:r>
    </w:p>
    <w:p>
      <w:pPr>
        <w:ind w:firstLine="640"/>
        <w:rPr>
          <w:rFonts w:ascii="仿宋_GB2312" w:hAnsi="仿宋_GB2312" w:eastAsia="仿宋_GB2312" w:cs="仿宋_GB2312"/>
          <w:sz w:val="32"/>
          <w:szCs w:val="32"/>
        </w:rPr>
        <w:sectPr>
          <w:headerReference r:id="rId7" w:type="first"/>
          <w:headerReference r:id="rId5" w:type="default"/>
          <w:footerReference r:id="rId8" w:type="default"/>
          <w:headerReference r:id="rId6" w:type="even"/>
          <w:footerReference r:id="rId9" w:type="even"/>
          <w:pgSz w:w="11907" w:h="16839"/>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2"/>
        </w:rPr>
        <w:br w:type="page"/>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附件1：部门整体自评打分表</w:t>
      </w:r>
    </w:p>
    <w:tbl>
      <w:tblPr>
        <w:tblStyle w:val="13"/>
        <w:tblW w:w="14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844"/>
        <w:gridCol w:w="426"/>
        <w:gridCol w:w="844"/>
        <w:gridCol w:w="920"/>
        <w:gridCol w:w="844"/>
        <w:gridCol w:w="2648"/>
        <w:gridCol w:w="654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blHeader/>
          <w:jc w:val="center"/>
        </w:trPr>
        <w:tc>
          <w:tcPr>
            <w:tcW w:w="4304" w:type="dxa"/>
            <w:gridSpan w:val="6"/>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评价指标</w:t>
            </w:r>
          </w:p>
        </w:tc>
        <w:tc>
          <w:tcPr>
            <w:tcW w:w="2648" w:type="dxa"/>
            <w:vMerge w:val="restart"/>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指标说明</w:t>
            </w:r>
          </w:p>
        </w:tc>
        <w:tc>
          <w:tcPr>
            <w:tcW w:w="6540" w:type="dxa"/>
            <w:vMerge w:val="restart"/>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参考评分标准</w:t>
            </w:r>
          </w:p>
        </w:tc>
        <w:tc>
          <w:tcPr>
            <w:tcW w:w="1104" w:type="dxa"/>
            <w:vMerge w:val="restart"/>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kern w:val="0"/>
                <w:sz w:val="21"/>
                <w:szCs w:val="21"/>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blHeader/>
          <w:jc w:val="center"/>
        </w:trPr>
        <w:tc>
          <w:tcPr>
            <w:tcW w:w="1270" w:type="dxa"/>
            <w:gridSpan w:val="2"/>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一级指标</w:t>
            </w:r>
          </w:p>
        </w:tc>
        <w:tc>
          <w:tcPr>
            <w:tcW w:w="1270" w:type="dxa"/>
            <w:gridSpan w:val="2"/>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二级指标</w:t>
            </w:r>
          </w:p>
        </w:tc>
        <w:tc>
          <w:tcPr>
            <w:tcW w:w="1764" w:type="dxa"/>
            <w:gridSpan w:val="2"/>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三级指标</w:t>
            </w:r>
          </w:p>
        </w:tc>
        <w:tc>
          <w:tcPr>
            <w:tcW w:w="2648" w:type="dxa"/>
            <w:vMerge w:val="continue"/>
            <w:vAlign w:val="center"/>
          </w:tcPr>
          <w:p>
            <w:pPr>
              <w:adjustRightInd w:val="0"/>
              <w:snapToGrid w:val="0"/>
              <w:spacing w:line="240" w:lineRule="auto"/>
              <w:ind w:firstLine="420"/>
              <w:jc w:val="center"/>
              <w:rPr>
                <w:rFonts w:ascii="黑体" w:hAnsi="黑体" w:eastAsia="黑体"/>
                <w:kern w:val="0"/>
                <w:sz w:val="21"/>
                <w:szCs w:val="21"/>
              </w:rPr>
            </w:pPr>
          </w:p>
        </w:tc>
        <w:tc>
          <w:tcPr>
            <w:tcW w:w="6540" w:type="dxa"/>
            <w:vMerge w:val="continue"/>
            <w:vAlign w:val="center"/>
          </w:tcPr>
          <w:p>
            <w:pPr>
              <w:adjustRightInd w:val="0"/>
              <w:snapToGrid w:val="0"/>
              <w:spacing w:line="240" w:lineRule="auto"/>
              <w:ind w:firstLine="420"/>
              <w:jc w:val="center"/>
              <w:rPr>
                <w:rFonts w:ascii="黑体" w:hAnsi="黑体" w:eastAsia="黑体"/>
                <w:kern w:val="0"/>
                <w:sz w:val="21"/>
                <w:szCs w:val="21"/>
              </w:rPr>
            </w:pPr>
          </w:p>
        </w:tc>
        <w:tc>
          <w:tcPr>
            <w:tcW w:w="1104" w:type="dxa"/>
            <w:vMerge w:val="continue"/>
            <w:vAlign w:val="center"/>
          </w:tcPr>
          <w:p>
            <w:pPr>
              <w:adjustRightInd w:val="0"/>
              <w:snapToGrid w:val="0"/>
              <w:spacing w:line="240" w:lineRule="auto"/>
              <w:ind w:firstLine="420"/>
              <w:jc w:val="center"/>
              <w:rPr>
                <w:rFonts w:ascii="黑体" w:hAnsi="黑体" w:eastAsia="黑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blHeader/>
          <w:jc w:val="center"/>
        </w:trPr>
        <w:tc>
          <w:tcPr>
            <w:tcW w:w="426"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名称</w:t>
            </w:r>
          </w:p>
        </w:tc>
        <w:tc>
          <w:tcPr>
            <w:tcW w:w="844"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参考分值</w:t>
            </w:r>
          </w:p>
        </w:tc>
        <w:tc>
          <w:tcPr>
            <w:tcW w:w="426"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名称</w:t>
            </w:r>
          </w:p>
        </w:tc>
        <w:tc>
          <w:tcPr>
            <w:tcW w:w="844"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参考分值</w:t>
            </w:r>
          </w:p>
        </w:tc>
        <w:tc>
          <w:tcPr>
            <w:tcW w:w="920"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名称</w:t>
            </w:r>
          </w:p>
        </w:tc>
        <w:tc>
          <w:tcPr>
            <w:tcW w:w="844" w:type="dxa"/>
            <w:vAlign w:val="center"/>
          </w:tcPr>
          <w:p>
            <w:pPr>
              <w:widowControl/>
              <w:adjustRightInd w:val="0"/>
              <w:snapToGrid w:val="0"/>
              <w:spacing w:line="240" w:lineRule="auto"/>
              <w:ind w:firstLine="420"/>
              <w:jc w:val="center"/>
              <w:rPr>
                <w:rFonts w:ascii="黑体" w:hAnsi="黑体" w:eastAsia="黑体"/>
                <w:kern w:val="0"/>
                <w:sz w:val="21"/>
                <w:szCs w:val="21"/>
              </w:rPr>
            </w:pPr>
            <w:r>
              <w:rPr>
                <w:rFonts w:hint="eastAsia" w:ascii="黑体" w:hAnsi="黑体" w:eastAsia="黑体" w:cs="黑体"/>
                <w:kern w:val="0"/>
                <w:sz w:val="21"/>
                <w:szCs w:val="21"/>
              </w:rPr>
              <w:t>参考分值</w:t>
            </w:r>
          </w:p>
        </w:tc>
        <w:tc>
          <w:tcPr>
            <w:tcW w:w="2648" w:type="dxa"/>
            <w:vMerge w:val="continue"/>
            <w:vAlign w:val="center"/>
          </w:tcPr>
          <w:p>
            <w:pPr>
              <w:widowControl/>
              <w:adjustRightInd w:val="0"/>
              <w:snapToGrid w:val="0"/>
              <w:spacing w:line="240" w:lineRule="auto"/>
              <w:ind w:firstLine="420"/>
              <w:jc w:val="center"/>
              <w:rPr>
                <w:rFonts w:ascii="黑体" w:hAnsi="黑体" w:eastAsia="黑体"/>
                <w:kern w:val="0"/>
                <w:sz w:val="21"/>
                <w:szCs w:val="21"/>
              </w:rPr>
            </w:pPr>
          </w:p>
        </w:tc>
        <w:tc>
          <w:tcPr>
            <w:tcW w:w="6540" w:type="dxa"/>
            <w:vMerge w:val="continue"/>
            <w:vAlign w:val="center"/>
          </w:tcPr>
          <w:p>
            <w:pPr>
              <w:widowControl/>
              <w:adjustRightInd w:val="0"/>
              <w:snapToGrid w:val="0"/>
              <w:spacing w:line="240" w:lineRule="auto"/>
              <w:ind w:firstLine="420"/>
              <w:jc w:val="center"/>
              <w:rPr>
                <w:rFonts w:ascii="黑体" w:hAnsi="黑体" w:eastAsia="黑体"/>
                <w:kern w:val="0"/>
                <w:sz w:val="21"/>
                <w:szCs w:val="21"/>
              </w:rPr>
            </w:pPr>
          </w:p>
        </w:tc>
        <w:tc>
          <w:tcPr>
            <w:tcW w:w="1104" w:type="dxa"/>
            <w:vMerge w:val="continue"/>
            <w:vAlign w:val="center"/>
          </w:tcPr>
          <w:p>
            <w:pPr>
              <w:widowControl/>
              <w:adjustRightInd w:val="0"/>
              <w:snapToGrid w:val="0"/>
              <w:spacing w:line="240" w:lineRule="auto"/>
              <w:ind w:firstLine="420"/>
              <w:jc w:val="center"/>
              <w:rPr>
                <w:rFonts w:ascii="黑体" w:hAnsi="黑体" w:eastAsia="黑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blHeader/>
          <w:jc w:val="center"/>
        </w:trPr>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部门决策</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w:t>
            </w:r>
            <w:r>
              <w:rPr>
                <w:rFonts w:hint="eastAsia" w:ascii="宋体" w:hAnsi="宋体" w:cs="宋体"/>
                <w:kern w:val="0"/>
                <w:sz w:val="21"/>
                <w:szCs w:val="21"/>
              </w:rPr>
              <w:t>5</w:t>
            </w: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预算编制</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10</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预算编制合理性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5</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部门（单位）预算的合理性，即是否符合本部门职责、是否符合新区党工委管委会的方针政策和工作要求，资金有无根据项目的轻重缓急进行分配。</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部门预算编制、分配符合本部门职责、符合新区党工委管委会方针政策和工作要求（</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部门预算资金能根据年度工作重点，在不同项目、不同用途之间合理分配（</w:t>
            </w:r>
            <w:r>
              <w:rPr>
                <w:rFonts w:ascii="宋体" w:hAnsi="宋体" w:cs="宋体"/>
                <w:kern w:val="0"/>
                <w:sz w:val="21"/>
                <w:szCs w:val="21"/>
              </w:rPr>
              <w:t>1</w:t>
            </w:r>
            <w:r>
              <w:rPr>
                <w:rFonts w:hint="eastAsia" w:ascii="宋体" w:hAnsi="宋体" w:cs="宋体"/>
                <w:kern w:val="0"/>
                <w:sz w:val="21"/>
                <w:szCs w:val="21"/>
              </w:rPr>
              <w:t>分）；</w:t>
            </w:r>
            <w:r>
              <w:rPr>
                <w:rFonts w:ascii="宋体" w:hAnsi="宋体" w:cs="宋体"/>
                <w:kern w:val="0"/>
                <w:sz w:val="21"/>
                <w:szCs w:val="21"/>
              </w:rPr>
              <w:br w:type="textWrapping"/>
            </w:r>
            <w:r>
              <w:rPr>
                <w:rFonts w:ascii="宋体" w:hAnsi="宋体" w:cs="宋体"/>
                <w:kern w:val="0"/>
                <w:sz w:val="21"/>
                <w:szCs w:val="21"/>
              </w:rPr>
              <w:t xml:space="preserve">   3.</w:t>
            </w:r>
            <w:r>
              <w:rPr>
                <w:rFonts w:hint="eastAsia" w:ascii="宋体" w:hAnsi="宋体" w:cs="宋体"/>
                <w:kern w:val="0"/>
                <w:sz w:val="21"/>
                <w:szCs w:val="21"/>
              </w:rPr>
              <w:t>专项资金预算编制细化程度合理，未出现因年中调剂导致部门预决算差异过大问题（</w:t>
            </w:r>
            <w:r>
              <w:rPr>
                <w:rFonts w:ascii="宋体" w:hAnsi="宋体" w:cs="宋体"/>
                <w:kern w:val="0"/>
                <w:sz w:val="21"/>
                <w:szCs w:val="21"/>
              </w:rPr>
              <w:t>1</w:t>
            </w:r>
            <w:r>
              <w:rPr>
                <w:rFonts w:hint="eastAsia" w:ascii="宋体" w:hAnsi="宋体" w:cs="宋体"/>
                <w:kern w:val="0"/>
                <w:sz w:val="21"/>
                <w:szCs w:val="21"/>
              </w:rPr>
              <w:t>分）；</w:t>
            </w:r>
            <w:r>
              <w:rPr>
                <w:rFonts w:ascii="宋体" w:hAnsi="宋体" w:cs="宋体"/>
                <w:kern w:val="0"/>
                <w:sz w:val="21"/>
                <w:szCs w:val="21"/>
              </w:rPr>
              <w:br w:type="textWrapping"/>
            </w:r>
            <w:r>
              <w:rPr>
                <w:rFonts w:ascii="宋体" w:hAnsi="宋体" w:cs="宋体"/>
                <w:kern w:val="0"/>
                <w:sz w:val="21"/>
                <w:szCs w:val="21"/>
              </w:rPr>
              <w:t xml:space="preserve">   4.</w:t>
            </w:r>
            <w:r>
              <w:rPr>
                <w:rFonts w:hint="eastAsia" w:ascii="宋体" w:hAnsi="宋体" w:cs="宋体"/>
                <w:kern w:val="0"/>
                <w:sz w:val="21"/>
                <w:szCs w:val="21"/>
              </w:rPr>
              <w:t>功能分类和经济分类编制准确，年度中间无大量调剂，未发生项目之间频繁调剂（</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ascii="宋体" w:hAnsi="宋体" w:cs="宋体"/>
                <w:kern w:val="0"/>
                <w:sz w:val="21"/>
                <w:szCs w:val="21"/>
              </w:rPr>
              <w:t xml:space="preserve">   5.</w:t>
            </w:r>
            <w:r>
              <w:rPr>
                <w:rFonts w:hint="eastAsia" w:ascii="宋体" w:hAnsi="宋体" w:cs="宋体"/>
                <w:kern w:val="0"/>
                <w:sz w:val="21"/>
                <w:szCs w:val="21"/>
              </w:rPr>
              <w:t>部门预算分配不固化，能根据实际情况合理调整，不存在项目支出进度慢、完成率低、绩效较差，但连年持续安排预算等不合理的情况（</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预算编制规范性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5</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部门（单位）预算编制是否符合财政部门当年度关于预算编制在规范性、完整性、细化程度等方面的原则和要求。</w:t>
            </w:r>
          </w:p>
        </w:tc>
        <w:tc>
          <w:tcPr>
            <w:tcW w:w="6540" w:type="dxa"/>
            <w:vAlign w:val="center"/>
          </w:tcPr>
          <w:p>
            <w:pPr>
              <w:widowControl/>
              <w:adjustRightInd w:val="0"/>
              <w:snapToGrid w:val="0"/>
              <w:spacing w:line="240" w:lineRule="auto"/>
              <w:ind w:firstLine="315" w:firstLineChars="15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部门（单位）预算编制符合财政部门当年度关于预算编制的各项原则和要求，符合专项资金预算编制、项目库管理、新增项目事前绩效评估等要求（</w:t>
            </w:r>
            <w:r>
              <w:rPr>
                <w:rFonts w:ascii="宋体" w:hAnsi="宋体" w:cs="宋体"/>
                <w:kern w:val="0"/>
                <w:sz w:val="21"/>
                <w:szCs w:val="21"/>
              </w:rPr>
              <w:t>5</w:t>
            </w:r>
            <w:r>
              <w:rPr>
                <w:rFonts w:hint="eastAsia" w:ascii="宋体" w:hAnsi="宋体" w:cs="宋体"/>
                <w:kern w:val="0"/>
                <w:sz w:val="21"/>
                <w:szCs w:val="21"/>
              </w:rPr>
              <w:t>分）；</w:t>
            </w:r>
          </w:p>
          <w:p>
            <w:pPr>
              <w:widowControl/>
              <w:adjustRightInd w:val="0"/>
              <w:snapToGrid w:val="0"/>
              <w:spacing w:line="240" w:lineRule="auto"/>
              <w:ind w:firstLine="315" w:firstLineChars="150"/>
              <w:jc w:val="center"/>
              <w:rPr>
                <w:rFonts w:ascii="宋体" w:hAnsi="宋体"/>
                <w:kern w:val="0"/>
                <w:sz w:val="21"/>
                <w:szCs w:val="21"/>
              </w:rPr>
            </w:pPr>
            <w:r>
              <w:rPr>
                <w:rFonts w:ascii="宋体" w:hAnsi="宋体" w:cs="宋体"/>
                <w:kern w:val="0"/>
                <w:sz w:val="21"/>
                <w:szCs w:val="21"/>
              </w:rPr>
              <w:t>2.</w:t>
            </w:r>
            <w:r>
              <w:rPr>
                <w:rFonts w:hint="eastAsia" w:ascii="宋体" w:hAnsi="宋体" w:cs="宋体"/>
                <w:kern w:val="0"/>
                <w:sz w:val="21"/>
                <w:szCs w:val="21"/>
              </w:rPr>
              <w:t>发现一项不符合的扣</w:t>
            </w:r>
            <w:r>
              <w:rPr>
                <w:rFonts w:ascii="宋体" w:hAnsi="宋体" w:cs="宋体"/>
                <w:kern w:val="0"/>
                <w:sz w:val="21"/>
                <w:szCs w:val="21"/>
              </w:rPr>
              <w:t>1</w:t>
            </w:r>
            <w:r>
              <w:rPr>
                <w:rFonts w:hint="eastAsia" w:ascii="宋体" w:hAnsi="宋体" w:cs="宋体"/>
                <w:kern w:val="0"/>
                <w:sz w:val="21"/>
                <w:szCs w:val="21"/>
              </w:rPr>
              <w:t>分，扣完为止。</w:t>
            </w:r>
          </w:p>
          <w:p>
            <w:pPr>
              <w:widowControl/>
              <w:adjustRightInd w:val="0"/>
              <w:snapToGrid w:val="0"/>
              <w:spacing w:line="240" w:lineRule="auto"/>
              <w:ind w:firstLine="315" w:firstLineChars="150"/>
              <w:jc w:val="center"/>
              <w:rPr>
                <w:rFonts w:ascii="宋体" w:hAnsi="宋体"/>
                <w:kern w:val="0"/>
                <w:sz w:val="21"/>
                <w:szCs w:val="21"/>
              </w:rPr>
            </w:pPr>
            <w:r>
              <w:rPr>
                <w:rFonts w:hint="eastAsia" w:ascii="宋体" w:hAnsi="宋体" w:cs="宋体"/>
                <w:kern w:val="0"/>
                <w:sz w:val="21"/>
                <w:szCs w:val="21"/>
              </w:rPr>
              <w:t>本指标需对照相应年度由财政部门印发的部门预算编制工作方案、通知和有关制度文件，根据实际情况评分。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目标设置</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5</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绩效目标完整性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8</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部门（单位）是否按要求编报项目绩效目标，是否依据充分、内容完整、覆盖全面、符合实际。</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1.部门（单位）按要求编报部门整体和项目的绩效目标，实现绩效目标全覆盖（8分）；</w:t>
            </w:r>
          </w:p>
          <w:p>
            <w:pPr>
              <w:widowControl/>
              <w:adjustRightInd w:val="0"/>
              <w:snapToGrid w:val="0"/>
              <w:spacing w:line="240" w:lineRule="auto"/>
              <w:ind w:firstLine="315" w:firstLineChars="150"/>
              <w:jc w:val="center"/>
              <w:rPr>
                <w:rFonts w:ascii="宋体" w:hAnsi="宋体"/>
                <w:kern w:val="0"/>
                <w:sz w:val="21"/>
                <w:szCs w:val="21"/>
              </w:rPr>
            </w:pPr>
            <w:r>
              <w:rPr>
                <w:rFonts w:hint="eastAsia" w:ascii="宋体" w:hAnsi="宋体" w:cs="宋体"/>
                <w:kern w:val="0"/>
                <w:sz w:val="21"/>
                <w:szCs w:val="21"/>
              </w:rPr>
              <w:t>2.没按要求编报绩效目标或绩效目标不符合要求的，一项扣</w:t>
            </w:r>
            <w:r>
              <w:rPr>
                <w:rFonts w:ascii="宋体" w:hAnsi="宋体" w:cs="宋体"/>
                <w:kern w:val="0"/>
                <w:sz w:val="21"/>
                <w:szCs w:val="21"/>
              </w:rPr>
              <w:t>1</w:t>
            </w:r>
            <w:r>
              <w:rPr>
                <w:rFonts w:hint="eastAsia" w:ascii="宋体" w:hAnsi="宋体" w:cs="宋体"/>
                <w:kern w:val="0"/>
                <w:sz w:val="21"/>
                <w:szCs w:val="21"/>
              </w:rPr>
              <w:t>分，扣完为止。</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绩效指标明确性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7</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部门（单位）设定的绩效指标是否清晰、细化、可量化，用以反映和考核部门（单位）整体绩效目标的明细化情况。</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1.</w:t>
            </w:r>
            <w:r>
              <w:rPr>
                <w:rFonts w:hint="eastAsia" w:ascii="宋体" w:hAnsi="宋体" w:cs="宋体"/>
                <w:kern w:val="0"/>
                <w:sz w:val="21"/>
                <w:szCs w:val="21"/>
              </w:rPr>
              <w:t>绩效指标将部门整体绩效目标细化分解为具体工作任务，与部门年度任务数或计划数相对应（2分）；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2.绩效指标中包含能够明确体现部门（单位）履职效果的社会、经济、生态效益指标（2分）；</w:t>
            </w:r>
            <w:r>
              <w:rPr>
                <w:rFonts w:ascii="宋体" w:hAnsi="宋体"/>
                <w:kern w:val="0"/>
                <w:sz w:val="21"/>
                <w:szCs w:val="21"/>
              </w:rPr>
              <w:br w:type="textWrapping"/>
            </w:r>
            <w:r>
              <w:rPr>
                <w:rFonts w:hint="eastAsia" w:ascii="宋体" w:hAnsi="宋体" w:cs="宋体"/>
                <w:kern w:val="0"/>
                <w:sz w:val="21"/>
                <w:szCs w:val="21"/>
              </w:rPr>
              <w:t xml:space="preserve"> 3.绩效指标具有清晰、可衡量的指标值（</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hint="eastAsia" w:ascii="宋体" w:hAnsi="宋体" w:cs="宋体"/>
                <w:kern w:val="0"/>
                <w:sz w:val="21"/>
                <w:szCs w:val="21"/>
              </w:rPr>
              <w:t>4</w:t>
            </w:r>
            <w:r>
              <w:rPr>
                <w:rFonts w:ascii="宋体" w:hAnsi="宋体" w:cs="宋体"/>
                <w:kern w:val="0"/>
                <w:sz w:val="21"/>
                <w:szCs w:val="21"/>
              </w:rPr>
              <w:t>.</w:t>
            </w:r>
            <w:r>
              <w:rPr>
                <w:rFonts w:hint="eastAsia" w:ascii="宋体" w:hAnsi="宋体" w:cs="宋体"/>
                <w:kern w:val="0"/>
                <w:sz w:val="21"/>
                <w:szCs w:val="21"/>
              </w:rPr>
              <w:t>绩效指标包含可量化的指标（</w:t>
            </w:r>
            <w:r>
              <w:rPr>
                <w:rFonts w:ascii="宋体" w:hAnsi="宋体" w:cs="宋体"/>
                <w:kern w:val="0"/>
                <w:sz w:val="21"/>
                <w:szCs w:val="21"/>
              </w:rPr>
              <w:t>1</w:t>
            </w:r>
            <w:r>
              <w:rPr>
                <w:rFonts w:hint="eastAsia" w:ascii="宋体" w:hAnsi="宋体" w:cs="宋体"/>
                <w:kern w:val="0"/>
                <w:sz w:val="21"/>
                <w:szCs w:val="21"/>
              </w:rPr>
              <w:t>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5</w:t>
            </w:r>
            <w:r>
              <w:rPr>
                <w:rFonts w:ascii="宋体" w:hAnsi="宋体" w:cs="宋体"/>
                <w:kern w:val="0"/>
                <w:sz w:val="21"/>
                <w:szCs w:val="21"/>
              </w:rPr>
              <w:t>.</w:t>
            </w:r>
            <w:r>
              <w:rPr>
                <w:rFonts w:hint="eastAsia" w:ascii="宋体" w:hAnsi="宋体" w:cs="宋体"/>
                <w:kern w:val="0"/>
                <w:sz w:val="21"/>
                <w:szCs w:val="21"/>
              </w:rPr>
              <w:t>绩效目标的目标值测算能提供相关依据或符合客观实际情况（</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blHeader/>
          <w:jc w:val="center"/>
        </w:trPr>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部门管理</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20</w:t>
            </w: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资金管理</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8</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政府采购执行情况</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部门（单位）本年度实际政府采购金额与年度政府采购预算的比率，用以反映和考核部门（单位）政府采购预算执行情况；政府采购政策功能的执行和落实情况。</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1.政府采购执行率得分</w:t>
            </w:r>
            <w:r>
              <w:rPr>
                <w:rFonts w:ascii="宋体" w:hAnsi="宋体" w:cs="宋体"/>
                <w:kern w:val="0"/>
                <w:sz w:val="21"/>
                <w:szCs w:val="21"/>
              </w:rPr>
              <w:t>=</w:t>
            </w:r>
            <w:r>
              <w:rPr>
                <w:rFonts w:hint="eastAsia" w:ascii="宋体" w:hAnsi="宋体" w:cs="宋体"/>
                <w:kern w:val="0"/>
                <w:sz w:val="21"/>
                <w:szCs w:val="21"/>
              </w:rPr>
              <w:t>政府采购执行率×1分</w:t>
            </w:r>
            <w:r>
              <w:rPr>
                <w:rFonts w:ascii="宋体" w:hAnsi="宋体"/>
                <w:kern w:val="0"/>
                <w:sz w:val="21"/>
                <w:szCs w:val="21"/>
              </w:rPr>
              <w:br w:type="textWrapping"/>
            </w:r>
            <w:r>
              <w:rPr>
                <w:rFonts w:hint="eastAsia" w:ascii="宋体" w:hAnsi="宋体" w:cs="宋体"/>
                <w:kern w:val="0"/>
                <w:sz w:val="21"/>
                <w:szCs w:val="21"/>
              </w:rPr>
              <w:t>政府采购执行率</w:t>
            </w:r>
            <w:r>
              <w:rPr>
                <w:rFonts w:ascii="宋体" w:hAnsi="宋体" w:cs="宋体"/>
                <w:kern w:val="0"/>
                <w:sz w:val="21"/>
                <w:szCs w:val="21"/>
              </w:rPr>
              <w:t>=</w:t>
            </w:r>
            <w:r>
              <w:rPr>
                <w:rFonts w:hint="eastAsia" w:ascii="宋体" w:hAnsi="宋体" w:cs="宋体"/>
                <w:kern w:val="0"/>
                <w:sz w:val="21"/>
                <w:szCs w:val="21"/>
              </w:rPr>
              <w:t>（实际采购金额合计数</w:t>
            </w:r>
            <w:r>
              <w:rPr>
                <w:rFonts w:ascii="宋体" w:hAnsi="宋体" w:cs="宋体"/>
                <w:kern w:val="0"/>
                <w:sz w:val="21"/>
                <w:szCs w:val="21"/>
              </w:rPr>
              <w:t>/</w:t>
            </w:r>
            <w:r>
              <w:rPr>
                <w:rFonts w:hint="eastAsia" w:ascii="宋体" w:hAnsi="宋体" w:cs="宋体"/>
                <w:kern w:val="0"/>
                <w:sz w:val="21"/>
                <w:szCs w:val="21"/>
              </w:rPr>
              <w:t>采购计划金额合计数）×</w:t>
            </w:r>
            <w:r>
              <w:rPr>
                <w:rFonts w:ascii="宋体" w:hAnsi="宋体" w:cs="宋体"/>
                <w:kern w:val="0"/>
                <w:sz w:val="21"/>
                <w:szCs w:val="21"/>
              </w:rPr>
              <w:t>100%</w:t>
            </w:r>
            <w:r>
              <w:rPr>
                <w:rFonts w:ascii="宋体" w:hAnsi="宋体" w:cs="宋体"/>
                <w:kern w:val="0"/>
                <w:sz w:val="21"/>
                <w:szCs w:val="21"/>
              </w:rPr>
              <w:br w:type="textWrapping"/>
            </w:r>
            <w:r>
              <w:rPr>
                <w:rFonts w:hint="eastAsia" w:ascii="宋体" w:hAnsi="宋体" w:cs="宋体"/>
                <w:kern w:val="0"/>
                <w:sz w:val="21"/>
                <w:szCs w:val="21"/>
              </w:rPr>
              <w:t>如实际采购金额大于采购计划金额，本项得0分。</w:t>
            </w:r>
            <w:r>
              <w:rPr>
                <w:rFonts w:ascii="宋体" w:hAnsi="宋体"/>
                <w:kern w:val="0"/>
                <w:sz w:val="21"/>
                <w:szCs w:val="21"/>
              </w:rPr>
              <w:br w:type="textWrapping"/>
            </w:r>
            <w:r>
              <w:rPr>
                <w:rFonts w:hint="eastAsia" w:ascii="宋体" w:hAnsi="宋体" w:cs="宋体"/>
                <w:kern w:val="0"/>
                <w:sz w:val="21"/>
                <w:szCs w:val="21"/>
              </w:rPr>
              <w:t>政府采购预算是指采购机关根据事业发展计划和行政任务编制的</w:t>
            </w:r>
            <w:r>
              <w:rPr>
                <w:rFonts w:hint="eastAsia" w:ascii="宋体" w:hAnsi="宋体" w:cs="宋体"/>
                <w:kern w:val="0"/>
                <w:sz w:val="21"/>
                <w:szCs w:val="21"/>
                <w:lang w:eastAsia="zh-CN"/>
              </w:rPr>
              <w:t>，</w:t>
            </w:r>
            <w:bookmarkStart w:id="0" w:name="_GoBack"/>
            <w:bookmarkEnd w:id="0"/>
            <w:r>
              <w:rPr>
                <w:rFonts w:hint="eastAsia" w:ascii="宋体" w:hAnsi="宋体" w:cs="宋体"/>
                <w:kern w:val="0"/>
                <w:sz w:val="21"/>
                <w:szCs w:val="21"/>
              </w:rPr>
              <w:t>并经过规定程序批准的年度政府采购计划。</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2.政府采购政策功能的执行和落实情况（1分），落实不到位的酌情扣分。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财务合规性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w:t>
            </w:r>
          </w:p>
        </w:tc>
        <w:tc>
          <w:tcPr>
            <w:tcW w:w="2648"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1.</w:t>
            </w:r>
            <w:r>
              <w:rPr>
                <w:rFonts w:hint="eastAsia" w:ascii="宋体" w:hAnsi="宋体" w:cs="宋体"/>
                <w:kern w:val="0"/>
                <w:sz w:val="21"/>
                <w:szCs w:val="21"/>
              </w:rPr>
              <w:t>资金支出规范性（1分）。资金管理、费用标准、支付符合有关制度规定，按事项完成进度支付资金的，得1分，否则酌情扣分。</w:t>
            </w:r>
            <w:r>
              <w:rPr>
                <w:rFonts w:ascii="宋体" w:hAnsi="宋体"/>
                <w:kern w:val="0"/>
                <w:sz w:val="21"/>
                <w:szCs w:val="21"/>
              </w:rPr>
              <w:br w:type="textWrapping"/>
            </w:r>
            <w:r>
              <w:rPr>
                <w:rFonts w:hint="eastAsia" w:ascii="宋体" w:hAnsi="宋体" w:cs="宋体"/>
                <w:kern w:val="0"/>
                <w:sz w:val="21"/>
                <w:szCs w:val="21"/>
              </w:rPr>
              <w:t>2.资金调整、调剂规范性（1分）。调整、调剂资金累计在本单位部门预算总规模10%以内的，得1分；超出10%的，超出一个百分点扣0.1分，直至1分扣完为止。</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3.会计核算规范性（1分）。规范执行会计核算制度得1分，未按规定设专账核算、支出凭证不符合规定或其他核算不规范，酌情扣分。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4.发生超范围、超标准支出，虚列支出，截留、挤占、挪用资金的，以及其他不符合制度规定支出，本项指标得0分。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预决算信息公开</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部门（单位）在被评价年度是否按照政府信息公开有关规定公开相关预决算信息，用以反映部门（单位）预决算管理的公开透明情况。</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1.</w:t>
            </w:r>
            <w:r>
              <w:rPr>
                <w:rFonts w:hint="eastAsia" w:ascii="宋体" w:hAnsi="宋体" w:cs="宋体"/>
                <w:kern w:val="0"/>
                <w:sz w:val="21"/>
                <w:szCs w:val="21"/>
              </w:rPr>
              <w:t>部门预算公开（1.5分），按以下标准分档计分：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）按规定内容、时限、范围等各项要求进行公开的，得1.5分。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2</w:t>
            </w:r>
            <w:r>
              <w:rPr>
                <w:rFonts w:hint="eastAsia" w:ascii="宋体" w:hAnsi="宋体" w:cs="宋体"/>
                <w:kern w:val="0"/>
                <w:sz w:val="21"/>
                <w:szCs w:val="21"/>
              </w:rPr>
              <w:t>）进行了公开，存在不符合时限、内容、范围等要求的，得</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3</w:t>
            </w:r>
            <w:r>
              <w:rPr>
                <w:rFonts w:hint="eastAsia" w:ascii="宋体" w:hAnsi="宋体" w:cs="宋体"/>
                <w:kern w:val="0"/>
                <w:sz w:val="21"/>
                <w:szCs w:val="21"/>
              </w:rPr>
              <w:t>）没有进行公开的，得</w:t>
            </w:r>
            <w:r>
              <w:rPr>
                <w:rFonts w:ascii="宋体" w:hAnsi="宋体" w:cs="宋体"/>
                <w:kern w:val="0"/>
                <w:sz w:val="21"/>
                <w:szCs w:val="21"/>
              </w:rPr>
              <w:t>0</w:t>
            </w:r>
            <w:r>
              <w:rPr>
                <w:rFonts w:hint="eastAsia" w:ascii="宋体" w:hAnsi="宋体" w:cs="宋体"/>
                <w:kern w:val="0"/>
                <w:sz w:val="21"/>
                <w:szCs w:val="21"/>
              </w:rPr>
              <w:t>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部门决算公开（1.5分），按以下标准分档计分：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）按规定内容、时限、范围等各项要求进行公开的，得1.5分。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2</w:t>
            </w:r>
            <w:r>
              <w:rPr>
                <w:rFonts w:hint="eastAsia" w:ascii="宋体" w:hAnsi="宋体" w:cs="宋体"/>
                <w:kern w:val="0"/>
                <w:sz w:val="21"/>
                <w:szCs w:val="21"/>
              </w:rPr>
              <w:t>）进行了公开，存在不符合时限、内容、范围等要求的，得</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hint="eastAsia" w:ascii="宋体" w:hAnsi="宋体" w:cs="宋体"/>
                <w:kern w:val="0"/>
                <w:sz w:val="21"/>
                <w:szCs w:val="21"/>
              </w:rPr>
              <w:t>（</w:t>
            </w:r>
            <w:r>
              <w:rPr>
                <w:rFonts w:ascii="宋体" w:hAnsi="宋体" w:cs="宋体"/>
                <w:kern w:val="0"/>
                <w:sz w:val="21"/>
                <w:szCs w:val="21"/>
              </w:rPr>
              <w:t>3</w:t>
            </w:r>
            <w:r>
              <w:rPr>
                <w:rFonts w:hint="eastAsia" w:ascii="宋体" w:hAnsi="宋体" w:cs="宋体"/>
                <w:kern w:val="0"/>
                <w:sz w:val="21"/>
                <w:szCs w:val="21"/>
              </w:rPr>
              <w:t>）没有进行公开的，得</w:t>
            </w:r>
            <w:r>
              <w:rPr>
                <w:rFonts w:ascii="宋体" w:hAnsi="宋体" w:cs="宋体"/>
                <w:kern w:val="0"/>
                <w:sz w:val="21"/>
                <w:szCs w:val="21"/>
              </w:rPr>
              <w:t>0</w:t>
            </w:r>
            <w:r>
              <w:rPr>
                <w:rFonts w:hint="eastAsia" w:ascii="宋体" w:hAnsi="宋体" w:cs="宋体"/>
                <w:kern w:val="0"/>
                <w:sz w:val="21"/>
                <w:szCs w:val="21"/>
              </w:rPr>
              <w:t>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3.涉密部门（单位）按规定不需要公开相关预决算信息的直接得分。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项目管理</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4</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项目实施程序</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部门（单位）所有项目支出实施过程是否规范，包括是否符合申报条件；申报、批复程序是否符合相关管理办法；项目招投标、调整、完成验收等是否履行相应手续等。</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项目的设立、调整按规定履行报批程序（</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项目招投标、建设、验收以及方案实施均严格执行相关制度规定（</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项目</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监管</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2</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部门（单位）对所实施项目（包括部门主管的专项资金和专项经费分配给新区实施的项目）的检查、监控、督促整改等管理情况。</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资金使用单位、基层资金管理单位建立有效资金管理和绩效运行监控机制，且执行情况良好（1分）；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各主管部门按规定对主管的财政资金（含专项资金和专项经费）开展有效的检查、监控、督促整改（1分），如无法提供开展检查监督相关证明材料，或被评价年度部门主管的专项资金绩效评价结果为差的，得0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资产管理</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资产管理安全性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部门（单位）的资产是否保存完整、使用合规、配置合理、处置规范、收入及时足额上缴，用于反映和考核部门（单位）资产安全运行情况。</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资产配置合理、保管完整，账实相符（</w:t>
            </w:r>
            <w:r>
              <w:rPr>
                <w:rFonts w:ascii="宋体" w:hAnsi="宋体" w:cs="宋体"/>
                <w:kern w:val="0"/>
                <w:sz w:val="21"/>
                <w:szCs w:val="21"/>
              </w:rPr>
              <w:t>1</w:t>
            </w:r>
            <w:r>
              <w:rPr>
                <w:rFonts w:hint="eastAsia" w:ascii="宋体" w:hAnsi="宋体" w:cs="宋体"/>
                <w:kern w:val="0"/>
                <w:sz w:val="21"/>
                <w:szCs w:val="21"/>
              </w:rPr>
              <w:t>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资产处置规范，有偿使用及处置收入及时足额上缴（</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固定资产利用率</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1</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部门（单位）实际在用固定资产总额与所有固定资产总额的比例，用以反映和考核部门（单位）固定资产使用效率程度。</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固定资产利用率=（实际在用固定资产总额/所有固定资产总额）×</w:t>
            </w:r>
            <w:r>
              <w:rPr>
                <w:rFonts w:ascii="宋体" w:hAnsi="宋体" w:cs="宋体"/>
                <w:kern w:val="0"/>
                <w:sz w:val="21"/>
                <w:szCs w:val="21"/>
              </w:rPr>
              <w:t>100%</w:t>
            </w:r>
          </w:p>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固定资产利用率≥</w:t>
            </w:r>
            <w:r>
              <w:rPr>
                <w:rFonts w:ascii="宋体" w:hAnsi="宋体" w:cs="宋体"/>
                <w:kern w:val="0"/>
                <w:sz w:val="21"/>
                <w:szCs w:val="21"/>
              </w:rPr>
              <w:t>90%</w:t>
            </w:r>
            <w:r>
              <w:rPr>
                <w:rFonts w:hint="eastAsia" w:ascii="宋体" w:hAnsi="宋体" w:cs="宋体"/>
                <w:kern w:val="0"/>
                <w:sz w:val="21"/>
                <w:szCs w:val="21"/>
              </w:rPr>
              <w:t>的，得1分；</w:t>
            </w:r>
            <w:r>
              <w:rPr>
                <w:rFonts w:ascii="宋体" w:hAnsi="宋体"/>
                <w:kern w:val="0"/>
                <w:sz w:val="21"/>
                <w:szCs w:val="21"/>
              </w:rPr>
              <w:br w:type="textWrapping"/>
            </w:r>
            <w:r>
              <w:rPr>
                <w:rFonts w:ascii="宋体" w:hAnsi="宋体" w:cs="宋体"/>
                <w:kern w:val="0"/>
                <w:sz w:val="21"/>
                <w:szCs w:val="21"/>
              </w:rPr>
              <w:t xml:space="preserve">    2.90%</w:t>
            </w:r>
            <w:r>
              <w:rPr>
                <w:rFonts w:hint="eastAsia" w:ascii="宋体" w:hAnsi="宋体" w:cs="宋体"/>
                <w:kern w:val="0"/>
                <w:sz w:val="21"/>
                <w:szCs w:val="21"/>
              </w:rPr>
              <w:t>＞固定资产利用率≥</w:t>
            </w:r>
            <w:r>
              <w:rPr>
                <w:rFonts w:ascii="宋体" w:hAnsi="宋体" w:cs="宋体"/>
                <w:kern w:val="0"/>
                <w:sz w:val="21"/>
                <w:szCs w:val="21"/>
              </w:rPr>
              <w:t>75%</w:t>
            </w:r>
            <w:r>
              <w:rPr>
                <w:rFonts w:hint="eastAsia" w:ascii="宋体" w:hAnsi="宋体" w:cs="宋体"/>
                <w:kern w:val="0"/>
                <w:sz w:val="21"/>
                <w:szCs w:val="21"/>
              </w:rPr>
              <w:t>的，得0.7分；</w:t>
            </w:r>
            <w:r>
              <w:rPr>
                <w:rFonts w:ascii="宋体" w:hAnsi="宋体"/>
                <w:kern w:val="0"/>
                <w:sz w:val="21"/>
                <w:szCs w:val="21"/>
              </w:rPr>
              <w:br w:type="textWrapping"/>
            </w:r>
            <w:r>
              <w:rPr>
                <w:rFonts w:ascii="宋体" w:hAnsi="宋体" w:cs="宋体"/>
                <w:kern w:val="0"/>
                <w:sz w:val="21"/>
                <w:szCs w:val="21"/>
              </w:rPr>
              <w:t xml:space="preserve">    3.75%</w:t>
            </w:r>
            <w:r>
              <w:rPr>
                <w:rFonts w:hint="eastAsia" w:ascii="宋体" w:hAnsi="宋体" w:cs="宋体"/>
                <w:kern w:val="0"/>
                <w:sz w:val="21"/>
                <w:szCs w:val="21"/>
              </w:rPr>
              <w:t>＞固定资产利用率≥</w:t>
            </w:r>
            <w:r>
              <w:rPr>
                <w:rFonts w:ascii="宋体" w:hAnsi="宋体" w:cs="宋体"/>
                <w:kern w:val="0"/>
                <w:sz w:val="21"/>
                <w:szCs w:val="21"/>
              </w:rPr>
              <w:t>60%</w:t>
            </w:r>
            <w:r>
              <w:rPr>
                <w:rFonts w:hint="eastAsia" w:ascii="宋体" w:hAnsi="宋体" w:cs="宋体"/>
                <w:kern w:val="0"/>
                <w:sz w:val="21"/>
                <w:szCs w:val="21"/>
              </w:rPr>
              <w:t>的，得</w:t>
            </w:r>
            <w:r>
              <w:rPr>
                <w:rFonts w:ascii="宋体" w:hAnsi="宋体" w:cs="宋体"/>
                <w:kern w:val="0"/>
                <w:sz w:val="21"/>
                <w:szCs w:val="21"/>
              </w:rPr>
              <w:t>0.</w:t>
            </w:r>
            <w:r>
              <w:rPr>
                <w:rFonts w:hint="eastAsia" w:ascii="宋体" w:hAnsi="宋体" w:cs="宋体"/>
                <w:kern w:val="0"/>
                <w:sz w:val="21"/>
                <w:szCs w:val="21"/>
              </w:rPr>
              <w:t>4分；</w:t>
            </w:r>
            <w:r>
              <w:rPr>
                <w:rFonts w:ascii="宋体" w:hAnsi="宋体"/>
                <w:kern w:val="0"/>
                <w:sz w:val="21"/>
                <w:szCs w:val="21"/>
              </w:rPr>
              <w:br w:type="textWrapping"/>
            </w:r>
            <w:r>
              <w:rPr>
                <w:rFonts w:ascii="宋体" w:hAnsi="宋体" w:cs="宋体"/>
                <w:kern w:val="0"/>
                <w:sz w:val="21"/>
                <w:szCs w:val="21"/>
              </w:rPr>
              <w:t xml:space="preserve">    4.</w:t>
            </w:r>
            <w:r>
              <w:rPr>
                <w:rFonts w:hint="eastAsia" w:ascii="宋体" w:hAnsi="宋体" w:cs="宋体"/>
                <w:kern w:val="0"/>
                <w:sz w:val="21"/>
                <w:szCs w:val="21"/>
              </w:rPr>
              <w:t>固定资产利用率＜</w:t>
            </w:r>
            <w:r>
              <w:rPr>
                <w:rFonts w:ascii="宋体" w:hAnsi="宋体" w:cs="宋体"/>
                <w:kern w:val="0"/>
                <w:sz w:val="21"/>
                <w:szCs w:val="21"/>
              </w:rPr>
              <w:t>60%</w:t>
            </w:r>
            <w:r>
              <w:rPr>
                <w:rFonts w:hint="eastAsia" w:ascii="宋体" w:hAnsi="宋体" w:cs="宋体"/>
                <w:kern w:val="0"/>
                <w:sz w:val="21"/>
                <w:szCs w:val="21"/>
              </w:rPr>
              <w:t>的，得</w:t>
            </w:r>
            <w:r>
              <w:rPr>
                <w:rFonts w:ascii="宋体" w:hAnsi="宋体" w:cs="宋体"/>
                <w:kern w:val="0"/>
                <w:sz w:val="21"/>
                <w:szCs w:val="21"/>
              </w:rPr>
              <w:t>0</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人员管理</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2</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财政供养人员控制率</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部门（单位）本年度在编人数（含工勤人员）与核定编制数（含工勤人员）的比率。</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财政供养人员控制率=本年度在编人数（含工勤人员）/核定编制数（含工勤人员）</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1.财政供养人员控制率≤</w:t>
            </w:r>
            <w:r>
              <w:rPr>
                <w:rFonts w:ascii="宋体" w:hAnsi="宋体" w:cs="宋体"/>
                <w:kern w:val="0"/>
                <w:sz w:val="21"/>
                <w:szCs w:val="21"/>
              </w:rPr>
              <w:t>100%</w:t>
            </w:r>
            <w:r>
              <w:rPr>
                <w:rFonts w:hint="eastAsia" w:ascii="宋体" w:hAnsi="宋体" w:cs="宋体"/>
                <w:kern w:val="0"/>
                <w:sz w:val="21"/>
                <w:szCs w:val="21"/>
              </w:rPr>
              <w:t>的，得1分；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kern w:val="0"/>
                <w:sz w:val="21"/>
                <w:szCs w:val="21"/>
              </w:rPr>
              <w:t>2.</w:t>
            </w:r>
            <w:r>
              <w:rPr>
                <w:rFonts w:hint="eastAsia" w:ascii="宋体" w:hAnsi="宋体" w:cs="宋体"/>
                <w:kern w:val="0"/>
                <w:sz w:val="21"/>
                <w:szCs w:val="21"/>
              </w:rPr>
              <w:t>财政供养人员控制率＞</w:t>
            </w:r>
            <w:r>
              <w:rPr>
                <w:rFonts w:ascii="宋体" w:hAnsi="宋体" w:cs="宋体"/>
                <w:kern w:val="0"/>
                <w:sz w:val="21"/>
                <w:szCs w:val="21"/>
              </w:rPr>
              <w:t>100%</w:t>
            </w:r>
            <w:r>
              <w:rPr>
                <w:rFonts w:hint="eastAsia" w:ascii="宋体" w:hAnsi="宋体" w:cs="宋体"/>
                <w:kern w:val="0"/>
                <w:sz w:val="21"/>
                <w:szCs w:val="21"/>
              </w:rPr>
              <w:t>的，得0分。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编外人员控制率</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1</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部门（单位）本年度使用劳务派遣人员数量（含直接聘用的编外人员）与在职人员总数（在编</w:t>
            </w:r>
            <w:r>
              <w:rPr>
                <w:rFonts w:ascii="宋体" w:hAnsi="宋体" w:cs="宋体"/>
                <w:kern w:val="0"/>
                <w:sz w:val="21"/>
                <w:szCs w:val="21"/>
              </w:rPr>
              <w:t>+</w:t>
            </w:r>
            <w:r>
              <w:rPr>
                <w:rFonts w:hint="eastAsia" w:ascii="宋体" w:hAnsi="宋体" w:cs="宋体"/>
                <w:kern w:val="0"/>
                <w:sz w:val="21"/>
                <w:szCs w:val="21"/>
              </w:rPr>
              <w:t>编外）的比率。</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比率＜</w:t>
            </w:r>
            <w:r>
              <w:rPr>
                <w:rFonts w:ascii="宋体" w:hAnsi="宋体" w:cs="宋体"/>
                <w:kern w:val="0"/>
                <w:sz w:val="21"/>
                <w:szCs w:val="21"/>
              </w:rPr>
              <w:t>5%</w:t>
            </w:r>
            <w:r>
              <w:rPr>
                <w:rFonts w:hint="eastAsia" w:ascii="宋体" w:hAnsi="宋体" w:cs="宋体"/>
                <w:kern w:val="0"/>
                <w:sz w:val="21"/>
                <w:szCs w:val="21"/>
              </w:rPr>
              <w:t>的，得1分；</w:t>
            </w:r>
          </w:p>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2.5%</w:t>
            </w:r>
            <w:r>
              <w:rPr>
                <w:rFonts w:hint="eastAsia" w:ascii="宋体" w:hAnsi="宋体" w:cs="宋体"/>
                <w:kern w:val="0"/>
                <w:sz w:val="21"/>
                <w:szCs w:val="21"/>
              </w:rPr>
              <w:t>≤比率≤</w:t>
            </w:r>
            <w:r>
              <w:rPr>
                <w:rFonts w:ascii="宋体" w:hAnsi="宋体" w:cs="宋体"/>
                <w:kern w:val="0"/>
                <w:sz w:val="21"/>
                <w:szCs w:val="21"/>
              </w:rPr>
              <w:t>10%</w:t>
            </w:r>
            <w:r>
              <w:rPr>
                <w:rFonts w:hint="eastAsia" w:ascii="宋体" w:hAnsi="宋体" w:cs="宋体"/>
                <w:kern w:val="0"/>
                <w:sz w:val="21"/>
                <w:szCs w:val="21"/>
              </w:rPr>
              <w:t>的，得0.5分；</w:t>
            </w:r>
            <w:r>
              <w:rPr>
                <w:rFonts w:ascii="宋体" w:hAnsi="宋体"/>
                <w:kern w:val="0"/>
                <w:sz w:val="21"/>
                <w:szCs w:val="21"/>
              </w:rPr>
              <w:br w:type="textWrapping"/>
            </w:r>
            <w:r>
              <w:rPr>
                <w:rFonts w:ascii="宋体" w:hAnsi="宋体" w:cs="宋体"/>
                <w:kern w:val="0"/>
                <w:sz w:val="21"/>
                <w:szCs w:val="21"/>
              </w:rPr>
              <w:t xml:space="preserve">    3.</w:t>
            </w:r>
            <w:r>
              <w:rPr>
                <w:rFonts w:hint="eastAsia" w:ascii="宋体" w:hAnsi="宋体" w:cs="宋体"/>
                <w:kern w:val="0"/>
                <w:sz w:val="21"/>
                <w:szCs w:val="21"/>
              </w:rPr>
              <w:t>比率＞</w:t>
            </w:r>
            <w:r>
              <w:rPr>
                <w:rFonts w:ascii="宋体" w:hAnsi="宋体" w:cs="宋体"/>
                <w:kern w:val="0"/>
                <w:sz w:val="21"/>
                <w:szCs w:val="21"/>
              </w:rPr>
              <w:t>10%</w:t>
            </w:r>
            <w:r>
              <w:rPr>
                <w:rFonts w:hint="eastAsia" w:ascii="宋体" w:hAnsi="宋体" w:cs="宋体"/>
                <w:kern w:val="0"/>
                <w:sz w:val="21"/>
                <w:szCs w:val="21"/>
              </w:rPr>
              <w:t>的，得</w:t>
            </w:r>
            <w:r>
              <w:rPr>
                <w:rFonts w:ascii="宋体" w:hAnsi="宋体" w:cs="宋体"/>
                <w:kern w:val="0"/>
                <w:sz w:val="21"/>
                <w:szCs w:val="21"/>
              </w:rPr>
              <w:t>0</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制度管理</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管理制度健全性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3</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部门（单位）制定了相应的预算资金、财务管理和预算绩效管理等制度并严格执行，用以反映部门（单位）的管理制度对其完成主要职责和促进事业发展的保障情况。</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部门制定了财政资金管理、财务管理、内部控制等制度（0.5分）；</w:t>
            </w:r>
            <w:r>
              <w:rPr>
                <w:rFonts w:ascii="宋体" w:hAnsi="宋体"/>
                <w:kern w:val="0"/>
                <w:sz w:val="21"/>
                <w:szCs w:val="21"/>
              </w:rPr>
              <w:br w:type="textWrapping"/>
            </w:r>
            <w:r>
              <w:rPr>
                <w:rFonts w:ascii="宋体" w:hAnsi="宋体" w:cs="宋体"/>
                <w:kern w:val="0"/>
                <w:sz w:val="21"/>
                <w:szCs w:val="21"/>
              </w:rPr>
              <w:t>2.</w:t>
            </w:r>
            <w:r>
              <w:rPr>
                <w:rFonts w:hint="eastAsia" w:ascii="宋体" w:hAnsi="宋体" w:cs="宋体"/>
                <w:kern w:val="0"/>
                <w:sz w:val="21"/>
                <w:szCs w:val="21"/>
              </w:rPr>
              <w:t>上述财政资金管理、财务管理、内部控制等制度得到有效执行（1.5分）；</w:t>
            </w:r>
            <w:r>
              <w:rPr>
                <w:rFonts w:ascii="宋体" w:hAnsi="宋体"/>
                <w:kern w:val="0"/>
                <w:sz w:val="21"/>
                <w:szCs w:val="21"/>
              </w:rPr>
              <w:br w:type="textWrapping"/>
            </w:r>
            <w:r>
              <w:rPr>
                <w:rFonts w:ascii="宋体" w:hAnsi="宋体" w:cs="宋体"/>
                <w:kern w:val="0"/>
                <w:sz w:val="21"/>
                <w:szCs w:val="21"/>
              </w:rPr>
              <w:t xml:space="preserve">    3.</w:t>
            </w:r>
            <w:r>
              <w:rPr>
                <w:rFonts w:hint="eastAsia" w:ascii="宋体" w:hAnsi="宋体" w:cs="宋体"/>
                <w:kern w:val="0"/>
                <w:sz w:val="21"/>
                <w:szCs w:val="21"/>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jc w:val="center"/>
        </w:trPr>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部门绩效</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5</w:t>
            </w:r>
            <w:r>
              <w:rPr>
                <w:rFonts w:hint="eastAsia" w:ascii="宋体" w:hAnsi="宋体" w:cs="宋体"/>
                <w:kern w:val="0"/>
                <w:sz w:val="21"/>
                <w:szCs w:val="21"/>
              </w:rPr>
              <w:t>5</w:t>
            </w:r>
          </w:p>
        </w:tc>
        <w:tc>
          <w:tcPr>
            <w:tcW w:w="426"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经济性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6</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公用经费控制率</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6</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部门（单位）本年度实际支出的公用经费总额与预算安排的公用经费总额的比率，用以反映和考核部门（单位）对机构运转成本的实际控制程度。</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1.</w:t>
            </w:r>
            <w:r>
              <w:rPr>
                <w:rFonts w:hint="eastAsia" w:ascii="宋体" w:hAnsi="宋体" w:cs="宋体"/>
                <w:kern w:val="0"/>
                <w:sz w:val="21"/>
                <w:szCs w:val="21"/>
              </w:rPr>
              <w:t>“三公”经费控制率=“三公”经费实际支出数/“三公”经费预算安排数×</w:t>
            </w:r>
            <w:r>
              <w:rPr>
                <w:rFonts w:ascii="宋体" w:hAnsi="宋体" w:cs="宋体"/>
                <w:kern w:val="0"/>
                <w:sz w:val="21"/>
                <w:szCs w:val="21"/>
              </w:rPr>
              <w:t>100%</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cs="宋体"/>
                <w:kern w:val="0"/>
                <w:sz w:val="21"/>
                <w:szCs w:val="21"/>
              </w:rPr>
              <w:t>（1）“三公”经费控制率＜90%的，得3分；</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cs="宋体"/>
                <w:kern w:val="0"/>
                <w:sz w:val="21"/>
                <w:szCs w:val="21"/>
              </w:rPr>
              <w:t>（2）90%≤“三公”经费控制率≤100%的，得2分；</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kern w:val="0"/>
                <w:sz w:val="21"/>
                <w:szCs w:val="21"/>
              </w:rPr>
              <w:t>（3）</w:t>
            </w:r>
            <w:r>
              <w:rPr>
                <w:rFonts w:hint="eastAsia" w:ascii="宋体" w:hAnsi="宋体" w:cs="宋体"/>
                <w:kern w:val="0"/>
                <w:sz w:val="21"/>
                <w:szCs w:val="21"/>
              </w:rPr>
              <w:t>“三公”经费控制率＞100%的，得0分。</w:t>
            </w:r>
            <w:r>
              <w:rPr>
                <w:rFonts w:ascii="宋体" w:hAnsi="宋体"/>
                <w:kern w:val="0"/>
                <w:sz w:val="21"/>
                <w:szCs w:val="21"/>
              </w:rPr>
              <w:br w:type="textWrapping"/>
            </w:r>
            <w:r>
              <w:rPr>
                <w:rFonts w:ascii="宋体" w:hAnsi="宋体" w:cs="宋体"/>
                <w:kern w:val="0"/>
                <w:sz w:val="21"/>
                <w:szCs w:val="21"/>
              </w:rPr>
              <w:t xml:space="preserve">    2.</w:t>
            </w:r>
            <w:r>
              <w:rPr>
                <w:rFonts w:hint="eastAsia" w:ascii="宋体" w:hAnsi="宋体" w:cs="宋体"/>
                <w:kern w:val="0"/>
                <w:sz w:val="21"/>
                <w:szCs w:val="21"/>
              </w:rPr>
              <w:t xml:space="preserve"> 日常公用经费控制率=日常公用经费决算数/日常公用经费调整预算数×</w:t>
            </w:r>
            <w:r>
              <w:rPr>
                <w:rFonts w:ascii="宋体" w:hAnsi="宋体" w:cs="宋体"/>
                <w:kern w:val="0"/>
                <w:sz w:val="21"/>
                <w:szCs w:val="21"/>
              </w:rPr>
              <w:t>100%</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cs="宋体"/>
                <w:kern w:val="0"/>
                <w:sz w:val="21"/>
                <w:szCs w:val="21"/>
              </w:rPr>
              <w:t>（1）日常公用经费控制率＜90%的，得3分；</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cs="宋体"/>
                <w:kern w:val="0"/>
                <w:sz w:val="21"/>
                <w:szCs w:val="21"/>
              </w:rPr>
              <w:t>（2）90%≤日常公用经费控制率≤100%的，得2分；</w:t>
            </w:r>
          </w:p>
          <w:p>
            <w:pPr>
              <w:widowControl/>
              <w:adjustRightInd w:val="0"/>
              <w:snapToGrid w:val="0"/>
              <w:spacing w:line="240" w:lineRule="auto"/>
              <w:ind w:firstLine="315" w:firstLineChars="150"/>
              <w:jc w:val="center"/>
              <w:rPr>
                <w:rFonts w:ascii="宋体" w:hAnsi="宋体" w:cs="宋体"/>
                <w:kern w:val="0"/>
                <w:sz w:val="21"/>
                <w:szCs w:val="21"/>
              </w:rPr>
            </w:pPr>
            <w:r>
              <w:rPr>
                <w:rFonts w:hint="eastAsia" w:ascii="宋体" w:hAnsi="宋体"/>
                <w:kern w:val="0"/>
                <w:sz w:val="21"/>
                <w:szCs w:val="21"/>
              </w:rPr>
              <w:t>（3）</w:t>
            </w:r>
            <w:r>
              <w:rPr>
                <w:rFonts w:hint="eastAsia" w:ascii="宋体" w:hAnsi="宋体" w:cs="宋体"/>
                <w:kern w:val="0"/>
                <w:sz w:val="21"/>
                <w:szCs w:val="21"/>
              </w:rPr>
              <w:t>日常公用经费控制率＞100%的，得0分。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效率性</w:t>
            </w:r>
          </w:p>
        </w:tc>
        <w:tc>
          <w:tcPr>
            <w:tcW w:w="844" w:type="dxa"/>
            <w:vMerge w:val="restart"/>
            <w:vAlign w:val="center"/>
          </w:tcPr>
          <w:p>
            <w:pPr>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20</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预算执行率</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6</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部门（单位）部门预算实际支付进度和既定支付进度的匹配情况，反映和考核部门（单位）预算执行的及时性和均衡性。</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1.一季度预算执行率得分=（一季度部门预算支出进度/序时进度25%）×1分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2.二季度预算执行率得分=（二季度部门预算支出进度/序时进度50%）×1分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3.三季度预算执行率得分=（三季度部门预算支出进度/序时进度75%）×1分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4.四季度预算执行率得分=（四季度部门预算支出进度/序时进度100%）×1分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5.全年平均支出进度得分</w:t>
            </w:r>
            <w:r>
              <w:rPr>
                <w:rFonts w:ascii="宋体" w:hAnsi="宋体" w:cs="宋体"/>
                <w:kern w:val="0"/>
                <w:sz w:val="21"/>
                <w:szCs w:val="21"/>
              </w:rPr>
              <w:t>=</w:t>
            </w:r>
            <w:r>
              <w:rPr>
                <w:rFonts w:hint="eastAsia" w:ascii="宋体" w:hAnsi="宋体" w:cs="宋体"/>
                <w:kern w:val="0"/>
                <w:sz w:val="21"/>
                <w:szCs w:val="21"/>
              </w:rPr>
              <w:t>全年平均执行率×2分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其中：全年平均执行率</w:t>
            </w:r>
            <w:r>
              <w:rPr>
                <w:rFonts w:ascii="宋体" w:hAnsi="宋体" w:cs="宋体"/>
                <w:kern w:val="0"/>
                <w:sz w:val="21"/>
                <w:szCs w:val="21"/>
              </w:rPr>
              <w:t>=</w:t>
            </w:r>
            <w:r>
              <w:rPr>
                <w:rFonts w:hint="eastAsia" w:ascii="宋体" w:hAnsi="宋体" w:cs="宋体"/>
                <w:kern w:val="0"/>
                <w:sz w:val="21"/>
                <w:szCs w:val="21"/>
              </w:rPr>
              <w:t>∑（每个季度的执行率）÷</w:t>
            </w:r>
            <w:r>
              <w:rPr>
                <w:rFonts w:ascii="宋体" w:hAnsi="宋体" w:cs="宋体"/>
                <w:kern w:val="0"/>
                <w:sz w:val="21"/>
                <w:szCs w:val="21"/>
              </w:rPr>
              <w:t>4</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季度支出进度=季度末月份累计支出进度（即3、6、9、12月月末支出进度）</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重点工作完成情况</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8</w:t>
            </w:r>
          </w:p>
        </w:tc>
        <w:tc>
          <w:tcPr>
            <w:tcW w:w="2648" w:type="dxa"/>
            <w:vAlign w:val="center"/>
          </w:tcPr>
          <w:p>
            <w:pPr>
              <w:widowControl/>
              <w:adjustRightInd w:val="0"/>
              <w:snapToGrid w:val="0"/>
              <w:spacing w:line="240" w:lineRule="auto"/>
              <w:ind w:firstLine="420"/>
              <w:jc w:val="center"/>
              <w:rPr>
                <w:rFonts w:ascii="宋体" w:hAnsi="宋体"/>
                <w:color w:val="000000"/>
                <w:kern w:val="0"/>
                <w:sz w:val="21"/>
                <w:szCs w:val="21"/>
              </w:rPr>
            </w:pPr>
            <w:r>
              <w:rPr>
                <w:rFonts w:hint="eastAsia" w:ascii="宋体" w:hAnsi="宋体" w:cs="宋体"/>
                <w:color w:val="000000"/>
                <w:kern w:val="0"/>
                <w:sz w:val="21"/>
                <w:szCs w:val="21"/>
              </w:rPr>
              <w:t>部门（单位）完成党委、政府、人大和上级部门下达或交办的重要事项或工作的完成情况，反映部门对重点工作的办理落实程度。</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重点工作是指中央和省市相关部门、新区党工委管委会交办或下达的工作任务。全部按期保质保量完成得8分；一项重点工作没有完成扣4分，扣完为止。</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注：重点工作完成情况可以参考新区党工委管委会督查部门或其他权威部门的统计数据（如有）。</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项目完成及时性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6</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部门（单位）项目完成情况与预期时间对比的情况。</w:t>
            </w:r>
          </w:p>
        </w:tc>
        <w:tc>
          <w:tcPr>
            <w:tcW w:w="6540"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1.</w:t>
            </w:r>
            <w:r>
              <w:rPr>
                <w:rFonts w:hint="eastAsia" w:ascii="宋体" w:hAnsi="宋体" w:cs="宋体"/>
                <w:kern w:val="0"/>
                <w:sz w:val="21"/>
                <w:szCs w:val="21"/>
              </w:rPr>
              <w:t>所有部门预算安排的项目均按计划时间完成（</w:t>
            </w:r>
            <w:r>
              <w:rPr>
                <w:rFonts w:ascii="宋体" w:hAnsi="宋体" w:cs="宋体"/>
                <w:kern w:val="0"/>
                <w:sz w:val="21"/>
                <w:szCs w:val="21"/>
              </w:rPr>
              <w:t>6</w:t>
            </w:r>
            <w:r>
              <w:rPr>
                <w:rFonts w:hint="eastAsia" w:ascii="宋体" w:hAnsi="宋体" w:cs="宋体"/>
                <w:kern w:val="0"/>
                <w:sz w:val="21"/>
                <w:szCs w:val="21"/>
              </w:rPr>
              <w:t>分）；</w:t>
            </w:r>
          </w:p>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w:t>
            </w:r>
            <w:r>
              <w:rPr>
                <w:rFonts w:hint="eastAsia" w:ascii="宋体" w:hAnsi="宋体" w:cs="宋体"/>
                <w:kern w:val="0"/>
                <w:sz w:val="21"/>
                <w:szCs w:val="21"/>
              </w:rPr>
              <w:t>部分项目未按计划时间完成的，本指标得分</w:t>
            </w:r>
            <w:r>
              <w:rPr>
                <w:rFonts w:ascii="宋体" w:hAnsi="宋体" w:cs="宋体"/>
                <w:kern w:val="0"/>
                <w:sz w:val="21"/>
                <w:szCs w:val="21"/>
              </w:rPr>
              <w:t>=</w:t>
            </w:r>
            <w:r>
              <w:rPr>
                <w:rFonts w:hint="eastAsia" w:ascii="宋体" w:hAnsi="宋体" w:cs="宋体"/>
                <w:kern w:val="0"/>
                <w:sz w:val="21"/>
                <w:szCs w:val="21"/>
              </w:rPr>
              <w:t>已完成项目数</w:t>
            </w:r>
            <w:r>
              <w:rPr>
                <w:rFonts w:ascii="宋体" w:hAnsi="宋体" w:cs="宋体"/>
                <w:kern w:val="0"/>
                <w:sz w:val="21"/>
                <w:szCs w:val="21"/>
              </w:rPr>
              <w:t>/</w:t>
            </w:r>
            <w:r>
              <w:rPr>
                <w:rFonts w:hint="eastAsia" w:ascii="宋体" w:hAnsi="宋体" w:cs="宋体"/>
                <w:kern w:val="0"/>
                <w:sz w:val="21"/>
                <w:szCs w:val="21"/>
              </w:rPr>
              <w:t>计划完成项目总数×</w:t>
            </w:r>
            <w:r>
              <w:rPr>
                <w:rFonts w:ascii="宋体" w:hAnsi="宋体" w:cs="宋体"/>
                <w:kern w:val="0"/>
                <w:sz w:val="21"/>
                <w:szCs w:val="21"/>
              </w:rPr>
              <w:t>6</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效果性</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20</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社会效益、经济效益、生态效益及可持续影响等</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20</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部门（单位）履行职责、完成各项重大政策和项目的效果，以及对经济发展、社会发展、生态环境所带来的直接或间接影响。</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根据部门（单位）职责，结合部门整体支出绩效目标，合理设置个性化绩效指标，通过绩效指标完成情况与目标值对比分析进行评分，未实现绩效目标的酌情扣分。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根据部门（部门）履职内容和性质，从社会效益、经济效益、生态效益、可持续影响等方面，至少选择三个方面对工作实效和效益进行评价。</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公平性</w:t>
            </w:r>
          </w:p>
        </w:tc>
        <w:tc>
          <w:tcPr>
            <w:tcW w:w="844" w:type="dxa"/>
            <w:vMerge w:val="restart"/>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9</w:t>
            </w: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群众信访办理情况</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ascii="宋体" w:hAnsi="宋体" w:cs="宋体"/>
                <w:kern w:val="0"/>
                <w:sz w:val="21"/>
                <w:szCs w:val="21"/>
              </w:rPr>
              <w:t>3</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部门（单位）对群众信访意见的完成情况及时性，反映部门（单位）对服务群众的重视程度。</w:t>
            </w:r>
          </w:p>
        </w:tc>
        <w:tc>
          <w:tcPr>
            <w:tcW w:w="6540" w:type="dxa"/>
            <w:vAlign w:val="center"/>
          </w:tcPr>
          <w:p>
            <w:pPr>
              <w:widowControl/>
              <w:adjustRightInd w:val="0"/>
              <w:snapToGrid w:val="0"/>
              <w:spacing w:line="240" w:lineRule="auto"/>
              <w:ind w:firstLine="315" w:firstLineChars="150"/>
              <w:jc w:val="center"/>
              <w:rPr>
                <w:rFonts w:ascii="宋体" w:hAnsi="宋体" w:cs="宋体"/>
                <w:kern w:val="0"/>
                <w:sz w:val="21"/>
                <w:szCs w:val="21"/>
              </w:rPr>
            </w:pPr>
            <w:r>
              <w:rPr>
                <w:rFonts w:ascii="宋体" w:hAnsi="宋体" w:cs="宋体"/>
                <w:kern w:val="0"/>
                <w:sz w:val="21"/>
                <w:szCs w:val="21"/>
              </w:rPr>
              <w:t>1.</w:t>
            </w:r>
            <w:r>
              <w:rPr>
                <w:rFonts w:hint="eastAsia" w:ascii="宋体" w:hAnsi="宋体" w:cs="宋体"/>
                <w:kern w:val="0"/>
                <w:sz w:val="21"/>
                <w:szCs w:val="21"/>
              </w:rPr>
              <w:t>建立了便利的群众意见反映渠道和群众意见办理回复机制（</w:t>
            </w:r>
            <w:r>
              <w:rPr>
                <w:rFonts w:ascii="宋体" w:hAnsi="宋体" w:cs="宋体"/>
                <w:kern w:val="0"/>
                <w:sz w:val="21"/>
                <w:szCs w:val="21"/>
              </w:rPr>
              <w:t>1</w:t>
            </w:r>
            <w:r>
              <w:rPr>
                <w:rFonts w:hint="eastAsia" w:ascii="宋体" w:hAnsi="宋体" w:cs="宋体"/>
                <w:kern w:val="0"/>
                <w:sz w:val="21"/>
                <w:szCs w:val="21"/>
              </w:rPr>
              <w:t>分）；</w:t>
            </w:r>
          </w:p>
          <w:p>
            <w:pPr>
              <w:widowControl/>
              <w:adjustRightInd w:val="0"/>
              <w:snapToGrid w:val="0"/>
              <w:spacing w:line="240" w:lineRule="auto"/>
              <w:ind w:firstLine="315" w:firstLineChars="150"/>
              <w:jc w:val="center"/>
              <w:rPr>
                <w:rFonts w:ascii="宋体" w:hAnsi="宋体" w:cs="宋体"/>
                <w:kern w:val="0"/>
                <w:sz w:val="21"/>
                <w:szCs w:val="21"/>
              </w:rPr>
            </w:pPr>
            <w:r>
              <w:rPr>
                <w:rFonts w:ascii="宋体" w:hAnsi="宋体" w:cs="宋体"/>
                <w:kern w:val="0"/>
                <w:sz w:val="21"/>
                <w:szCs w:val="21"/>
              </w:rPr>
              <w:t>2.</w:t>
            </w:r>
            <w:r>
              <w:rPr>
                <w:rFonts w:hint="eastAsia" w:ascii="宋体" w:hAnsi="宋体" w:cs="宋体"/>
                <w:kern w:val="0"/>
                <w:sz w:val="21"/>
                <w:szCs w:val="21"/>
              </w:rPr>
              <w:t>当年度群众信访办理回复率达100%（</w:t>
            </w:r>
            <w:r>
              <w:rPr>
                <w:rFonts w:ascii="宋体" w:hAnsi="宋体" w:cs="宋体"/>
                <w:kern w:val="0"/>
                <w:sz w:val="21"/>
                <w:szCs w:val="21"/>
              </w:rPr>
              <w:t>1</w:t>
            </w:r>
            <w:r>
              <w:rPr>
                <w:rFonts w:hint="eastAsia" w:ascii="宋体" w:hAnsi="宋体" w:cs="宋体"/>
                <w:kern w:val="0"/>
                <w:sz w:val="21"/>
                <w:szCs w:val="21"/>
              </w:rPr>
              <w:t>分）；</w:t>
            </w:r>
          </w:p>
          <w:p>
            <w:pPr>
              <w:widowControl/>
              <w:adjustRightInd w:val="0"/>
              <w:snapToGrid w:val="0"/>
              <w:spacing w:line="240" w:lineRule="auto"/>
              <w:ind w:firstLine="315" w:firstLineChars="150"/>
              <w:jc w:val="center"/>
              <w:rPr>
                <w:rFonts w:ascii="宋体" w:hAnsi="宋体"/>
                <w:kern w:val="0"/>
                <w:sz w:val="21"/>
                <w:szCs w:val="21"/>
              </w:rPr>
            </w:pPr>
            <w:r>
              <w:rPr>
                <w:rFonts w:ascii="宋体" w:hAnsi="宋体" w:cs="宋体"/>
                <w:kern w:val="0"/>
                <w:sz w:val="21"/>
                <w:szCs w:val="21"/>
              </w:rPr>
              <w:t>3.</w:t>
            </w:r>
            <w:r>
              <w:rPr>
                <w:rFonts w:hint="eastAsia" w:ascii="宋体" w:hAnsi="宋体" w:cs="宋体"/>
                <w:kern w:val="0"/>
                <w:sz w:val="21"/>
                <w:szCs w:val="21"/>
              </w:rPr>
              <w:t>当年度群众信访及时办理回复率达100%，未发生超期（</w:t>
            </w:r>
            <w:r>
              <w:rPr>
                <w:rFonts w:ascii="宋体" w:hAnsi="宋体" w:cs="宋体"/>
                <w:kern w:val="0"/>
                <w:sz w:val="21"/>
                <w:szCs w:val="21"/>
              </w:rPr>
              <w:t>1</w:t>
            </w:r>
            <w:r>
              <w:rPr>
                <w:rFonts w:hint="eastAsia" w:ascii="宋体" w:hAnsi="宋体" w:cs="宋体"/>
                <w:kern w:val="0"/>
                <w:sz w:val="21"/>
                <w:szCs w:val="21"/>
              </w:rPr>
              <w:t>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ascii="宋体" w:hAnsi="宋体" w:cs="宋体"/>
                <w:kern w:val="0"/>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blHeader/>
          <w:jc w:val="center"/>
        </w:trPr>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426"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844" w:type="dxa"/>
            <w:vMerge w:val="continue"/>
            <w:vAlign w:val="center"/>
          </w:tcPr>
          <w:p>
            <w:pPr>
              <w:widowControl/>
              <w:adjustRightInd w:val="0"/>
              <w:snapToGrid w:val="0"/>
              <w:spacing w:line="240" w:lineRule="auto"/>
              <w:ind w:firstLine="420"/>
              <w:jc w:val="center"/>
              <w:rPr>
                <w:rFonts w:ascii="宋体" w:hAnsi="宋体"/>
                <w:kern w:val="0"/>
                <w:sz w:val="21"/>
                <w:szCs w:val="21"/>
              </w:rPr>
            </w:pPr>
          </w:p>
        </w:tc>
        <w:tc>
          <w:tcPr>
            <w:tcW w:w="920"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公众或服务对象满意度</w:t>
            </w:r>
          </w:p>
        </w:tc>
        <w:tc>
          <w:tcPr>
            <w:tcW w:w="844"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6</w:t>
            </w:r>
          </w:p>
        </w:tc>
        <w:tc>
          <w:tcPr>
            <w:tcW w:w="2648" w:type="dxa"/>
            <w:vAlign w:val="center"/>
          </w:tcPr>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反映社会公众或部门（单位）的服务对象对部门履职效果的满意度。</w:t>
            </w:r>
          </w:p>
        </w:tc>
        <w:tc>
          <w:tcPr>
            <w:tcW w:w="6540"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社会公众或服务对象是指部门（单位）履行职责而影响到的部门、群体或个人，一般采取社会调查的方式。如难以单独开展满意度调查的，可参考统计部门的数据、年度区直民主评议政风行风评价结果等数据，或者参考群众信访反馈的普遍性问题、本部门或权威第三方机构的开展满意度调查等进行分档计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1.满意度≥95%的，得6分；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kern w:val="0"/>
                <w:sz w:val="21"/>
                <w:szCs w:val="21"/>
              </w:rPr>
              <w:t>2.</w:t>
            </w:r>
            <w:r>
              <w:rPr>
                <w:rFonts w:hint="eastAsia" w:ascii="宋体" w:hAnsi="宋体" w:cs="宋体"/>
                <w:kern w:val="0"/>
                <w:sz w:val="21"/>
                <w:szCs w:val="21"/>
              </w:rPr>
              <w:t xml:space="preserve"> 90%≤满意度＜95%的，得4分；</w:t>
            </w:r>
          </w:p>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3. 80%≤满意度＜90%的，得2分；</w:t>
            </w:r>
          </w:p>
          <w:p>
            <w:pPr>
              <w:widowControl/>
              <w:adjustRightInd w:val="0"/>
              <w:snapToGrid w:val="0"/>
              <w:spacing w:line="240" w:lineRule="auto"/>
              <w:ind w:firstLine="420"/>
              <w:jc w:val="center"/>
              <w:rPr>
                <w:rFonts w:ascii="宋体" w:hAnsi="宋体"/>
                <w:kern w:val="0"/>
                <w:sz w:val="21"/>
                <w:szCs w:val="21"/>
              </w:rPr>
            </w:pPr>
            <w:r>
              <w:rPr>
                <w:rFonts w:hint="eastAsia" w:ascii="宋体" w:hAnsi="宋体" w:cs="宋体"/>
                <w:kern w:val="0"/>
                <w:sz w:val="21"/>
                <w:szCs w:val="21"/>
              </w:rPr>
              <w:t>4. 满意度＜80%的，得1分。</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blHeader/>
          <w:jc w:val="center"/>
        </w:trPr>
        <w:tc>
          <w:tcPr>
            <w:tcW w:w="13492" w:type="dxa"/>
            <w:gridSpan w:val="8"/>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汇总</w:t>
            </w:r>
          </w:p>
        </w:tc>
        <w:tc>
          <w:tcPr>
            <w:tcW w:w="1104" w:type="dxa"/>
            <w:vAlign w:val="center"/>
          </w:tcPr>
          <w:p>
            <w:pPr>
              <w:widowControl/>
              <w:adjustRightInd w:val="0"/>
              <w:snapToGrid w:val="0"/>
              <w:spacing w:line="240" w:lineRule="auto"/>
              <w:ind w:firstLine="420"/>
              <w:jc w:val="center"/>
              <w:rPr>
                <w:rFonts w:ascii="宋体" w:hAnsi="宋体" w:cs="宋体"/>
                <w:kern w:val="0"/>
                <w:sz w:val="21"/>
                <w:szCs w:val="21"/>
              </w:rPr>
            </w:pPr>
            <w:r>
              <w:rPr>
                <w:rFonts w:hint="eastAsia" w:ascii="宋体" w:hAnsi="宋体" w:cs="宋体"/>
                <w:kern w:val="0"/>
                <w:sz w:val="21"/>
                <w:szCs w:val="21"/>
              </w:rPr>
              <w:t>93.65</w:t>
            </w:r>
          </w:p>
        </w:tc>
      </w:tr>
    </w:tbl>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p>
    <w:sectPr>
      <w:pgSz w:w="16839" w:h="11907" w:orient="landscape"/>
      <w:pgMar w:top="1803" w:right="1440" w:bottom="1803" w:left="1440" w:header="851" w:footer="992" w:gutter="0"/>
      <w:cols w:space="0" w:num="1"/>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华康简宋">
    <w:altName w:val="宋体"/>
    <w:panose1 w:val="00000000000000000000"/>
    <w:charset w:val="00"/>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6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gxMmZjNWM5OTJlNjdlZWY2M2RkMDg4MjdkOWM4ZjYifQ=="/>
  </w:docVars>
  <w:rsids>
    <w:rsidRoot w:val="00000000"/>
    <w:rsid w:val="133179E3"/>
    <w:rsid w:val="513544A0"/>
    <w:rsid w:val="65561349"/>
    <w:rsid w:val="75934108"/>
    <w:rsid w:val="7FCE8913"/>
    <w:rsid w:val="86FD7C87"/>
    <w:rsid w:val="FCFF37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9"/>
    <w:pPr>
      <w:keepNext/>
      <w:keepLines/>
      <w:spacing w:before="120" w:after="120"/>
      <w:outlineLvl w:val="1"/>
    </w:pPr>
    <w:rPr>
      <w:rFonts w:ascii="Cambria" w:hAnsi="Cambria" w:eastAsia="宋体" w:cs="宋体"/>
      <w:b/>
      <w:bCs/>
      <w:sz w:val="28"/>
      <w:szCs w:val="32"/>
    </w:rPr>
  </w:style>
  <w:style w:type="paragraph" w:styleId="4">
    <w:name w:val="heading 3"/>
    <w:basedOn w:val="1"/>
    <w:next w:val="1"/>
    <w:link w:val="22"/>
    <w:qFormat/>
    <w:uiPriority w:val="9"/>
    <w:pPr>
      <w:keepNext/>
      <w:keepLines/>
      <w:spacing w:before="120" w:after="120"/>
      <w:outlineLvl w:val="2"/>
    </w:pPr>
    <w:rPr>
      <w:b/>
      <w:bCs/>
      <w:sz w:val="28"/>
      <w:szCs w:val="32"/>
    </w:rPr>
  </w:style>
  <w:style w:type="paragraph" w:styleId="5">
    <w:name w:val="heading 4"/>
    <w:basedOn w:val="1"/>
    <w:next w:val="1"/>
    <w:link w:val="25"/>
    <w:qFormat/>
    <w:uiPriority w:val="9"/>
    <w:pPr>
      <w:keepNext/>
      <w:keepLines/>
      <w:spacing w:before="120"/>
      <w:outlineLvl w:val="3"/>
    </w:pPr>
    <w:rPr>
      <w:rFonts w:ascii="Cambria" w:hAnsi="Cambria" w:eastAsia="宋体" w:cs="宋体"/>
      <w:b/>
      <w:bCs/>
      <w:sz w:val="28"/>
      <w:szCs w:val="28"/>
    </w:rPr>
  </w:style>
  <w:style w:type="paragraph" w:styleId="6">
    <w:name w:val="heading 5"/>
    <w:basedOn w:val="7"/>
    <w:next w:val="1"/>
    <w:qFormat/>
    <w:uiPriority w:val="9"/>
    <w:pPr>
      <w:keepNext/>
      <w:keepLines/>
      <w:spacing w:line="600" w:lineRule="exact"/>
      <w:jc w:val="center"/>
      <w:outlineLvl w:val="4"/>
    </w:pPr>
    <w:rPr>
      <w:rFonts w:ascii="华文中宋" w:eastAsia="华文中宋"/>
      <w:bCs/>
      <w:sz w:val="40"/>
      <w:szCs w:val="28"/>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7">
    <w:name w:val="Plain Text"/>
    <w:qFormat/>
    <w:uiPriority w:val="99"/>
    <w:pPr>
      <w:spacing w:line="400" w:lineRule="exact"/>
    </w:pPr>
    <w:rPr>
      <w:rFonts w:ascii="宋体" w:hAnsi="Courier New" w:eastAsia="华康简宋" w:cs="Courier New"/>
      <w:kern w:val="2"/>
      <w:sz w:val="24"/>
      <w:szCs w:val="21"/>
      <w:lang w:val="en-US" w:eastAsia="zh-CN" w:bidi="ar-SA"/>
    </w:rPr>
  </w:style>
  <w:style w:type="paragraph" w:styleId="8">
    <w:name w:val="annotation text"/>
    <w:basedOn w:val="1"/>
    <w:link w:val="35"/>
    <w:qFormat/>
    <w:uiPriority w:val="99"/>
    <w:pPr>
      <w:jc w:val="left"/>
    </w:pPr>
  </w:style>
  <w:style w:type="paragraph" w:styleId="9">
    <w:name w:val="Balloon Text"/>
    <w:basedOn w:val="1"/>
    <w:link w:val="17"/>
    <w:qFormat/>
    <w:uiPriority w:val="99"/>
    <w:rPr>
      <w:sz w:val="18"/>
      <w:szCs w:val="18"/>
    </w:rPr>
  </w:style>
  <w:style w:type="paragraph" w:styleId="10">
    <w:name w:val="footer"/>
    <w:basedOn w:val="1"/>
    <w:link w:val="19"/>
    <w:qFormat/>
    <w:uiPriority w:val="99"/>
    <w:pPr>
      <w:tabs>
        <w:tab w:val="center" w:pos="4153"/>
        <w:tab w:val="right" w:pos="8306"/>
      </w:tabs>
      <w:snapToGrid w:val="0"/>
      <w:jc w:val="left"/>
    </w:pPr>
    <w:rPr>
      <w:sz w:val="18"/>
      <w:szCs w:val="18"/>
    </w:rPr>
  </w:style>
  <w:style w:type="paragraph" w:styleId="11">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8"/>
    <w:next w:val="8"/>
    <w:link w:val="36"/>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qFormat/>
    <w:uiPriority w:val="99"/>
    <w:rPr>
      <w:sz w:val="21"/>
      <w:szCs w:val="21"/>
    </w:rPr>
  </w:style>
  <w:style w:type="character" w:customStyle="1" w:styleId="17">
    <w:name w:val="批注框文本 Char"/>
    <w:basedOn w:val="15"/>
    <w:link w:val="9"/>
    <w:qFormat/>
    <w:uiPriority w:val="99"/>
    <w:rPr>
      <w:rFonts w:ascii="Times New Roman" w:hAnsi="Times New Roman" w:eastAsia="宋体" w:cs="Times New Roman"/>
      <w:sz w:val="18"/>
      <w:szCs w:val="18"/>
    </w:rPr>
  </w:style>
  <w:style w:type="character" w:customStyle="1" w:styleId="18">
    <w:name w:val="页眉 Char"/>
    <w:basedOn w:val="15"/>
    <w:link w:val="11"/>
    <w:qFormat/>
    <w:uiPriority w:val="99"/>
    <w:rPr>
      <w:rFonts w:ascii="Times New Roman" w:hAnsi="Times New Roman" w:eastAsia="宋体" w:cs="Times New Roman"/>
      <w:sz w:val="18"/>
      <w:szCs w:val="18"/>
    </w:rPr>
  </w:style>
  <w:style w:type="character" w:customStyle="1" w:styleId="19">
    <w:name w:val="页脚 Char"/>
    <w:basedOn w:val="15"/>
    <w:link w:val="10"/>
    <w:qFormat/>
    <w:uiPriority w:val="99"/>
    <w:rPr>
      <w:rFonts w:ascii="Times New Roman" w:hAnsi="Times New Roman" w:eastAsia="宋体" w:cs="Times New Roman"/>
      <w:sz w:val="18"/>
      <w:szCs w:val="18"/>
    </w:rPr>
  </w:style>
  <w:style w:type="character" w:customStyle="1" w:styleId="20">
    <w:name w:val="标题 1 Char"/>
    <w:basedOn w:val="15"/>
    <w:link w:val="2"/>
    <w:qFormat/>
    <w:uiPriority w:val="9"/>
    <w:rPr>
      <w:rFonts w:ascii="Times New Roman" w:hAnsi="Times New Roman" w:eastAsia="宋体" w:cs="Times New Roman"/>
      <w:b/>
      <w:bCs/>
      <w:kern w:val="44"/>
      <w:sz w:val="44"/>
      <w:szCs w:val="44"/>
    </w:rPr>
  </w:style>
  <w:style w:type="character" w:customStyle="1" w:styleId="21">
    <w:name w:val="标题 2 Char"/>
    <w:basedOn w:val="15"/>
    <w:link w:val="3"/>
    <w:qFormat/>
    <w:uiPriority w:val="9"/>
    <w:rPr>
      <w:rFonts w:ascii="Cambria" w:hAnsi="Cambria" w:eastAsia="宋体" w:cs="宋体"/>
      <w:b/>
      <w:bCs/>
      <w:kern w:val="2"/>
      <w:sz w:val="28"/>
      <w:szCs w:val="32"/>
    </w:rPr>
  </w:style>
  <w:style w:type="character" w:customStyle="1" w:styleId="22">
    <w:name w:val="标题 3 Char"/>
    <w:basedOn w:val="15"/>
    <w:link w:val="4"/>
    <w:qFormat/>
    <w:uiPriority w:val="9"/>
    <w:rPr>
      <w:rFonts w:ascii="Times New Roman" w:hAnsi="Times New Roman" w:eastAsia="宋体" w:cs="Times New Roman"/>
      <w:b/>
      <w:bCs/>
      <w:kern w:val="2"/>
      <w:sz w:val="28"/>
      <w:szCs w:val="32"/>
    </w:rPr>
  </w:style>
  <w:style w:type="paragraph" w:customStyle="1" w:styleId="23">
    <w:name w:val="无间隔1"/>
    <w:link w:val="24"/>
    <w:qFormat/>
    <w:uiPriority w:val="99"/>
    <w:pPr>
      <w:ind w:firstLine="200" w:firstLineChars="200"/>
    </w:pPr>
    <w:rPr>
      <w:rFonts w:ascii="Times New Roman" w:hAnsi="Times New Roman" w:eastAsia="仿宋_GB2312" w:cs="Times New Roman"/>
      <w:sz w:val="30"/>
      <w:szCs w:val="22"/>
      <w:lang w:val="en-US" w:eastAsia="zh-CN" w:bidi="ar-SA"/>
    </w:rPr>
  </w:style>
  <w:style w:type="character" w:customStyle="1" w:styleId="24">
    <w:name w:val="无间隔 字符"/>
    <w:link w:val="23"/>
    <w:qFormat/>
    <w:uiPriority w:val="99"/>
    <w:rPr>
      <w:rFonts w:ascii="Times New Roman" w:hAnsi="Times New Roman" w:eastAsia="仿宋_GB2312" w:cs="Times New Roman"/>
      <w:sz w:val="30"/>
      <w:szCs w:val="22"/>
    </w:rPr>
  </w:style>
  <w:style w:type="character" w:customStyle="1" w:styleId="25">
    <w:name w:val="标题 4 Char"/>
    <w:basedOn w:val="15"/>
    <w:link w:val="5"/>
    <w:qFormat/>
    <w:uiPriority w:val="9"/>
    <w:rPr>
      <w:rFonts w:ascii="Cambria" w:hAnsi="Cambria" w:eastAsia="宋体" w:cs="宋体"/>
      <w:b/>
      <w:bCs/>
      <w:kern w:val="2"/>
      <w:sz w:val="28"/>
      <w:szCs w:val="28"/>
    </w:rPr>
  </w:style>
  <w:style w:type="character" w:customStyle="1" w:styleId="26">
    <w:name w:val="正文文本 (2)_"/>
    <w:basedOn w:val="15"/>
    <w:link w:val="27"/>
    <w:qFormat/>
    <w:uiPriority w:val="0"/>
    <w:rPr>
      <w:rFonts w:ascii="宋体" w:hAnsi="宋体" w:eastAsia="宋体" w:cs="宋体"/>
      <w:spacing w:val="20"/>
      <w:sz w:val="30"/>
      <w:szCs w:val="30"/>
      <w:shd w:val="clear" w:color="auto" w:fill="FFFFFF"/>
    </w:rPr>
  </w:style>
  <w:style w:type="paragraph" w:customStyle="1" w:styleId="27">
    <w:name w:val="正文文本 (2)"/>
    <w:basedOn w:val="1"/>
    <w:link w:val="26"/>
    <w:qFormat/>
    <w:uiPriority w:val="0"/>
    <w:pPr>
      <w:shd w:val="clear" w:color="auto" w:fill="FFFFFF"/>
      <w:spacing w:before="480" w:line="562" w:lineRule="exact"/>
      <w:jc w:val="left"/>
    </w:pPr>
    <w:rPr>
      <w:rFonts w:ascii="宋体" w:hAnsi="宋体" w:cs="宋体"/>
      <w:spacing w:val="20"/>
      <w:kern w:val="0"/>
      <w:sz w:val="30"/>
      <w:szCs w:val="30"/>
    </w:rPr>
  </w:style>
  <w:style w:type="character" w:customStyle="1" w:styleId="28">
    <w:name w:val="正文文本 (3)_"/>
    <w:basedOn w:val="15"/>
    <w:link w:val="29"/>
    <w:qFormat/>
    <w:uiPriority w:val="0"/>
    <w:rPr>
      <w:rFonts w:ascii="宋体" w:hAnsi="宋体" w:eastAsia="宋体" w:cs="宋体"/>
      <w:sz w:val="28"/>
      <w:szCs w:val="28"/>
      <w:shd w:val="clear" w:color="auto" w:fill="FFFFFF"/>
    </w:rPr>
  </w:style>
  <w:style w:type="paragraph" w:customStyle="1" w:styleId="29">
    <w:name w:val="正文文本 (3)"/>
    <w:basedOn w:val="1"/>
    <w:link w:val="28"/>
    <w:qFormat/>
    <w:uiPriority w:val="0"/>
    <w:pPr>
      <w:shd w:val="clear" w:color="auto" w:fill="FFFFFF"/>
      <w:spacing w:line="562" w:lineRule="exact"/>
      <w:jc w:val="left"/>
    </w:pPr>
    <w:rPr>
      <w:rFonts w:ascii="宋体" w:hAnsi="宋体" w:cs="宋体"/>
      <w:kern w:val="0"/>
      <w:sz w:val="28"/>
      <w:szCs w:val="28"/>
    </w:rPr>
  </w:style>
  <w:style w:type="character" w:customStyle="1" w:styleId="30">
    <w:name w:val="正文文本 (2) + 9.5 pt"/>
    <w:basedOn w:val="26"/>
    <w:qFormat/>
    <w:uiPriority w:val="0"/>
    <w:rPr>
      <w:rFonts w:ascii="宋体" w:hAnsi="宋体" w:eastAsia="宋体" w:cs="宋体"/>
      <w:color w:val="000000"/>
      <w:spacing w:val="0"/>
      <w:w w:val="100"/>
      <w:position w:val="0"/>
      <w:sz w:val="19"/>
      <w:szCs w:val="19"/>
      <w:shd w:val="clear" w:color="auto" w:fill="FFFFFF"/>
      <w:lang w:val="zh-TW" w:eastAsia="zh-TW" w:bidi="zh-TW"/>
    </w:rPr>
  </w:style>
  <w:style w:type="character" w:customStyle="1" w:styleId="31">
    <w:name w:val="表格标题_"/>
    <w:basedOn w:val="15"/>
    <w:link w:val="32"/>
    <w:qFormat/>
    <w:uiPriority w:val="0"/>
    <w:rPr>
      <w:rFonts w:ascii="宋体" w:hAnsi="宋体" w:eastAsia="宋体" w:cs="宋体"/>
      <w:sz w:val="28"/>
      <w:szCs w:val="28"/>
      <w:shd w:val="clear" w:color="auto" w:fill="FFFFFF"/>
    </w:rPr>
  </w:style>
  <w:style w:type="paragraph" w:customStyle="1" w:styleId="32">
    <w:name w:val="表格标题"/>
    <w:basedOn w:val="1"/>
    <w:link w:val="31"/>
    <w:qFormat/>
    <w:uiPriority w:val="0"/>
    <w:pPr>
      <w:shd w:val="clear" w:color="auto" w:fill="FFFFFF"/>
      <w:spacing w:line="0" w:lineRule="atLeast"/>
      <w:jc w:val="left"/>
    </w:pPr>
    <w:rPr>
      <w:rFonts w:ascii="宋体" w:hAnsi="宋体" w:cs="宋体"/>
      <w:kern w:val="0"/>
      <w:sz w:val="28"/>
      <w:szCs w:val="28"/>
    </w:rPr>
  </w:style>
  <w:style w:type="character" w:customStyle="1" w:styleId="33">
    <w:name w:val="正文文本 (2) + 间距 0 pt"/>
    <w:basedOn w:val="26"/>
    <w:qFormat/>
    <w:uiPriority w:val="0"/>
    <w:rPr>
      <w:rFonts w:ascii="宋体" w:hAnsi="宋体" w:eastAsia="宋体" w:cs="宋体"/>
      <w:color w:val="000000"/>
      <w:spacing w:val="-10"/>
      <w:w w:val="100"/>
      <w:position w:val="0"/>
      <w:sz w:val="30"/>
      <w:szCs w:val="30"/>
      <w:u w:val="none"/>
      <w:shd w:val="clear" w:color="auto" w:fill="FFFFFF"/>
      <w:lang w:val="zh-TW" w:eastAsia="zh-TW" w:bidi="zh-TW"/>
    </w:rPr>
  </w:style>
  <w:style w:type="character" w:customStyle="1" w:styleId="34">
    <w:name w:val="正文文本 (2) + 间距 3 pt"/>
    <w:basedOn w:val="26"/>
    <w:qFormat/>
    <w:uiPriority w:val="0"/>
    <w:rPr>
      <w:rFonts w:ascii="宋体" w:hAnsi="宋体" w:eastAsia="宋体" w:cs="宋体"/>
      <w:color w:val="000000"/>
      <w:spacing w:val="70"/>
      <w:w w:val="100"/>
      <w:position w:val="0"/>
      <w:sz w:val="30"/>
      <w:szCs w:val="30"/>
      <w:u w:val="none"/>
      <w:shd w:val="clear" w:color="auto" w:fill="FFFFFF"/>
      <w:lang w:val="zh-TW" w:eastAsia="zh-TW" w:bidi="zh-TW"/>
    </w:rPr>
  </w:style>
  <w:style w:type="character" w:customStyle="1" w:styleId="35">
    <w:name w:val="批注文字 Char"/>
    <w:basedOn w:val="15"/>
    <w:link w:val="8"/>
    <w:qFormat/>
    <w:uiPriority w:val="99"/>
    <w:rPr>
      <w:rFonts w:ascii="Times New Roman" w:hAnsi="Times New Roman" w:eastAsia="宋体" w:cs="Times New Roman"/>
      <w:kern w:val="2"/>
      <w:sz w:val="24"/>
      <w:szCs w:val="24"/>
    </w:rPr>
  </w:style>
  <w:style w:type="character" w:customStyle="1" w:styleId="36">
    <w:name w:val="批注主题 Char"/>
    <w:basedOn w:val="35"/>
    <w:link w:val="12"/>
    <w:qFormat/>
    <w:uiPriority w:val="99"/>
    <w:rPr>
      <w:rFonts w:ascii="Times New Roman" w:hAnsi="Times New Roman" w:eastAsia="宋体" w:cs="Times New Roman"/>
      <w:b/>
      <w:bCs/>
      <w:kern w:val="2"/>
      <w:sz w:val="24"/>
      <w:szCs w:val="24"/>
    </w:rPr>
  </w:style>
  <w:style w:type="paragraph" w:customStyle="1" w:styleId="37">
    <w:name w:val="列出段落1"/>
    <w:basedOn w:val="1"/>
    <w:qFormat/>
    <w:uiPriority w:val="34"/>
    <w:pPr>
      <w:ind w:firstLine="420"/>
    </w:pPr>
  </w:style>
  <w:style w:type="paragraph" w:customStyle="1" w:styleId="38">
    <w:name w:val="列出段落11"/>
    <w:basedOn w:val="1"/>
    <w:qFormat/>
    <w:uiPriority w:val="34"/>
    <w:pPr>
      <w:ind w:firstLine="42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szzyb</Company>
  <Pages>34</Pages>
  <Words>17453</Words>
  <Characters>18743</Characters>
  <Paragraphs>557</Paragraphs>
  <TotalTime>7</TotalTime>
  <ScaleCrop>false</ScaleCrop>
  <LinksUpToDate>false</LinksUpToDate>
  <CharactersWithSpaces>18821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2021-06-19T22:28:00Z</dcterms:created>
  <dc:creator>桂鑫</dc:creator>
  <cp:lastModifiedBy>哎呦璯     1km</cp:lastModifiedBy>
  <cp:lastPrinted>2020-03-15T18:42:00Z</cp:lastPrinted>
  <dcterms:modified xsi:type="dcterms:W3CDTF">2023-01-30T05:03:50Z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0FE44F54F148482D8A58F7E208E74C00</vt:lpwstr>
  </property>
</Properties>
</file>