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line="560" w:lineRule="exact"/>
        <w:ind w:firstLine="0" w:firstLineChars="0"/>
        <w:textAlignment w:val="auto"/>
        <w:rPr>
          <w:rFonts w:hint="eastAsia" w:ascii="楷体_GB2312" w:hAnsi="楷体_GB2312" w:eastAsia="楷体_GB2312" w:cs="楷体_GB2312"/>
          <w:bCs/>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0" w:firstLineChars="0"/>
        <w:jc w:val="center"/>
        <w:textAlignment w:val="auto"/>
        <w:rPr>
          <w:rFonts w:hint="eastAsia" w:ascii="方正小标宋简体" w:hAnsi="黑体" w:eastAsia="方正小标宋简体"/>
          <w:bCs/>
          <w:color w:val="000000" w:themeColor="text1"/>
          <w:sz w:val="44"/>
          <w:szCs w:val="44"/>
          <w:lang w:val="en-US" w:eastAsia="zh-CN"/>
          <w14:textFill>
            <w14:solidFill>
              <w14:schemeClr w14:val="tx1"/>
            </w14:solidFill>
          </w14:textFill>
        </w:rPr>
      </w:pPr>
    </w:p>
    <w:p>
      <w:pPr>
        <w:pStyle w:val="2"/>
        <w:rPr>
          <w:rFonts w:hint="eastAsia"/>
          <w:lang w:val="en-US" w:eastAsia="zh-CN"/>
        </w:rPr>
      </w:pPr>
    </w:p>
    <w:p>
      <w:pPr>
        <w:keepNext w:val="0"/>
        <w:keepLines w:val="0"/>
        <w:pageBreakBefore w:val="0"/>
        <w:widowControl w:val="0"/>
        <w:kinsoku/>
        <w:wordWrap/>
        <w:overflowPunct/>
        <w:topLinePunct w:val="0"/>
        <w:bidi w:val="0"/>
        <w:spacing w:line="560" w:lineRule="exact"/>
        <w:ind w:firstLine="0" w:firstLineChars="0"/>
        <w:jc w:val="center"/>
        <w:textAlignment w:val="auto"/>
        <w:rPr>
          <w:rFonts w:ascii="方正小标宋简体" w:hAnsi="黑体" w:eastAsia="方正小标宋简体"/>
          <w:bCs/>
          <w:color w:val="000000" w:themeColor="text1"/>
          <w:sz w:val="44"/>
          <w:szCs w:val="44"/>
          <w14:textFill>
            <w14:solidFill>
              <w14:schemeClr w14:val="tx1"/>
            </w14:solidFill>
          </w14:textFill>
        </w:rPr>
      </w:pPr>
      <w:r>
        <w:rPr>
          <w:rFonts w:hint="eastAsia" w:ascii="方正小标宋简体" w:hAnsi="黑体" w:eastAsia="方正小标宋简体"/>
          <w:bCs/>
          <w:color w:val="000000" w:themeColor="text1"/>
          <w:sz w:val="44"/>
          <w:szCs w:val="44"/>
          <w:lang w:val="en-US" w:eastAsia="zh-CN"/>
          <w14:textFill>
            <w14:solidFill>
              <w14:schemeClr w14:val="tx1"/>
            </w14:solidFill>
          </w14:textFill>
        </w:rPr>
        <w:t>深圳市大鹏新区</w:t>
      </w:r>
      <w:r>
        <w:rPr>
          <w:rFonts w:hint="eastAsia" w:ascii="方正小标宋简体" w:hAnsi="黑体" w:eastAsia="方正小标宋简体"/>
          <w:bCs/>
          <w:color w:val="000000" w:themeColor="text1"/>
          <w:sz w:val="44"/>
          <w:szCs w:val="44"/>
          <w14:textFill>
            <w14:solidFill>
              <w14:schemeClr w14:val="tx1"/>
            </w14:solidFill>
          </w14:textFill>
        </w:rPr>
        <w:t>202</w:t>
      </w:r>
      <w:r>
        <w:rPr>
          <w:rFonts w:hint="default" w:ascii="方正小标宋简体" w:hAnsi="黑体" w:eastAsia="方正小标宋简体"/>
          <w:bCs/>
          <w:color w:val="000000" w:themeColor="text1"/>
          <w:sz w:val="44"/>
          <w:szCs w:val="44"/>
          <w14:textFill>
            <w14:solidFill>
              <w14:schemeClr w14:val="tx1"/>
            </w14:solidFill>
          </w14:textFill>
        </w:rPr>
        <w:t>3</w:t>
      </w:r>
      <w:r>
        <w:rPr>
          <w:rFonts w:hint="eastAsia" w:ascii="方正小标宋简体" w:hAnsi="黑体" w:eastAsia="方正小标宋简体"/>
          <w:bCs/>
          <w:color w:val="000000" w:themeColor="text1"/>
          <w:sz w:val="44"/>
          <w:szCs w:val="44"/>
          <w14:textFill>
            <w14:solidFill>
              <w14:schemeClr w14:val="tx1"/>
            </w14:solidFill>
          </w14:textFill>
        </w:rPr>
        <w:t>年预算（草案）</w:t>
      </w:r>
    </w:p>
    <w:p>
      <w:pPr>
        <w:keepNext w:val="0"/>
        <w:keepLines w:val="0"/>
        <w:pageBreakBefore w:val="0"/>
        <w:widowControl w:val="0"/>
        <w:kinsoku/>
        <w:wordWrap/>
        <w:overflowPunct/>
        <w:topLinePunct w:val="0"/>
        <w:bidi w:val="0"/>
        <w:spacing w:line="560" w:lineRule="exact"/>
        <w:ind w:firstLine="631"/>
        <w:textAlignment w:val="auto"/>
        <w:rPr>
          <w:rFonts w:ascii="黑体" w:hAnsi="黑体" w:eastAsia="黑体"/>
          <w:b/>
          <w:bCs/>
          <w:color w:val="000000" w:themeColor="text1"/>
          <w:szCs w:val="32"/>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0" w:firstLineChars="0"/>
        <w:jc w:val="center"/>
        <w:textAlignment w:val="auto"/>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第一部分  202</w:t>
      </w:r>
      <w:r>
        <w:rPr>
          <w:rFonts w:hint="default" w:ascii="黑体" w:hAnsi="黑体" w:eastAsia="黑体"/>
          <w:color w:val="000000" w:themeColor="text1"/>
          <w:szCs w:val="32"/>
          <w14:textFill>
            <w14:solidFill>
              <w14:schemeClr w14:val="tx1"/>
            </w14:solidFill>
          </w14:textFill>
        </w:rPr>
        <w:t>3</w:t>
      </w:r>
      <w:r>
        <w:rPr>
          <w:rFonts w:hint="eastAsia" w:ascii="黑体" w:hAnsi="黑体" w:eastAsia="黑体"/>
          <w:color w:val="000000" w:themeColor="text1"/>
          <w:szCs w:val="32"/>
          <w14:textFill>
            <w14:solidFill>
              <w14:schemeClr w14:val="tx1"/>
            </w14:solidFill>
          </w14:textFill>
        </w:rPr>
        <w:t>年一般公共预算</w:t>
      </w:r>
    </w:p>
    <w:p>
      <w:pPr>
        <w:keepNext w:val="0"/>
        <w:keepLines w:val="0"/>
        <w:pageBreakBefore w:val="0"/>
        <w:widowControl w:val="0"/>
        <w:kinsoku/>
        <w:wordWrap/>
        <w:overflowPunct/>
        <w:topLinePunct w:val="0"/>
        <w:bidi w:val="0"/>
        <w:spacing w:line="560" w:lineRule="exact"/>
        <w:ind w:firstLine="0" w:firstLineChars="0"/>
        <w:textAlignment w:val="auto"/>
        <w:rPr>
          <w:rFonts w:ascii="黑体" w:hAnsi="黑体" w:eastAsia="黑体"/>
          <w:color w:val="000000" w:themeColor="text1"/>
          <w:szCs w:val="32"/>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628"/>
        <w:jc w:val="left"/>
        <w:textAlignment w:val="auto"/>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一、202</w:t>
      </w:r>
      <w:r>
        <w:rPr>
          <w:rFonts w:hint="default" w:ascii="黑体" w:hAnsi="黑体" w:eastAsia="黑体"/>
          <w:color w:val="000000" w:themeColor="text1"/>
          <w:szCs w:val="32"/>
          <w14:textFill>
            <w14:solidFill>
              <w14:schemeClr w14:val="tx1"/>
            </w14:solidFill>
          </w14:textFill>
        </w:rPr>
        <w:t>3</w:t>
      </w:r>
      <w:r>
        <w:rPr>
          <w:rFonts w:hint="eastAsia" w:ascii="黑体" w:hAnsi="黑体" w:eastAsia="黑体"/>
          <w:color w:val="000000" w:themeColor="text1"/>
          <w:szCs w:val="32"/>
          <w14:textFill>
            <w14:solidFill>
              <w14:schemeClr w14:val="tx1"/>
            </w14:solidFill>
          </w14:textFill>
        </w:rPr>
        <w:t>年经济形势及税收形势预测</w:t>
      </w:r>
    </w:p>
    <w:p>
      <w:pPr>
        <w:keepNext w:val="0"/>
        <w:keepLines w:val="0"/>
        <w:pageBreakBefore w:val="0"/>
        <w:widowControl w:val="0"/>
        <w:kinsoku/>
        <w:wordWrap/>
        <w:overflowPunct/>
        <w:topLinePunct w:val="0"/>
        <w:bidi w:val="0"/>
        <w:spacing w:line="560" w:lineRule="exact"/>
        <w:ind w:firstLine="628"/>
        <w:jc w:val="both"/>
        <w:textAlignment w:val="auto"/>
        <w:rPr>
          <w:rFonts w:hint="eastAsia" w:hAnsi="仿宋_GB2312"/>
          <w:color w:val="000000" w:themeColor="text1"/>
          <w:szCs w:val="32"/>
          <w14:textFill>
            <w14:solidFill>
              <w14:schemeClr w14:val="tx1"/>
            </w14:solidFill>
          </w14:textFill>
        </w:rPr>
      </w:pPr>
      <w:r>
        <w:rPr>
          <w:rFonts w:hint="eastAsia" w:hAnsi="仿宋_GB2312"/>
          <w:color w:val="000000" w:themeColor="text1"/>
          <w:szCs w:val="32"/>
          <w14:textFill>
            <w14:solidFill>
              <w14:schemeClr w14:val="tx1"/>
            </w14:solidFill>
          </w14:textFill>
        </w:rPr>
        <w:t>202</w:t>
      </w:r>
      <w:r>
        <w:rPr>
          <w:rFonts w:hint="default" w:hAnsi="仿宋_GB2312"/>
          <w:color w:val="000000" w:themeColor="text1"/>
          <w:szCs w:val="32"/>
          <w14:textFill>
            <w14:solidFill>
              <w14:schemeClr w14:val="tx1"/>
            </w14:solidFill>
          </w14:textFill>
        </w:rPr>
        <w:t>2</w:t>
      </w:r>
      <w:r>
        <w:rPr>
          <w:rFonts w:hint="eastAsia" w:hAnsi="仿宋_GB2312"/>
          <w:color w:val="000000" w:themeColor="text1"/>
          <w:szCs w:val="32"/>
          <w14:textFill>
            <w14:solidFill>
              <w14:schemeClr w14:val="tx1"/>
            </w14:solidFill>
          </w14:textFill>
        </w:rPr>
        <w:t>年，</w:t>
      </w:r>
      <w:r>
        <w:rPr>
          <w:rFonts w:hint="default" w:hAnsi="仿宋_GB2312"/>
          <w:color w:val="000000" w:themeColor="text1"/>
          <w:szCs w:val="32"/>
          <w14:textFill>
            <w14:solidFill>
              <w14:schemeClr w14:val="tx1"/>
            </w14:solidFill>
          </w14:textFill>
        </w:rPr>
        <w:t>大鹏新区</w:t>
      </w:r>
      <w:r>
        <w:rPr>
          <w:rFonts w:hint="eastAsia" w:hAnsi="仿宋_GB2312"/>
          <w:color w:val="000000" w:themeColor="text1"/>
          <w:szCs w:val="32"/>
          <w14:textFill>
            <w14:solidFill>
              <w14:schemeClr w14:val="tx1"/>
            </w14:solidFill>
          </w14:textFill>
        </w:rPr>
        <w:t>在市委市政府的坚强领导下，</w:t>
      </w:r>
      <w:r>
        <w:rPr>
          <w:rFonts w:hint="eastAsia" w:ascii="仿宋_GB2312" w:hAnsi="仿宋_GB2312" w:eastAsia="仿宋_GB2312"/>
          <w:color w:val="000000" w:themeColor="text1"/>
          <w:sz w:val="32"/>
          <w:szCs w:val="32"/>
          <w:highlight w:val="none"/>
          <w14:textFill>
            <w14:solidFill>
              <w14:schemeClr w14:val="tx1"/>
            </w14:solidFill>
          </w14:textFill>
        </w:rPr>
        <w:t>坚持稳中求进工作总基调，</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立足新发展阶段，贯彻新发展理念，构建新发展格局。</w:t>
      </w:r>
      <w:r>
        <w:rPr>
          <w:rFonts w:hint="eastAsia" w:ascii="仿宋_GB2312" w:hAnsi="仿宋_GB2312" w:eastAsia="仿宋_GB2312" w:cs="仿宋_GB2312"/>
          <w:color w:val="000000" w:themeColor="text1"/>
          <w:sz w:val="32"/>
          <w:szCs w:val="32"/>
          <w:highlight w:val="none"/>
          <w14:textFill>
            <w14:solidFill>
              <w14:schemeClr w14:val="tx1"/>
            </w14:solidFill>
          </w14:textFill>
        </w:rPr>
        <w:t>围绕</w:t>
      </w:r>
      <w:r>
        <w:rPr>
          <w:rFonts w:hint="default" w:hAnsi="仿宋_GB2312" w:cs="仿宋_GB2312"/>
          <w:color w:val="000000" w:themeColor="text1"/>
          <w:sz w:val="32"/>
          <w:szCs w:val="32"/>
          <w:highlight w:val="none"/>
          <w14:textFill>
            <w14:solidFill>
              <w14:schemeClr w14:val="tx1"/>
            </w14:solidFill>
          </w14:textFill>
        </w:rPr>
        <w:t>新区</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Ansi="仿宋_GB2312" w:cs="仿宋_GB2312"/>
          <w:color w:val="000000" w:themeColor="text1"/>
          <w:sz w:val="32"/>
          <w:szCs w:val="32"/>
          <w:highlight w:val="none"/>
          <w:lang w:val="en"/>
          <w14:textFill>
            <w14:solidFill>
              <w14:schemeClr w14:val="tx1"/>
            </w14:solidFill>
          </w14:textFill>
        </w:rPr>
        <w:t>一、二、三、四</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ascii="仿宋_GB2312" w:hAnsi="仿宋_GB2312" w:eastAsia="仿宋_GB2312" w:cs="仿宋_GB2312"/>
          <w:color w:val="000000" w:themeColor="text1"/>
          <w:sz w:val="32"/>
          <w:szCs w:val="32"/>
          <w:highlight w:val="none"/>
          <w14:textFill>
            <w14:solidFill>
              <w14:schemeClr w14:val="tx1"/>
            </w14:solidFill>
          </w14:textFill>
        </w:rPr>
        <w:t>发展思路，</w:t>
      </w:r>
      <w:r>
        <w:rPr>
          <w:rFonts w:hAnsi="仿宋_GB2312" w:cs="仿宋_GB2312"/>
          <w:color w:val="000000" w:themeColor="text1"/>
          <w:sz w:val="32"/>
          <w:szCs w:val="32"/>
          <w:highlight w:val="none"/>
          <w14:textFill>
            <w14:solidFill>
              <w14:schemeClr w14:val="tx1"/>
            </w14:solidFill>
          </w14:textFill>
        </w:rPr>
        <w:t>奋力</w:t>
      </w:r>
      <w:r>
        <w:rPr>
          <w:rFonts w:hint="eastAsia" w:ascii="仿宋_GB2312" w:hAnsi="仿宋_GB2312" w:eastAsia="仿宋_GB2312" w:cs="仿宋_GB2312"/>
          <w:sz w:val="32"/>
          <w:szCs w:val="32"/>
          <w:highlight w:val="none"/>
        </w:rPr>
        <w:t>打造“绿水青山就是金山银山”实践创新标杆</w:t>
      </w:r>
      <w:r>
        <w:rPr>
          <w:rFonts w:hint="default" w:hAnsi="仿宋_GB2312" w:cs="仿宋_GB2312"/>
          <w:sz w:val="32"/>
          <w:szCs w:val="32"/>
          <w:highlight w:val="none"/>
        </w:rPr>
        <w:t>。</w:t>
      </w:r>
      <w:r>
        <w:rPr>
          <w:rFonts w:hint="eastAsia" w:hAnsi="仿宋_GB2312"/>
          <w:color w:val="000000" w:themeColor="text1"/>
          <w:szCs w:val="32"/>
          <w14:textFill>
            <w14:solidFill>
              <w14:schemeClr w14:val="tx1"/>
            </w14:solidFill>
          </w14:textFill>
        </w:rPr>
        <w:t>抢抓“双区</w:t>
      </w:r>
      <w:r>
        <w:rPr>
          <w:rFonts w:hint="default" w:hAnsi="仿宋_GB2312"/>
          <w:color w:val="000000" w:themeColor="text1"/>
          <w:szCs w:val="32"/>
          <w14:textFill>
            <w14:solidFill>
              <w14:schemeClr w14:val="tx1"/>
            </w14:solidFill>
          </w14:textFill>
        </w:rPr>
        <w:t>叠加</w:t>
      </w:r>
      <w:r>
        <w:rPr>
          <w:rFonts w:hint="eastAsia" w:hAnsi="仿宋_GB2312"/>
          <w:color w:val="000000" w:themeColor="text1"/>
          <w:szCs w:val="32"/>
          <w14:textFill>
            <w14:solidFill>
              <w14:schemeClr w14:val="tx1"/>
            </w14:solidFill>
          </w14:textFill>
        </w:rPr>
        <w:t>”的重大历史机遇，凝心聚力、担当作为，积极的财政政策</w:t>
      </w:r>
      <w:r>
        <w:rPr>
          <w:rFonts w:hint="default" w:hAnsi="仿宋_GB2312"/>
          <w:color w:val="000000" w:themeColor="text1"/>
          <w:szCs w:val="32"/>
          <w14:textFill>
            <w14:solidFill>
              <w14:schemeClr w14:val="tx1"/>
            </w14:solidFill>
          </w14:textFill>
        </w:rPr>
        <w:t>更加精准、更可持续</w:t>
      </w:r>
      <w:r>
        <w:rPr>
          <w:rFonts w:hint="eastAsia" w:hAnsi="仿宋_GB2312"/>
          <w:color w:val="000000" w:themeColor="text1"/>
          <w:szCs w:val="32"/>
          <w14:textFill>
            <w14:solidFill>
              <w14:schemeClr w14:val="tx1"/>
            </w14:solidFill>
          </w14:textFill>
        </w:rPr>
        <w:t>，</w:t>
      </w:r>
      <w:r>
        <w:rPr>
          <w:rFonts w:hint="default" w:hAnsi="仿宋_GB2312"/>
          <w:color w:val="000000" w:themeColor="text1"/>
          <w:szCs w:val="32"/>
          <w14:textFill>
            <w14:solidFill>
              <w14:schemeClr w14:val="tx1"/>
            </w14:solidFill>
          </w14:textFill>
        </w:rPr>
        <w:t>统筹疫情防控和经济社会发展各项工作，持续</w:t>
      </w:r>
      <w:r>
        <w:rPr>
          <w:rFonts w:hint="eastAsia" w:hAnsi="仿宋_GB2312"/>
          <w:color w:val="000000" w:themeColor="text1"/>
          <w:szCs w:val="32"/>
          <w14:textFill>
            <w14:solidFill>
              <w14:schemeClr w14:val="tx1"/>
            </w14:solidFill>
          </w14:textFill>
        </w:rPr>
        <w:t>优环境、强基础、补短板、惠民生、挖潜力，</w:t>
      </w:r>
      <w:r>
        <w:rPr>
          <w:rFonts w:hint="default" w:hAnsi="仿宋_GB2312"/>
          <w:color w:val="000000" w:themeColor="text1"/>
          <w:szCs w:val="32"/>
          <w14:textFill>
            <w14:solidFill>
              <w14:schemeClr w14:val="tx1"/>
            </w14:solidFill>
          </w14:textFill>
        </w:rPr>
        <w:t>加大</w:t>
      </w:r>
      <w:r>
        <w:rPr>
          <w:rFonts w:hint="eastAsia" w:hAnsi="仿宋_GB2312"/>
          <w:color w:val="000000" w:themeColor="text1"/>
          <w:szCs w:val="32"/>
          <w14:textFill>
            <w14:solidFill>
              <w14:schemeClr w14:val="tx1"/>
            </w14:solidFill>
          </w14:textFill>
        </w:rPr>
        <w:t>建设全球海洋中心城市集中承载区和世界级滨海生态旅游度假区的</w:t>
      </w:r>
      <w:r>
        <w:rPr>
          <w:rFonts w:hint="default" w:hAnsi="仿宋_GB2312"/>
          <w:color w:val="000000" w:themeColor="text1"/>
          <w:szCs w:val="32"/>
          <w14:textFill>
            <w14:solidFill>
              <w14:schemeClr w14:val="tx1"/>
            </w14:solidFill>
          </w14:textFill>
        </w:rPr>
        <w:t>财力保障，</w:t>
      </w:r>
      <w:r>
        <w:rPr>
          <w:rFonts w:hint="eastAsia" w:hAnsi="仿宋_GB2312"/>
          <w:color w:val="000000" w:themeColor="text1"/>
          <w:szCs w:val="32"/>
          <w14:textFill>
            <w14:solidFill>
              <w14:schemeClr w14:val="tx1"/>
            </w14:solidFill>
          </w14:textFill>
        </w:rPr>
        <w:t>各项事业发展取得新成绩。</w:t>
      </w:r>
    </w:p>
    <w:p>
      <w:pPr>
        <w:keepNext w:val="0"/>
        <w:keepLines w:val="0"/>
        <w:pageBreakBefore w:val="0"/>
        <w:widowControl w:val="0"/>
        <w:kinsoku/>
        <w:wordWrap/>
        <w:overflowPunct/>
        <w:topLinePunct w:val="0"/>
        <w:bidi w:val="0"/>
        <w:spacing w:line="560" w:lineRule="exact"/>
        <w:ind w:firstLine="628"/>
        <w:jc w:val="both"/>
        <w:textAlignment w:val="auto"/>
        <w:rPr>
          <w:rFonts w:ascii="仿宋_GB2312" w:hAnsi="Calibri" w:eastAsia="仿宋_GB2312" w:cs="Times New Roman"/>
          <w:sz w:val="32"/>
          <w:szCs w:val="32"/>
          <w:lang w:bidi="en-US"/>
        </w:rPr>
      </w:pPr>
      <w:r>
        <w:rPr>
          <w:color w:val="000000" w:themeColor="text1"/>
          <w14:textFill>
            <w14:solidFill>
              <w14:schemeClr w14:val="tx1"/>
            </w14:solidFill>
          </w14:textFill>
        </w:rPr>
        <w:t>20</w:t>
      </w:r>
      <w:r>
        <w:rPr>
          <w:rFonts w:hint="eastAsia"/>
          <w:color w:val="000000" w:themeColor="text1"/>
          <w14:textFill>
            <w14:solidFill>
              <w14:schemeClr w14:val="tx1"/>
            </w14:solidFill>
          </w14:textFill>
        </w:rPr>
        <w:t>2</w:t>
      </w:r>
      <w:r>
        <w:rPr>
          <w:rFonts w:hint="default"/>
          <w:color w:val="000000" w:themeColor="text1"/>
          <w14:textFill>
            <w14:solidFill>
              <w14:schemeClr w14:val="tx1"/>
            </w14:solidFill>
          </w14:textFill>
        </w:rPr>
        <w:t>3</w:t>
      </w:r>
      <w:r>
        <w:rPr>
          <w:rFonts w:hint="eastAsia"/>
          <w:color w:val="000000" w:themeColor="text1"/>
          <w14:textFill>
            <w14:solidFill>
              <w14:schemeClr w14:val="tx1"/>
            </w14:solidFill>
          </w14:textFill>
        </w:rPr>
        <w:t>年，</w:t>
      </w:r>
      <w:r>
        <w:rPr>
          <w:rFonts w:hint="eastAsia" w:hAnsi="仿宋_GB2312"/>
          <w:color w:val="000000" w:themeColor="text1"/>
          <w:szCs w:val="32"/>
          <w14:textFill>
            <w14:solidFill>
              <w14:schemeClr w14:val="tx1"/>
            </w14:solidFill>
          </w14:textFill>
        </w:rPr>
        <w:t>新区经济</w:t>
      </w:r>
      <w:r>
        <w:rPr>
          <w:rFonts w:hint="default" w:hAnsi="仿宋_GB2312"/>
          <w:color w:val="000000" w:themeColor="text1"/>
          <w:szCs w:val="32"/>
          <w14:textFill>
            <w14:solidFill>
              <w14:schemeClr w14:val="tx1"/>
            </w14:solidFill>
          </w14:textFill>
        </w:rPr>
        <w:t>发展</w:t>
      </w:r>
      <w:r>
        <w:rPr>
          <w:rFonts w:hint="eastAsia" w:hAnsi="仿宋_GB2312"/>
          <w:color w:val="000000" w:themeColor="text1"/>
          <w:szCs w:val="32"/>
          <w14:textFill>
            <w14:solidFill>
              <w14:schemeClr w14:val="tx1"/>
            </w14:solidFill>
          </w14:textFill>
        </w:rPr>
        <w:t>和财税</w:t>
      </w:r>
      <w:r>
        <w:rPr>
          <w:rFonts w:hint="default" w:hAnsi="仿宋_GB2312"/>
          <w:color w:val="000000" w:themeColor="text1"/>
          <w:szCs w:val="32"/>
          <w14:textFill>
            <w14:solidFill>
              <w14:schemeClr w14:val="tx1"/>
            </w14:solidFill>
          </w14:textFill>
        </w:rPr>
        <w:t>工作</w:t>
      </w:r>
      <w:r>
        <w:rPr>
          <w:rFonts w:hint="eastAsia" w:hAnsi="仿宋_GB2312"/>
          <w:color w:val="000000" w:themeColor="text1"/>
          <w:szCs w:val="32"/>
          <w14:textFill>
            <w14:solidFill>
              <w14:schemeClr w14:val="tx1"/>
            </w14:solidFill>
          </w14:textFill>
        </w:rPr>
        <w:t>有利因素和不利因素并存。</w:t>
      </w:r>
      <w:r>
        <w:rPr>
          <w:rFonts w:hint="eastAsia" w:ascii="仿宋_GB2312" w:hAnsi="Calibri" w:eastAsia="仿宋_GB2312" w:cs="Times New Roman"/>
          <w:b/>
          <w:bCs/>
          <w:sz w:val="32"/>
          <w:szCs w:val="32"/>
          <w:lang w:bidi="en-US"/>
        </w:rPr>
        <w:t>有利因素方面</w:t>
      </w:r>
      <w:r>
        <w:rPr>
          <w:rFonts w:hint="eastAsia" w:ascii="仿宋_GB2312" w:hAnsi="Calibri" w:eastAsia="仿宋_GB2312" w:cs="Times New Roman"/>
          <w:sz w:val="32"/>
          <w:szCs w:val="32"/>
          <w:lang w:bidi="en-US"/>
        </w:rPr>
        <w:t>，</w:t>
      </w:r>
      <w:r>
        <w:rPr>
          <w:rFonts w:hint="default" w:ascii="仿宋_GB2312" w:hAnsi="Calibri" w:eastAsia="仿宋_GB2312" w:cs="Times New Roman"/>
          <w:sz w:val="32"/>
          <w:szCs w:val="32"/>
          <w:lang w:bidi="en-US"/>
        </w:rPr>
        <w:t>从国家宏观层面来看，我国正乘势而上开启全面建设社会主义现代化国家新征程，向第二个百年奋斗目标</w:t>
      </w:r>
      <w:r>
        <w:rPr>
          <w:rFonts w:hint="default" w:hAnsi="Calibri" w:cs="Times New Roman"/>
          <w:sz w:val="32"/>
          <w:szCs w:val="32"/>
          <w:lang w:bidi="en-US"/>
        </w:rPr>
        <w:t>奋进</w:t>
      </w:r>
      <w:r>
        <w:rPr>
          <w:rFonts w:hint="default" w:ascii="仿宋_GB2312" w:hAnsi="Calibri" w:eastAsia="仿宋_GB2312" w:cs="Times New Roman"/>
          <w:sz w:val="32"/>
          <w:szCs w:val="32"/>
          <w:lang w:bidi="en-US"/>
        </w:rPr>
        <w:t>。</w:t>
      </w:r>
      <w:r>
        <w:rPr>
          <w:rFonts w:hint="default" w:hAnsi="Calibri" w:cs="Times New Roman"/>
          <w:sz w:val="32"/>
          <w:szCs w:val="32"/>
          <w:lang w:bidi="en-US"/>
        </w:rPr>
        <w:t>2023年是</w:t>
      </w:r>
      <w:r>
        <w:rPr>
          <w:rFonts w:hint="default" w:hAnsi="Calibri" w:cs="Times New Roman"/>
          <w:sz w:val="32"/>
          <w:szCs w:val="32"/>
          <w:lang w:eastAsia="zh-CN" w:bidi="en-US"/>
        </w:rPr>
        <w:t>全面贯彻落实党的二十大精神的开局之年，中央政治局会议</w:t>
      </w:r>
      <w:r>
        <w:rPr>
          <w:rFonts w:hint="default" w:hAnsi="Calibri" w:cs="Times New Roman"/>
          <w:sz w:val="32"/>
          <w:szCs w:val="32"/>
          <w:lang w:val="en" w:eastAsia="zh-CN" w:bidi="en-US"/>
        </w:rPr>
        <w:t>明确指出</w:t>
      </w:r>
      <w:r>
        <w:rPr>
          <w:rFonts w:hint="default" w:hAnsi="Calibri" w:cs="Times New Roman"/>
          <w:sz w:val="32"/>
          <w:szCs w:val="32"/>
          <w:lang w:eastAsia="zh-CN" w:bidi="en-US"/>
        </w:rPr>
        <w:t>2023年经济工作要坚持</w:t>
      </w:r>
      <w:r>
        <w:rPr>
          <w:rFonts w:hint="eastAsia" w:ascii="仿宋_GB2312" w:hAnsi="仿宋_GB2312" w:eastAsia="仿宋_GB2312" w:cs="仿宋_GB2312"/>
          <w:sz w:val="32"/>
          <w:szCs w:val="32"/>
          <w:lang w:eastAsia="zh-CN" w:bidi="en-US"/>
        </w:rPr>
        <w:t>“稳字当头、稳中求进”</w:t>
      </w:r>
      <w:r>
        <w:rPr>
          <w:rFonts w:hint="default" w:hAnsi="Calibri" w:cs="Times New Roman"/>
          <w:sz w:val="32"/>
          <w:szCs w:val="32"/>
          <w:lang w:eastAsia="zh-CN" w:bidi="en-US"/>
        </w:rPr>
        <w:t>，同时明</w:t>
      </w:r>
      <w:r>
        <w:rPr>
          <w:rFonts w:hint="eastAsia" w:ascii="仿宋_GB2312" w:hAnsi="仿宋_GB2312" w:eastAsia="仿宋_GB2312" w:cs="仿宋_GB2312"/>
          <w:sz w:val="32"/>
          <w:szCs w:val="32"/>
          <w:lang w:eastAsia="zh-CN" w:bidi="en-US"/>
        </w:rPr>
        <w:t>确“积极的财政政策要加力提效，稳健的货币政策要精准有力”，</w:t>
      </w:r>
      <w:r>
        <w:rPr>
          <w:rFonts w:hint="eastAsia" w:ascii="仿宋_GB2312" w:hAnsi="仿宋_GB2312" w:eastAsia="仿宋_GB2312" w:cs="仿宋_GB2312"/>
          <w:sz w:val="32"/>
          <w:szCs w:val="32"/>
          <w:lang w:bidi="en-US"/>
        </w:rPr>
        <w:t>稳健的经济政策和积极的财政政策为财政工作高质高效开展提供了良好的宏观环境。</w:t>
      </w:r>
      <w:r>
        <w:rPr>
          <w:rFonts w:hint="eastAsia" w:ascii="仿宋_GB2312" w:hAnsi="仿宋_GB2312" w:eastAsia="仿宋_GB2312" w:cs="仿宋_GB2312"/>
          <w:sz w:val="32"/>
          <w:szCs w:val="32"/>
          <w:lang w:val="en-US" w:eastAsia="zh-CN" w:bidi="en-US"/>
        </w:rPr>
        <w:t>《中国人民银行</w:t>
      </w:r>
      <w:r>
        <w:rPr>
          <w:rFonts w:hint="default" w:hAnsi="仿宋_GB2312" w:cs="仿宋_GB2312"/>
          <w:sz w:val="32"/>
          <w:szCs w:val="32"/>
          <w:lang w:val="en" w:eastAsia="zh-CN" w:bidi="en-US"/>
        </w:rPr>
        <w:t xml:space="preserve"> </w:t>
      </w:r>
      <w:r>
        <w:rPr>
          <w:rFonts w:hint="eastAsia" w:ascii="仿宋_GB2312" w:hAnsi="仿宋_GB2312" w:eastAsia="仿宋_GB2312" w:cs="仿宋_GB2312"/>
          <w:sz w:val="32"/>
          <w:szCs w:val="32"/>
          <w:lang w:val="en-US" w:eastAsia="zh-CN" w:bidi="en-US"/>
        </w:rPr>
        <w:t>中国银行保险监督管理委员会关于做好当前金融支持房地产市场平稳健康发展工作的通知》</w:t>
      </w:r>
      <w:r>
        <w:rPr>
          <w:rFonts w:hint="eastAsia" w:ascii="仿宋_GB2312" w:hAnsi="仿宋_GB2312" w:eastAsia="仿宋_GB2312" w:cs="仿宋_GB2312"/>
          <w:sz w:val="32"/>
          <w:szCs w:val="32"/>
          <w:lang w:eastAsia="zh-CN" w:bidi="en-US"/>
        </w:rPr>
        <w:t>为</w:t>
      </w:r>
      <w:r>
        <w:rPr>
          <w:rFonts w:hint="eastAsia" w:ascii="仿宋_GB2312" w:hAnsi="仿宋_GB2312" w:eastAsia="仿宋_GB2312" w:cs="仿宋_GB2312"/>
          <w:sz w:val="32"/>
          <w:szCs w:val="32"/>
          <w:lang w:val="en-US" w:eastAsia="zh-CN" w:bidi="en-US"/>
        </w:rPr>
        <w:t>房地产融资</w:t>
      </w:r>
      <w:r>
        <w:rPr>
          <w:rFonts w:hint="eastAsia" w:ascii="仿宋_GB2312" w:hAnsi="仿宋_GB2312" w:eastAsia="仿宋_GB2312" w:cs="仿宋_GB2312"/>
          <w:sz w:val="32"/>
          <w:szCs w:val="32"/>
          <w:lang w:eastAsia="zh-CN" w:bidi="en-US"/>
        </w:rPr>
        <w:t>、</w:t>
      </w:r>
      <w:r>
        <w:rPr>
          <w:rFonts w:hint="eastAsia" w:ascii="仿宋_GB2312" w:hAnsi="仿宋_GB2312" w:eastAsia="仿宋_GB2312" w:cs="仿宋_GB2312"/>
          <w:sz w:val="32"/>
          <w:szCs w:val="32"/>
          <w:lang w:val="en-US" w:eastAsia="zh-CN" w:bidi="en-US"/>
        </w:rPr>
        <w:t>促进房地产市场平稳健康发展</w:t>
      </w:r>
      <w:r>
        <w:rPr>
          <w:rFonts w:hint="eastAsia" w:ascii="仿宋_GB2312" w:hAnsi="仿宋_GB2312" w:eastAsia="仿宋_GB2312" w:cs="仿宋_GB2312"/>
          <w:sz w:val="32"/>
          <w:szCs w:val="32"/>
          <w:lang w:eastAsia="zh-CN" w:bidi="en-US"/>
        </w:rPr>
        <w:t>提供了政策保障。国家防疫政策最新规定二十条、“新十条”为促进消费、拉动经济增长营造了良好氛围。</w:t>
      </w:r>
      <w:r>
        <w:rPr>
          <w:rFonts w:hint="eastAsia" w:ascii="仿宋_GB2312" w:hAnsi="仿宋_GB2312" w:eastAsia="仿宋_GB2312" w:cs="仿宋_GB2312"/>
          <w:sz w:val="32"/>
          <w:szCs w:val="32"/>
          <w:lang w:bidi="en-US"/>
        </w:rPr>
        <w:t>从省市、新区层面来看，粤港澳大湾区建设与深圳建设中国特色社会主义先行示范区“双区叠加”优势将持续带来更大发展机遇，“20＋8”</w:t>
      </w:r>
      <w:r>
        <w:rPr>
          <w:rFonts w:hint="default" w:hAnsi="Calibri" w:cs="Times New Roman"/>
          <w:sz w:val="32"/>
          <w:szCs w:val="32"/>
          <w:lang w:bidi="en-US"/>
        </w:rPr>
        <w:t>政策将进一步增强产业发展后劲。</w:t>
      </w:r>
      <w:r>
        <w:rPr>
          <w:rFonts w:hint="default" w:hAnsi="仿宋_GB2312"/>
          <w:color w:val="000000" w:themeColor="text1"/>
          <w:szCs w:val="32"/>
          <w14:textFill>
            <w14:solidFill>
              <w14:schemeClr w14:val="tx1"/>
            </w14:solidFill>
          </w14:textFill>
        </w:rPr>
        <w:t>新区围绕“</w:t>
      </w:r>
      <w:r>
        <w:rPr>
          <w:rFonts w:hint="default" w:hAnsi="仿宋_GB2312"/>
          <w:color w:val="000000" w:themeColor="text1"/>
          <w:szCs w:val="32"/>
          <w:lang w:val="en"/>
          <w14:textFill>
            <w14:solidFill>
              <w14:schemeClr w14:val="tx1"/>
            </w14:solidFill>
          </w14:textFill>
        </w:rPr>
        <w:t>一、二、三、四</w:t>
      </w:r>
      <w:r>
        <w:rPr>
          <w:rFonts w:hint="default" w:hAnsi="仿宋_GB2312"/>
          <w:color w:val="000000" w:themeColor="text1"/>
          <w:szCs w:val="32"/>
          <w14:textFill>
            <w14:solidFill>
              <w14:schemeClr w14:val="tx1"/>
            </w14:solidFill>
          </w14:textFill>
        </w:rPr>
        <w:t>”发展思路，正奋力打造“</w:t>
      </w:r>
      <w:r>
        <w:rPr>
          <w:rFonts w:hint="eastAsia" w:ascii="仿宋_GB2312" w:hAnsi="仿宋_GB2312" w:eastAsia="仿宋_GB2312" w:cs="仿宋_GB2312"/>
          <w:sz w:val="32"/>
          <w:szCs w:val="32"/>
          <w:highlight w:val="none"/>
        </w:rPr>
        <w:t>绿水青山就是金山银山”实践创新标杆</w:t>
      </w:r>
      <w:r>
        <w:rPr>
          <w:rFonts w:hint="default" w:ascii="仿宋_GB2312" w:hAnsi="Calibri" w:eastAsia="仿宋_GB2312" w:cs="Times New Roman"/>
          <w:sz w:val="32"/>
          <w:szCs w:val="32"/>
          <w:lang w:bidi="en-US"/>
        </w:rPr>
        <w:t>。</w:t>
      </w:r>
      <w:r>
        <w:rPr>
          <w:rFonts w:hint="eastAsia" w:ascii="仿宋_GB2312" w:hAnsi="Calibri" w:eastAsia="仿宋_GB2312" w:cs="Times New Roman"/>
          <w:b/>
          <w:bCs/>
          <w:sz w:val="32"/>
          <w:szCs w:val="32"/>
          <w:lang w:bidi="en-US"/>
        </w:rPr>
        <w:t>不利因素方面，</w:t>
      </w:r>
      <w:r>
        <w:rPr>
          <w:rFonts w:hint="eastAsia" w:ascii="仿宋_GB2312" w:hAnsi="仿宋_GB2312" w:eastAsia="仿宋_GB2312" w:cs="仿宋_GB2312"/>
          <w:sz w:val="32"/>
          <w:szCs w:val="32"/>
          <w:lang w:bidi="en-US"/>
        </w:rPr>
        <w:t>受“十条铁线”影响，新区重大项目发展受限，民生事业发展与群众期盼还有较大差距。新区税源结构单一，未形成税收新增长极，</w:t>
      </w:r>
      <w:r>
        <w:rPr>
          <w:rFonts w:hint="default" w:ascii="仿宋_GB2312" w:hAnsi="Calibri" w:eastAsia="仿宋_GB2312" w:cs="Times New Roman"/>
          <w:sz w:val="32"/>
          <w:szCs w:val="32"/>
          <w:lang w:bidi="en-US"/>
        </w:rPr>
        <w:t>主要依赖能源类企业，受核电维修</w:t>
      </w:r>
      <w:r>
        <w:rPr>
          <w:rFonts w:hint="eastAsia" w:hAnsi="Calibri" w:cs="Times New Roman"/>
          <w:sz w:val="32"/>
          <w:szCs w:val="32"/>
          <w:lang w:eastAsia="zh-CN" w:bidi="en-US"/>
        </w:rPr>
        <w:t>、</w:t>
      </w:r>
      <w:r>
        <w:rPr>
          <w:rFonts w:hint="default" w:ascii="仿宋_GB2312" w:hAnsi="Calibri" w:eastAsia="仿宋_GB2312" w:cs="Times New Roman"/>
          <w:sz w:val="32"/>
          <w:szCs w:val="32"/>
          <w:lang w:bidi="en-US"/>
        </w:rPr>
        <w:t>电价</w:t>
      </w:r>
      <w:r>
        <w:rPr>
          <w:rFonts w:hint="default" w:hAnsi="Calibri" w:cs="Times New Roman"/>
          <w:sz w:val="32"/>
          <w:szCs w:val="32"/>
          <w:lang w:bidi="en-US"/>
        </w:rPr>
        <w:t>波动</w:t>
      </w:r>
      <w:r>
        <w:rPr>
          <w:rFonts w:hint="default" w:ascii="仿宋_GB2312" w:hAnsi="Calibri" w:eastAsia="仿宋_GB2312" w:cs="Times New Roman"/>
          <w:sz w:val="32"/>
          <w:szCs w:val="32"/>
          <w:lang w:bidi="en-US"/>
        </w:rPr>
        <w:t>等</w:t>
      </w:r>
      <w:r>
        <w:rPr>
          <w:rFonts w:hint="default" w:hAnsi="Calibri" w:cs="Times New Roman"/>
          <w:sz w:val="32"/>
          <w:szCs w:val="32"/>
          <w:lang w:bidi="en-US"/>
        </w:rPr>
        <w:t>因素</w:t>
      </w:r>
      <w:r>
        <w:rPr>
          <w:rFonts w:hint="default" w:ascii="仿宋_GB2312" w:hAnsi="Calibri" w:eastAsia="仿宋_GB2312" w:cs="Times New Roman"/>
          <w:sz w:val="32"/>
          <w:szCs w:val="32"/>
          <w:lang w:bidi="en-US"/>
        </w:rPr>
        <w:t>影响，财税增长受限。</w:t>
      </w:r>
      <w:r>
        <w:rPr>
          <w:rFonts w:hint="default" w:hAnsi="Calibri" w:cs="Times New Roman"/>
          <w:sz w:val="32"/>
          <w:szCs w:val="32"/>
          <w:lang w:bidi="en-US"/>
        </w:rPr>
        <w:t>土地价格受宏观经济形势严峻、</w:t>
      </w:r>
      <w:r>
        <w:rPr>
          <w:rFonts w:hint="default" w:ascii="仿宋_GB2312" w:hAnsi="仿宋_GB2312" w:eastAsia="仿宋_GB2312" w:cs="仿宋_GB2312"/>
          <w:b w:val="0"/>
          <w:bCs w:val="0"/>
          <w:sz w:val="32"/>
          <w:szCs w:val="32"/>
        </w:rPr>
        <w:t>基础设施落后、产业不兴等原因</w:t>
      </w:r>
      <w:r>
        <w:rPr>
          <w:rFonts w:hint="default" w:hAnsi="仿宋_GB2312" w:cs="仿宋_GB2312"/>
          <w:b w:val="0"/>
          <w:bCs w:val="0"/>
          <w:sz w:val="32"/>
          <w:szCs w:val="32"/>
        </w:rPr>
        <w:t>影响，土地出让不畅，总体</w:t>
      </w:r>
      <w:r>
        <w:rPr>
          <w:rFonts w:hint="default" w:ascii="仿宋_GB2312" w:hAnsi="仿宋_GB2312" w:eastAsia="仿宋_GB2312" w:cs="仿宋_GB2312"/>
          <w:b w:val="0"/>
          <w:bCs w:val="0"/>
          <w:sz w:val="32"/>
          <w:szCs w:val="32"/>
        </w:rPr>
        <w:t>价格不高，</w:t>
      </w:r>
      <w:r>
        <w:rPr>
          <w:rFonts w:hint="default" w:ascii="仿宋_GB2312" w:hAnsi="仿宋_GB2312" w:eastAsia="仿宋_GB2312" w:cs="仿宋_GB2312"/>
          <w:sz w:val="32"/>
          <w:szCs w:val="32"/>
        </w:rPr>
        <w:t>国土收入增长存在不确定性。</w:t>
      </w:r>
    </w:p>
    <w:p>
      <w:pPr>
        <w:keepNext w:val="0"/>
        <w:keepLines w:val="0"/>
        <w:pageBreakBefore w:val="0"/>
        <w:widowControl w:val="0"/>
        <w:kinsoku/>
        <w:wordWrap/>
        <w:overflowPunct/>
        <w:topLinePunct w:val="0"/>
        <w:bidi w:val="0"/>
        <w:spacing w:line="560" w:lineRule="exact"/>
        <w:ind w:firstLine="628"/>
        <w:jc w:val="both"/>
        <w:textAlignment w:val="auto"/>
        <w:rPr>
          <w:rFonts w:hAnsi="仿宋_GB2312"/>
          <w:color w:val="000000" w:themeColor="text1"/>
          <w:szCs w:val="32"/>
          <w14:textFill>
            <w14:solidFill>
              <w14:schemeClr w14:val="tx1"/>
            </w14:solidFill>
          </w14:textFill>
        </w:rPr>
      </w:pPr>
      <w:r>
        <w:rPr>
          <w:rFonts w:hint="eastAsia" w:hAnsi="仿宋_GB2312"/>
          <w:color w:val="000000" w:themeColor="text1"/>
          <w:szCs w:val="32"/>
          <w14:textFill>
            <w14:solidFill>
              <w14:schemeClr w14:val="tx1"/>
            </w14:solidFill>
          </w14:textFill>
        </w:rPr>
        <w:t>初步判断，</w:t>
      </w:r>
      <w:r>
        <w:rPr>
          <w:rFonts w:hint="default" w:hAnsi="仿宋_GB2312"/>
          <w:color w:val="000000" w:themeColor="text1"/>
          <w:szCs w:val="32"/>
          <w14:textFill>
            <w14:solidFill>
              <w14:schemeClr w14:val="tx1"/>
            </w14:solidFill>
          </w14:textFill>
        </w:rPr>
        <w:t>财政收入方面，</w:t>
      </w:r>
      <w:r>
        <w:rPr>
          <w:rFonts w:hint="eastAsia" w:hAnsi="仿宋_GB2312"/>
          <w:color w:val="000000" w:themeColor="text1"/>
          <w:szCs w:val="32"/>
          <w14:textFill>
            <w14:solidFill>
              <w14:schemeClr w14:val="tx1"/>
            </w14:solidFill>
          </w14:textFill>
        </w:rPr>
        <w:t>202</w:t>
      </w:r>
      <w:r>
        <w:rPr>
          <w:rFonts w:hint="default" w:hAnsi="仿宋_GB2312"/>
          <w:color w:val="000000" w:themeColor="text1"/>
          <w:szCs w:val="32"/>
          <w14:textFill>
            <w14:solidFill>
              <w14:schemeClr w14:val="tx1"/>
            </w14:solidFill>
          </w14:textFill>
        </w:rPr>
        <w:t>3</w:t>
      </w:r>
      <w:r>
        <w:rPr>
          <w:rFonts w:hint="eastAsia" w:hAnsi="仿宋_GB2312"/>
          <w:color w:val="000000" w:themeColor="text1"/>
          <w:szCs w:val="32"/>
          <w14:textFill>
            <w14:solidFill>
              <w14:schemeClr w14:val="tx1"/>
            </w14:solidFill>
          </w14:textFill>
        </w:rPr>
        <w:t>年新区整体经济运行将保持</w:t>
      </w:r>
      <w:r>
        <w:rPr>
          <w:rFonts w:hint="default" w:hAnsi="仿宋_GB2312"/>
          <w:color w:val="000000" w:themeColor="text1"/>
          <w:szCs w:val="32"/>
          <w14:textFill>
            <w14:solidFill>
              <w14:schemeClr w14:val="tx1"/>
            </w14:solidFill>
          </w14:textFill>
        </w:rPr>
        <w:t>稳中有进</w:t>
      </w:r>
      <w:r>
        <w:rPr>
          <w:rFonts w:hint="eastAsia" w:hAnsi="仿宋_GB2312"/>
          <w:color w:val="000000" w:themeColor="text1"/>
          <w:szCs w:val="32"/>
          <w14:textFill>
            <w14:solidFill>
              <w14:schemeClr w14:val="tx1"/>
            </w14:solidFill>
          </w14:textFill>
        </w:rPr>
        <w:t>态势</w:t>
      </w:r>
      <w:r>
        <w:rPr>
          <w:rFonts w:hint="eastAsia" w:hAnsi="仿宋_GB2312"/>
          <w:color w:val="000000" w:themeColor="text1"/>
          <w:szCs w:val="32"/>
          <w:lang w:eastAsia="zh-CN"/>
          <w14:textFill>
            <w14:solidFill>
              <w14:schemeClr w14:val="tx1"/>
            </w14:solidFill>
          </w14:textFill>
        </w:rPr>
        <w:t>，</w:t>
      </w:r>
      <w:r>
        <w:rPr>
          <w:rFonts w:hint="default" w:hAnsi="ˎ̥" w:cs="宋体"/>
          <w:color w:val="000000" w:themeColor="text1"/>
          <w:kern w:val="0"/>
          <w:sz w:val="32"/>
          <w:szCs w:val="32"/>
          <w14:textFill>
            <w14:solidFill>
              <w14:schemeClr w14:val="tx1"/>
            </w14:solidFill>
          </w14:textFill>
        </w:rPr>
        <w:t>公共财政收支规模总体基本保持平衡，</w:t>
      </w:r>
      <w:r>
        <w:rPr>
          <w:rFonts w:hint="eastAsia" w:hAnsi="ˎ̥" w:cs="宋体"/>
          <w:color w:val="000000" w:themeColor="text1"/>
          <w:kern w:val="0"/>
          <w:sz w:val="32"/>
          <w:szCs w:val="32"/>
          <w14:textFill>
            <w14:solidFill>
              <w14:schemeClr w14:val="tx1"/>
            </w14:solidFill>
          </w14:textFill>
        </w:rPr>
        <w:t>考虑到202</w:t>
      </w:r>
      <w:r>
        <w:rPr>
          <w:rFonts w:hint="default" w:hAnsi="ˎ̥" w:cs="宋体"/>
          <w:color w:val="000000" w:themeColor="text1"/>
          <w:kern w:val="0"/>
          <w:sz w:val="32"/>
          <w:szCs w:val="32"/>
          <w14:textFill>
            <w14:solidFill>
              <w14:schemeClr w14:val="tx1"/>
            </w14:solidFill>
          </w14:textFill>
        </w:rPr>
        <w:t>3</w:t>
      </w:r>
      <w:r>
        <w:rPr>
          <w:rFonts w:hint="eastAsia" w:hAnsi="ˎ̥" w:cs="宋体"/>
          <w:color w:val="000000" w:themeColor="text1"/>
          <w:kern w:val="0"/>
          <w:sz w:val="32"/>
          <w:szCs w:val="32"/>
          <w14:textFill>
            <w14:solidFill>
              <w14:schemeClr w14:val="tx1"/>
            </w14:solidFill>
          </w14:textFill>
        </w:rPr>
        <w:t>年</w:t>
      </w:r>
      <w:r>
        <w:rPr>
          <w:rFonts w:hint="default" w:hAnsi="ˎ̥" w:cs="宋体"/>
          <w:color w:val="000000" w:themeColor="text1"/>
          <w:kern w:val="0"/>
          <w:sz w:val="32"/>
          <w:szCs w:val="32"/>
          <w14:textFill>
            <w14:solidFill>
              <w14:schemeClr w14:val="tx1"/>
            </w14:solidFill>
          </w14:textFill>
        </w:rPr>
        <w:t>经济、财税政策的积极因素，以及体制共享税分成比例提高和留抵退税造成的增值税回补等利好，</w:t>
      </w:r>
      <w:r>
        <w:rPr>
          <w:rFonts w:hint="eastAsia" w:hAnsi="ˎ̥" w:cs="宋体"/>
          <w:kern w:val="0"/>
          <w:szCs w:val="32"/>
        </w:rPr>
        <w:t>按照积极稳妥、科学精准的原则，经综合测算，</w:t>
      </w:r>
      <w:r>
        <w:rPr>
          <w:rFonts w:hint="eastAsia" w:hAnsi="ˎ̥" w:cs="宋体"/>
          <w:b w:val="0"/>
          <w:bCs w:val="0"/>
          <w:color w:val="000000" w:themeColor="text1"/>
          <w:kern w:val="0"/>
          <w:sz w:val="32"/>
          <w:szCs w:val="32"/>
          <w14:textFill>
            <w14:solidFill>
              <w14:schemeClr w14:val="tx1"/>
            </w14:solidFill>
          </w14:textFill>
        </w:rPr>
        <w:t>202</w:t>
      </w:r>
      <w:r>
        <w:rPr>
          <w:rFonts w:hint="default" w:hAnsi="ˎ̥" w:cs="宋体"/>
          <w:b w:val="0"/>
          <w:bCs w:val="0"/>
          <w:color w:val="000000" w:themeColor="text1"/>
          <w:kern w:val="0"/>
          <w:sz w:val="32"/>
          <w:szCs w:val="32"/>
          <w14:textFill>
            <w14:solidFill>
              <w14:schemeClr w14:val="tx1"/>
            </w14:solidFill>
          </w14:textFill>
        </w:rPr>
        <w:t>3</w:t>
      </w:r>
      <w:r>
        <w:rPr>
          <w:rFonts w:hint="eastAsia" w:hAnsi="ˎ̥" w:cs="宋体"/>
          <w:b w:val="0"/>
          <w:bCs w:val="0"/>
          <w:color w:val="000000" w:themeColor="text1"/>
          <w:kern w:val="0"/>
          <w:sz w:val="32"/>
          <w:szCs w:val="32"/>
          <w14:textFill>
            <w14:solidFill>
              <w14:schemeClr w14:val="tx1"/>
            </w14:solidFill>
          </w14:textFill>
        </w:rPr>
        <w:t>年一般公共预算收入</w:t>
      </w:r>
      <w:r>
        <w:rPr>
          <w:rFonts w:hint="default" w:hAnsi="ˎ̥" w:cs="宋体"/>
          <w:b w:val="0"/>
          <w:bCs w:val="0"/>
          <w:color w:val="000000" w:themeColor="text1"/>
          <w:kern w:val="0"/>
          <w:sz w:val="32"/>
          <w:szCs w:val="32"/>
          <w14:textFill>
            <w14:solidFill>
              <w14:schemeClr w14:val="tx1"/>
            </w14:solidFill>
          </w14:textFill>
        </w:rPr>
        <w:t>较上年预算增长20.8％</w:t>
      </w:r>
      <w:r>
        <w:rPr>
          <w:rFonts w:hint="eastAsia" w:hAnsi="ˎ̥" w:cs="宋体"/>
          <w:b w:val="0"/>
          <w:bCs w:val="0"/>
          <w:color w:val="000000" w:themeColor="text1"/>
          <w:kern w:val="0"/>
          <w:szCs w:val="32"/>
          <w14:textFill>
            <w14:solidFill>
              <w14:schemeClr w14:val="tx1"/>
            </w14:solidFill>
          </w14:textFill>
        </w:rPr>
        <w:t>。</w:t>
      </w:r>
      <w:r>
        <w:rPr>
          <w:rFonts w:hint="eastAsia" w:hAnsi="仿宋_GB2312"/>
          <w:color w:val="000000" w:themeColor="text1"/>
          <w:szCs w:val="32"/>
          <w14:textFill>
            <w14:solidFill>
              <w14:schemeClr w14:val="tx1"/>
            </w14:solidFill>
          </w14:textFill>
        </w:rPr>
        <w:t>财政支出方面，</w:t>
      </w:r>
      <w:r>
        <w:rPr>
          <w:rFonts w:hint="default" w:hAnsi="仿宋_GB2312"/>
          <w:color w:val="000000" w:themeColor="text1"/>
          <w:szCs w:val="32"/>
          <w14:textFill>
            <w14:solidFill>
              <w14:schemeClr w14:val="tx1"/>
            </w14:solidFill>
          </w14:textFill>
        </w:rPr>
        <w:t>围绕新区“</w:t>
      </w:r>
      <w:r>
        <w:rPr>
          <w:rFonts w:hint="default" w:hAnsi="仿宋_GB2312"/>
          <w:color w:val="000000" w:themeColor="text1"/>
          <w:szCs w:val="32"/>
          <w:lang w:val="en"/>
          <w14:textFill>
            <w14:solidFill>
              <w14:schemeClr w14:val="tx1"/>
            </w14:solidFill>
          </w14:textFill>
        </w:rPr>
        <w:t>一、二、三、四</w:t>
      </w:r>
      <w:r>
        <w:rPr>
          <w:rFonts w:hint="default" w:hAnsi="仿宋_GB2312"/>
          <w:color w:val="000000" w:themeColor="text1"/>
          <w:szCs w:val="32"/>
          <w14:textFill>
            <w14:solidFill>
              <w14:schemeClr w14:val="tx1"/>
            </w14:solidFill>
          </w14:textFill>
        </w:rPr>
        <w:t>”发展思路，</w:t>
      </w:r>
      <w:r>
        <w:rPr>
          <w:rFonts w:hint="eastAsia" w:hAnsi="仿宋_GB2312"/>
          <w:color w:val="000000" w:themeColor="text1"/>
          <w:szCs w:val="32"/>
          <w14:textFill>
            <w14:solidFill>
              <w14:schemeClr w14:val="tx1"/>
            </w14:solidFill>
          </w14:textFill>
        </w:rPr>
        <w:t>继续向生态环保和重点民生</w:t>
      </w:r>
      <w:r>
        <w:rPr>
          <w:rFonts w:hint="default" w:hAnsi="仿宋_GB2312"/>
          <w:color w:val="000000" w:themeColor="text1"/>
          <w:szCs w:val="32"/>
          <w14:textFill>
            <w14:solidFill>
              <w14:schemeClr w14:val="tx1"/>
            </w14:solidFill>
          </w14:textFill>
        </w:rPr>
        <w:t>等</w:t>
      </w:r>
      <w:r>
        <w:rPr>
          <w:rFonts w:hint="eastAsia" w:hAnsi="仿宋_GB2312"/>
          <w:color w:val="000000" w:themeColor="text1"/>
          <w:szCs w:val="32"/>
          <w14:textFill>
            <w14:solidFill>
              <w14:schemeClr w14:val="tx1"/>
            </w14:solidFill>
          </w14:textFill>
        </w:rPr>
        <w:t>领域倾斜，</w:t>
      </w:r>
      <w:r>
        <w:rPr>
          <w:rFonts w:hint="default" w:hAnsi="仿宋_GB2312"/>
          <w:color w:val="000000" w:themeColor="text1"/>
          <w:szCs w:val="32"/>
          <w14:textFill>
            <w14:solidFill>
              <w14:schemeClr w14:val="tx1"/>
            </w14:solidFill>
          </w14:textFill>
        </w:rPr>
        <w:t>持续加强</w:t>
      </w:r>
      <w:r>
        <w:rPr>
          <w:rFonts w:hint="eastAsia" w:hAnsi="仿宋_GB2312"/>
          <w:color w:val="000000" w:themeColor="text1"/>
          <w:szCs w:val="32"/>
          <w14:textFill>
            <w14:solidFill>
              <w14:schemeClr w14:val="tx1"/>
            </w14:solidFill>
          </w14:textFill>
        </w:rPr>
        <w:t>生态文明建设</w:t>
      </w:r>
      <w:r>
        <w:rPr>
          <w:rFonts w:hint="default" w:hAnsi="仿宋_GB2312"/>
          <w:color w:val="000000" w:themeColor="text1"/>
          <w:szCs w:val="32"/>
          <w14:textFill>
            <w14:solidFill>
              <w14:schemeClr w14:val="tx1"/>
            </w14:solidFill>
          </w14:textFill>
        </w:rPr>
        <w:t>、医疗卫生、教育等方面投入，</w:t>
      </w:r>
      <w:r>
        <w:rPr>
          <w:rFonts w:hint="eastAsia" w:hAnsi="仿宋_GB2312"/>
          <w:color w:val="000000" w:themeColor="text1"/>
          <w:szCs w:val="32"/>
          <w14:textFill>
            <w14:solidFill>
              <w14:schemeClr w14:val="tx1"/>
            </w14:solidFill>
          </w14:textFill>
        </w:rPr>
        <w:t>推进新区更高质量、更可持续发展。</w:t>
      </w:r>
    </w:p>
    <w:p>
      <w:pPr>
        <w:spacing w:line="560" w:lineRule="exact"/>
        <w:rPr>
          <w:rFonts w:ascii="黑体" w:hAnsi="宋体" w:eastAsia="黑体" w:cs="黑体"/>
          <w:color w:val="000000" w:themeColor="text1"/>
          <w:sz w:val="32"/>
          <w:szCs w:val="32"/>
          <w14:textFill>
            <w14:solidFill>
              <w14:schemeClr w14:val="tx1"/>
            </w14:solidFill>
          </w14:textFill>
        </w:rPr>
      </w:pPr>
      <w:r>
        <w:rPr>
          <w:rFonts w:hint="eastAsia" w:ascii="黑体" w:eastAsia="黑体"/>
          <w:color w:val="000000" w:themeColor="text1"/>
          <w14:textFill>
            <w14:solidFill>
              <w14:schemeClr w14:val="tx1"/>
            </w14:solidFill>
          </w14:textFill>
        </w:rPr>
        <w:t>二、</w:t>
      </w:r>
      <w:r>
        <w:rPr>
          <w:rFonts w:hint="eastAsia" w:ascii="黑体" w:hAnsi="宋体" w:eastAsia="黑体" w:cs="黑体"/>
          <w:color w:val="000000" w:themeColor="text1"/>
          <w:sz w:val="32"/>
          <w:szCs w:val="32"/>
          <w14:textFill>
            <w14:solidFill>
              <w14:schemeClr w14:val="tx1"/>
            </w14:solidFill>
          </w14:textFill>
        </w:rPr>
        <w:t>指导思想</w:t>
      </w:r>
    </w:p>
    <w:p>
      <w:pPr>
        <w:keepNext w:val="0"/>
        <w:keepLines w:val="0"/>
        <w:pageBreakBefore w:val="0"/>
        <w:kinsoku/>
        <w:wordWrap/>
        <w:overflowPunct/>
        <w:topLinePunct w:val="0"/>
        <w:bidi w:val="0"/>
        <w:spacing w:after="0" w:line="560" w:lineRule="exact"/>
        <w:ind w:firstLine="628" w:firstLineChars="200"/>
        <w:textAlignment w:val="auto"/>
        <w:rPr>
          <w:rFonts w:ascii="仿宋_GB2312" w:hAns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olor w:val="000000" w:themeColor="text1"/>
          <w:sz w:val="32"/>
          <w:szCs w:val="32"/>
          <w:highlight w:val="none"/>
          <w14:textFill>
            <w14:solidFill>
              <w14:schemeClr w14:val="tx1"/>
            </w14:solidFill>
          </w14:textFill>
        </w:rPr>
        <w:t>坚持以习近平新时代中国特色社会主义思想为指导，全面贯彻党的二十大精神，深入学习贯彻习近平总书记对广东、深圳系列重要讲话和重要指示精神</w:t>
      </w:r>
      <w:r>
        <w:rPr>
          <w:rFonts w:hint="default" w:hAnsi="仿宋_GB2312"/>
          <w:color w:val="000000" w:themeColor="text1"/>
          <w:sz w:val="32"/>
          <w:szCs w:val="32"/>
          <w:highlight w:val="none"/>
          <w14:textFill>
            <w14:solidFill>
              <w14:schemeClr w14:val="tx1"/>
            </w14:solidFill>
          </w14:textFill>
        </w:rPr>
        <w:t>。</w:t>
      </w:r>
      <w:r>
        <w:rPr>
          <w:rFonts w:hint="eastAsia" w:ascii="仿宋_GB2312" w:hAnsi="仿宋_GB2312" w:eastAsia="仿宋_GB2312"/>
          <w:color w:val="000000" w:themeColor="text1"/>
          <w:sz w:val="32"/>
          <w:szCs w:val="32"/>
          <w:highlight w:val="none"/>
          <w14:textFill>
            <w14:solidFill>
              <w14:schemeClr w14:val="tx1"/>
            </w14:solidFill>
          </w14:textFill>
        </w:rPr>
        <w:t>坚持稳中求进工作总基调，</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立足新发展阶段，贯彻新发展理念，构建新发展格局。坚持系统观念,</w:t>
      </w:r>
      <w:r>
        <w:rPr>
          <w:rFonts w:hint="default" w:hAnsi="仿宋_GB2312"/>
          <w:color w:val="000000" w:themeColor="text1"/>
          <w:sz w:val="32"/>
          <w:szCs w:val="32"/>
          <w:highlight w:val="none"/>
          <w:lang w:eastAsia="zh-CN"/>
          <w14:textFill>
            <w14:solidFill>
              <w14:schemeClr w14:val="tx1"/>
            </w14:solidFill>
          </w14:textFill>
        </w:rPr>
        <w:t>统筹</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疫情防控和经济社会发展成果。扎实做好“六稳”工作</w:t>
      </w:r>
      <w:r>
        <w:rPr>
          <w:rFonts w:hint="default" w:hAnsi="仿宋_GB2312"/>
          <w:color w:val="000000" w:themeColor="text1"/>
          <w:sz w:val="32"/>
          <w:szCs w:val="32"/>
          <w:highlight w:val="none"/>
          <w:lang w:val="en" w:eastAsia="zh-CN"/>
          <w14:textFill>
            <w14:solidFill>
              <w14:schemeClr w14:val="tx1"/>
            </w14:solidFill>
          </w14:textFill>
        </w:rPr>
        <w:t>、</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全面落实“六保”任务。</w:t>
      </w:r>
      <w:r>
        <w:rPr>
          <w:rFonts w:hint="default" w:hAnsi="仿宋_GB2312"/>
          <w:color w:val="000000" w:themeColor="text1"/>
          <w:sz w:val="32"/>
          <w:szCs w:val="32"/>
          <w:highlight w:val="none"/>
          <w14:textFill>
            <w14:solidFill>
              <w14:schemeClr w14:val="tx1"/>
            </w14:solidFill>
          </w14:textFill>
        </w:rPr>
        <w:t>根据</w:t>
      </w:r>
      <w:r>
        <w:rPr>
          <w:rFonts w:hint="default" w:hAnsi="仿宋_GB2312"/>
          <w:color w:val="000000" w:themeColor="text1"/>
          <w:sz w:val="32"/>
          <w:szCs w:val="32"/>
          <w:highlight w:val="none"/>
          <w:lang w:eastAsia="zh-CN"/>
          <w14:textFill>
            <w14:solidFill>
              <w14:schemeClr w14:val="tx1"/>
            </w14:solidFill>
          </w14:textFill>
        </w:rPr>
        <w:t>中央</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经济工作</w:t>
      </w:r>
      <w:r>
        <w:rPr>
          <w:rFonts w:hint="default" w:hAnsi="仿宋_GB2312"/>
          <w:color w:val="000000" w:themeColor="text1"/>
          <w:sz w:val="32"/>
          <w:szCs w:val="32"/>
          <w:highlight w:val="none"/>
          <w:lang w:eastAsia="zh-CN"/>
          <w14:textFill>
            <w14:solidFill>
              <w14:schemeClr w14:val="tx1"/>
            </w14:solidFill>
          </w14:textFill>
        </w:rPr>
        <w:t>会议、全国财政工作会议精神</w:t>
      </w:r>
      <w:r>
        <w:rPr>
          <w:rFonts w:hint="eastAsia" w:ascii="仿宋_GB2312" w:hAnsi="仿宋_GB2312" w:eastAsia="仿宋_GB2312"/>
          <w:color w:val="000000" w:themeColor="text1"/>
          <w:sz w:val="32"/>
          <w:szCs w:val="32"/>
          <w:highlight w:val="none"/>
          <w14:textFill>
            <w14:solidFill>
              <w14:schemeClr w14:val="tx1"/>
            </w14:solidFill>
          </w14:textFill>
        </w:rPr>
        <w:t>，</w:t>
      </w:r>
      <w:r>
        <w:rPr>
          <w:rFonts w:hint="eastAsia" w:ascii="仿宋_GB2312" w:eastAsia="仿宋_GB2312" w:cs="仿宋_GB2312"/>
          <w:kern w:val="0"/>
          <w:sz w:val="32"/>
          <w:szCs w:val="32"/>
          <w:highlight w:val="none"/>
          <w:u w:val="none"/>
        </w:rPr>
        <w:t>坚持过</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w:t>
      </w:r>
      <w:r>
        <w:rPr>
          <w:rFonts w:hint="eastAsia" w:ascii="仿宋_GB2312" w:eastAsia="仿宋_GB2312" w:cs="仿宋_GB2312"/>
          <w:kern w:val="0"/>
          <w:sz w:val="32"/>
          <w:szCs w:val="32"/>
          <w:highlight w:val="none"/>
          <w:u w:val="none"/>
        </w:rPr>
        <w:t>紧日子</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w:t>
      </w:r>
      <w:r>
        <w:rPr>
          <w:rFonts w:hint="eastAsia" w:ascii="仿宋_GB2312" w:eastAsia="仿宋_GB2312" w:cs="仿宋_GB2312"/>
          <w:kern w:val="0"/>
          <w:sz w:val="32"/>
          <w:szCs w:val="32"/>
          <w:highlight w:val="none"/>
          <w:u w:val="none"/>
        </w:rPr>
        <w:t>，勤俭节约办一切事业，</w:t>
      </w:r>
      <w:r>
        <w:rPr>
          <w:rFonts w:hint="eastAsia" w:ascii="仿宋_GB2312" w:hAnsi="宋体" w:eastAsia="仿宋_GB2312" w:cs="仿宋_GB2312"/>
          <w:sz w:val="32"/>
          <w:szCs w:val="32"/>
          <w:highlight w:val="none"/>
          <w:u w:val="none"/>
        </w:rPr>
        <w:t>腾出更多</w:t>
      </w:r>
      <w:r>
        <w:rPr>
          <w:rFonts w:hint="eastAsia" w:ascii="仿宋_GB2312" w:hAnsi="楷体" w:eastAsia="仿宋_GB2312" w:cs="仿宋_GB2312"/>
          <w:sz w:val="32"/>
          <w:szCs w:val="32"/>
          <w:highlight w:val="none"/>
          <w:u w:val="none"/>
        </w:rPr>
        <w:t>财力</w:t>
      </w:r>
      <w:r>
        <w:rPr>
          <w:rFonts w:hint="default" w:hAnsi="楷体" w:cs="仿宋_GB2312"/>
          <w:sz w:val="32"/>
          <w:szCs w:val="32"/>
          <w:highlight w:val="none"/>
          <w:u w:val="none"/>
        </w:rPr>
        <w:t>保障和</w:t>
      </w:r>
      <w:r>
        <w:rPr>
          <w:rFonts w:hint="eastAsia" w:ascii="仿宋_GB2312" w:hAnsi="楷体" w:eastAsia="仿宋_GB2312" w:cs="仿宋_GB2312"/>
          <w:sz w:val="32"/>
          <w:szCs w:val="32"/>
          <w:highlight w:val="none"/>
          <w:u w:val="none"/>
        </w:rPr>
        <w:t>改善民生</w:t>
      </w:r>
      <w:r>
        <w:rPr>
          <w:rFonts w:hint="default" w:hAnsi="楷体" w:cs="仿宋_GB2312"/>
          <w:sz w:val="32"/>
          <w:szCs w:val="32"/>
          <w:highlight w:val="none"/>
          <w:u w:val="none"/>
        </w:rPr>
        <w:t>，做到</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积极的财政政策加力提效</w:t>
      </w:r>
      <w:r>
        <w:rPr>
          <w:rFonts w:hint="default" w:hAnsi="仿宋_GB2312"/>
          <w:color w:val="000000" w:themeColor="text1"/>
          <w:sz w:val="32"/>
          <w:szCs w:val="32"/>
          <w:highlight w:val="none"/>
          <w:lang w:eastAsia="zh-CN"/>
          <w14:textFill>
            <w14:solidFill>
              <w14:schemeClr w14:val="tx1"/>
            </w14:solidFill>
          </w14:textFill>
        </w:rPr>
        <w:t>。以“十四五”规划为引领，</w:t>
      </w:r>
      <w:r>
        <w:rPr>
          <w:rFonts w:hint="eastAsia" w:ascii="仿宋_GB2312" w:hAnsi="仿宋_GB2312" w:eastAsia="仿宋_GB2312" w:cs="仿宋_GB2312"/>
          <w:sz w:val="32"/>
          <w:szCs w:val="32"/>
          <w:highlight w:val="none"/>
        </w:rPr>
        <w:t>聚焦新区党工委、管委会各项决策部署，</w:t>
      </w:r>
      <w:r>
        <w:rPr>
          <w:rFonts w:hint="eastAsia" w:ascii="仿宋_GB2312" w:eastAsia="仿宋_GB2312" w:cs="仿宋_GB2312"/>
          <w:kern w:val="0"/>
          <w:sz w:val="32"/>
          <w:szCs w:val="32"/>
          <w:highlight w:val="none"/>
          <w:u w:val="none"/>
        </w:rPr>
        <w:t>严肃财经纪律，</w:t>
      </w:r>
      <w:r>
        <w:rPr>
          <w:rFonts w:hint="eastAsia" w:ascii="仿宋_GB2312" w:hAnsi="仿宋_GB2312" w:eastAsia="仿宋_GB2312"/>
          <w:color w:val="000000" w:themeColor="text1"/>
          <w:sz w:val="32"/>
          <w:szCs w:val="32"/>
          <w:highlight w:val="none"/>
          <w14:textFill>
            <w14:solidFill>
              <w14:schemeClr w14:val="tx1"/>
            </w14:solidFill>
          </w14:textFill>
        </w:rPr>
        <w:t>集中财力支持重大战略、重点改革和重要项目</w:t>
      </w:r>
      <w:r>
        <w:rPr>
          <w:rFonts w:hint="default" w:hAnsi="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sz w:val="32"/>
          <w:szCs w:val="32"/>
          <w:highlight w:val="none"/>
        </w:rPr>
        <w:t>为</w:t>
      </w:r>
      <w:r>
        <w:rPr>
          <w:rFonts w:hint="eastAsia" w:ascii="仿宋_GB2312" w:hAnsi="仿宋_GB2312" w:eastAsia="仿宋_GB2312"/>
          <w:color w:val="000000" w:themeColor="text1"/>
          <w:sz w:val="32"/>
          <w:szCs w:val="32"/>
          <w:highlight w:val="none"/>
          <w14:textFill>
            <w14:solidFill>
              <w14:schemeClr w14:val="tx1"/>
            </w14:solidFill>
          </w14:textFill>
        </w:rPr>
        <w:t>新区</w:t>
      </w:r>
      <w:r>
        <w:rPr>
          <w:rFonts w:hint="eastAsia" w:ascii="仿宋_GB2312" w:hAnsi="仿宋_GB2312" w:eastAsia="仿宋_GB2312" w:cs="仿宋_GB2312"/>
          <w:sz w:val="32"/>
          <w:szCs w:val="32"/>
          <w:highlight w:val="none"/>
        </w:rPr>
        <w:t>打造“绿水青山就是金山银山”实践创新标杆</w:t>
      </w:r>
      <w:r>
        <w:rPr>
          <w:rFonts w:hint="default" w:hAnsi="仿宋_GB2312" w:cs="仿宋_GB2312"/>
          <w:sz w:val="32"/>
          <w:szCs w:val="32"/>
          <w:highlight w:val="none"/>
        </w:rPr>
        <w:t>、</w:t>
      </w:r>
      <w:r>
        <w:rPr>
          <w:rFonts w:hint="eastAsia" w:ascii="仿宋_GB2312" w:hAnsi="仿宋_GB2312" w:eastAsia="仿宋_GB2312"/>
          <w:color w:val="000000" w:themeColor="text1"/>
          <w:sz w:val="32"/>
          <w:szCs w:val="32"/>
          <w:highlight w:val="none"/>
          <w14:textFill>
            <w14:solidFill>
              <w14:schemeClr w14:val="tx1"/>
            </w14:solidFill>
          </w14:textFill>
        </w:rPr>
        <w:t>加快建设全球海洋中心城市集中承载区、打造世界级滨海生态旅游度假区提供</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坚实的财力</w:t>
      </w:r>
      <w:r>
        <w:rPr>
          <w:rFonts w:hint="eastAsia" w:ascii="仿宋_GB2312" w:hAnsi="仿宋_GB2312" w:eastAsia="仿宋_GB2312"/>
          <w:color w:val="000000" w:themeColor="text1"/>
          <w:sz w:val="32"/>
          <w:szCs w:val="32"/>
          <w:highlight w:val="none"/>
          <w14:textFill>
            <w14:solidFill>
              <w14:schemeClr w14:val="tx1"/>
            </w14:solidFill>
          </w14:textFill>
        </w:rPr>
        <w:t>支撑</w:t>
      </w:r>
      <w:r>
        <w:rPr>
          <w:rFonts w:hint="eastAsia" w:ascii="仿宋_GB2312" w:hAnsi="仿宋_GB2312" w:eastAsia="仿宋_GB2312"/>
          <w:color w:val="000000" w:themeColor="text1"/>
          <w:sz w:val="32"/>
          <w:szCs w:val="32"/>
          <w:highlight w:val="none"/>
          <w:lang w:eastAsia="zh-CN"/>
          <w14:textFill>
            <w14:solidFill>
              <w14:schemeClr w14:val="tx1"/>
            </w14:solidFill>
          </w14:textFill>
        </w:rPr>
        <w:t>。</w:t>
      </w:r>
    </w:p>
    <w:p>
      <w:pPr>
        <w:spacing w:line="560" w:lineRule="exact"/>
        <w:ind w:firstLine="628"/>
        <w:rPr>
          <w:rFonts w:hint="default" w:ascii="黑体" w:eastAsia="黑体"/>
          <w:color w:val="000000" w:themeColor="text1"/>
          <w14:textFill>
            <w14:solidFill>
              <w14:schemeClr w14:val="tx1"/>
            </w14:solidFill>
          </w14:textFill>
        </w:rPr>
      </w:pPr>
      <w:r>
        <w:rPr>
          <w:rFonts w:hint="default" w:ascii="黑体" w:eastAsia="黑体"/>
          <w:color w:val="000000" w:themeColor="text1"/>
          <w14:textFill>
            <w14:solidFill>
              <w14:schemeClr w14:val="tx1"/>
            </w14:solidFill>
          </w14:textFill>
        </w:rPr>
        <w:t>三</w:t>
      </w:r>
      <w:r>
        <w:rPr>
          <w:rFonts w:hint="eastAsia" w:ascii="黑体" w:eastAsia="黑体"/>
          <w:color w:val="000000" w:themeColor="text1"/>
          <w14:textFill>
            <w14:solidFill>
              <w14:schemeClr w14:val="tx1"/>
            </w14:solidFill>
          </w14:textFill>
        </w:rPr>
        <w:t>、</w:t>
      </w:r>
      <w:r>
        <w:rPr>
          <w:rFonts w:hint="default" w:ascii="黑体" w:eastAsia="黑体"/>
          <w:color w:val="000000" w:themeColor="text1"/>
          <w14:textFill>
            <w14:solidFill>
              <w14:schemeClr w14:val="tx1"/>
            </w14:solidFill>
          </w14:textFill>
        </w:rPr>
        <w:t>预算编制的主要</w:t>
      </w:r>
      <w:r>
        <w:rPr>
          <w:rFonts w:hint="eastAsia" w:ascii="黑体" w:eastAsia="黑体"/>
          <w:color w:val="000000" w:themeColor="text1"/>
          <w14:textFill>
            <w14:solidFill>
              <w14:schemeClr w14:val="tx1"/>
            </w14:solidFill>
          </w14:textFill>
        </w:rPr>
        <w:t>原则</w:t>
      </w:r>
      <w:r>
        <w:rPr>
          <w:rFonts w:hint="default" w:ascii="黑体" w:eastAsia="黑体"/>
          <w:color w:val="000000" w:themeColor="text1"/>
          <w14:textFill>
            <w14:solidFill>
              <w14:schemeClr w14:val="tx1"/>
            </w14:solidFill>
          </w14:textFill>
        </w:rPr>
        <w:t>及总体考虑</w:t>
      </w:r>
    </w:p>
    <w:p>
      <w:pPr>
        <w:spacing w:beforeLines="0" w:afterLines="0" w:line="560" w:lineRule="exact"/>
        <w:ind w:firstLine="628"/>
        <w:rPr>
          <w:rFonts w:hint="default" w:ascii="楷体_GB2312" w:hAnsi="宋体" w:eastAsia="楷体_GB2312" w:cs="黑体"/>
          <w:color w:val="000000" w:themeColor="text1"/>
          <w:sz w:val="32"/>
          <w:szCs w:val="32"/>
          <w:highlight w:val="none"/>
          <w14:textFill>
            <w14:solidFill>
              <w14:schemeClr w14:val="tx1"/>
            </w14:solidFill>
          </w14:textFill>
        </w:rPr>
      </w:pPr>
      <w:r>
        <w:rPr>
          <w:rFonts w:hint="eastAsia" w:ascii="楷体_GB2312" w:hAnsi="宋体" w:eastAsia="楷体_GB2312" w:cs="黑体"/>
          <w:color w:val="000000" w:themeColor="text1"/>
          <w:sz w:val="32"/>
          <w:szCs w:val="32"/>
          <w:highlight w:val="none"/>
          <w14:textFill>
            <w14:solidFill>
              <w14:schemeClr w14:val="tx1"/>
            </w14:solidFill>
          </w14:textFill>
        </w:rPr>
        <w:t>（一）</w:t>
      </w:r>
      <w:r>
        <w:rPr>
          <w:rFonts w:hint="eastAsia" w:ascii="楷体_GB2312" w:hAnsi="楷体_GB2312" w:eastAsia="楷体_GB2312" w:cs="楷体_GB2312"/>
          <w:color w:val="000000" w:themeColor="text1"/>
          <w:sz w:val="32"/>
          <w:szCs w:val="32"/>
          <w:highlight w:val="none"/>
          <w14:textFill>
            <w14:solidFill>
              <w14:schemeClr w14:val="tx1"/>
            </w14:solidFill>
          </w14:textFill>
        </w:rPr>
        <w:t>突出</w:t>
      </w:r>
      <w:r>
        <w:rPr>
          <w:rFonts w:ascii="楷体_GB2312" w:hAnsi="楷体_GB2312" w:eastAsia="楷体_GB2312" w:cs="楷体_GB2312"/>
          <w:color w:val="000000" w:themeColor="text1"/>
          <w:sz w:val="32"/>
          <w:szCs w:val="32"/>
          <w:highlight w:val="none"/>
          <w14:textFill>
            <w14:solidFill>
              <w14:schemeClr w14:val="tx1"/>
            </w14:solidFill>
          </w14:textFill>
        </w:rPr>
        <w:t>中心工作，聚焦重点</w:t>
      </w:r>
    </w:p>
    <w:p>
      <w:pPr>
        <w:numPr>
          <w:ilvl w:val="0"/>
          <w:numId w:val="0"/>
        </w:numPr>
        <w:spacing w:beforeLines="0" w:afterLines="0" w:line="560" w:lineRule="exact"/>
        <w:ind w:firstLine="628"/>
        <w:rPr>
          <w:rFonts w:hint="default" w:ascii="楷体_GB2312" w:hAnsi="宋体" w:eastAsia="楷体_GB2312" w:cs="黑体"/>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围绕</w:t>
      </w:r>
      <w:r>
        <w:rPr>
          <w:rFonts w:hint="default" w:hAnsi="仿宋_GB2312" w:cs="仿宋_GB2312"/>
          <w:color w:val="000000" w:themeColor="text1"/>
          <w:sz w:val="32"/>
          <w:szCs w:val="32"/>
          <w:highlight w:val="none"/>
          <w14:textFill>
            <w14:solidFill>
              <w14:schemeClr w14:val="tx1"/>
            </w14:solidFill>
          </w14:textFill>
        </w:rPr>
        <w:t>新区</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Ansi="仿宋_GB2312" w:cs="仿宋_GB2312"/>
          <w:color w:val="000000" w:themeColor="text1"/>
          <w:sz w:val="32"/>
          <w:szCs w:val="32"/>
          <w:highlight w:val="none"/>
          <w:lang w:val="en"/>
          <w14:textFill>
            <w14:solidFill>
              <w14:schemeClr w14:val="tx1"/>
            </w14:solidFill>
          </w14:textFill>
        </w:rPr>
        <w:t>一、二、三、四</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ascii="仿宋_GB2312" w:hAnsi="仿宋_GB2312" w:eastAsia="仿宋_GB2312" w:cs="仿宋_GB2312"/>
          <w:color w:val="000000" w:themeColor="text1"/>
          <w:sz w:val="32"/>
          <w:szCs w:val="32"/>
          <w:highlight w:val="none"/>
          <w14:textFill>
            <w14:solidFill>
              <w14:schemeClr w14:val="tx1"/>
            </w14:solidFill>
          </w14:textFill>
        </w:rPr>
        <w:t>发展思路，</w:t>
      </w:r>
      <w:r>
        <w:rPr>
          <w:rFonts w:hint="eastAsia" w:ascii="仿宋_GB2312" w:hAnsi="仿宋_GB2312" w:eastAsia="仿宋_GB2312" w:cs="仿宋_GB2312"/>
          <w:color w:val="000000" w:themeColor="text1"/>
          <w:sz w:val="32"/>
          <w:szCs w:val="32"/>
          <w:highlight w:val="none"/>
          <w14:textFill>
            <w14:solidFill>
              <w14:schemeClr w14:val="tx1"/>
            </w14:solidFill>
          </w14:textFill>
        </w:rPr>
        <w:t>聚焦新区党工委、管委会各项决策部署，</w:t>
      </w:r>
      <w:r>
        <w:rPr>
          <w:rFonts w:hint="default" w:cs="仿宋_GB2312"/>
          <w:kern w:val="0"/>
          <w:sz w:val="32"/>
          <w:szCs w:val="32"/>
          <w:highlight w:val="none"/>
          <w:u w:val="none"/>
        </w:rPr>
        <w:t>重点保障</w:t>
      </w:r>
      <w:r>
        <w:rPr>
          <w:rFonts w:hint="default" w:hAnsi="仿宋_GB2312"/>
          <w:color w:val="000000" w:themeColor="text1"/>
          <w:sz w:val="32"/>
          <w:szCs w:val="32"/>
          <w:highlight w:val="none"/>
          <w14:textFill>
            <w14:solidFill>
              <w14:schemeClr w14:val="tx1"/>
            </w14:solidFill>
          </w14:textFill>
        </w:rPr>
        <w:t>创建全国文明城市、产业发展、生态环保</w:t>
      </w:r>
      <w:r>
        <w:rPr>
          <w:rFonts w:hint="eastAsia" w:ascii="仿宋_GB2312" w:eastAsia="仿宋_GB2312" w:cs="仿宋_GB2312"/>
          <w:kern w:val="0"/>
          <w:sz w:val="32"/>
          <w:szCs w:val="32"/>
          <w:highlight w:val="none"/>
          <w:u w:val="none"/>
        </w:rPr>
        <w:t>及教育、医疗、住房等民生领域</w:t>
      </w:r>
      <w:r>
        <w:rPr>
          <w:rFonts w:hint="default" w:cs="仿宋_GB2312"/>
          <w:kern w:val="0"/>
          <w:sz w:val="32"/>
          <w:szCs w:val="32"/>
          <w:highlight w:val="none"/>
          <w:u w:val="none"/>
        </w:rPr>
        <w:t>资金需求。</w:t>
      </w:r>
      <w:r>
        <w:rPr>
          <w:rFonts w:hint="eastAsia" w:hAnsi="仿宋_GB2312"/>
          <w:color w:val="000000" w:themeColor="text1"/>
          <w:sz w:val="32"/>
          <w:szCs w:val="32"/>
          <w:highlight w:val="none"/>
          <w14:textFill>
            <w14:solidFill>
              <w14:schemeClr w14:val="tx1"/>
            </w14:solidFill>
          </w14:textFill>
        </w:rPr>
        <w:t>按照轻重缓急原则统筹安排支出</w:t>
      </w:r>
      <w:r>
        <w:rPr>
          <w:rFonts w:hint="default" w:hAnsi="仿宋_GB2312"/>
          <w:color w:val="000000" w:themeColor="text1"/>
          <w:sz w:val="32"/>
          <w:szCs w:val="32"/>
          <w:highlight w:val="none"/>
          <w:lang w:val="en"/>
          <w14:textFill>
            <w14:solidFill>
              <w14:schemeClr w14:val="tx1"/>
            </w14:solidFill>
          </w14:textFill>
        </w:rPr>
        <w:t>，</w:t>
      </w:r>
      <w:bookmarkStart w:id="0" w:name="_GoBack"/>
      <w:bookmarkEnd w:id="0"/>
      <w:r>
        <w:rPr>
          <w:rFonts w:hint="eastAsia" w:hAnsi="仿宋_GB2312"/>
          <w:color w:val="000000" w:themeColor="text1"/>
          <w:sz w:val="32"/>
          <w:szCs w:val="32"/>
          <w:highlight w:val="none"/>
          <w14:textFill>
            <w14:solidFill>
              <w14:schemeClr w14:val="tx1"/>
            </w14:solidFill>
          </w14:textFill>
        </w:rPr>
        <w:t>坚持集中财力办大事，</w:t>
      </w:r>
      <w:r>
        <w:rPr>
          <w:rFonts w:ascii="仿宋_GB2312" w:hAnsi="仿宋_GB2312" w:eastAsia="仿宋_GB2312" w:cs="仿宋_GB2312"/>
          <w:kern w:val="0"/>
          <w:sz w:val="32"/>
          <w:szCs w:val="32"/>
          <w:highlight w:val="none"/>
        </w:rPr>
        <w:t>突出</w:t>
      </w:r>
      <w:r>
        <w:rPr>
          <w:rFonts w:hint="eastAsia" w:ascii="仿宋_GB2312" w:hAnsi="仿宋_GB2312" w:eastAsia="仿宋_GB2312"/>
          <w:sz w:val="32"/>
          <w:szCs w:val="32"/>
          <w:highlight w:val="none"/>
        </w:rPr>
        <w:t>重大项目和重要片区发展</w:t>
      </w:r>
      <w:r>
        <w:rPr>
          <w:rFonts w:ascii="仿宋_GB2312" w:hAnsi="仿宋_GB2312" w:eastAsia="仿宋_GB2312"/>
          <w:sz w:val="32"/>
          <w:szCs w:val="32"/>
          <w:highlight w:val="none"/>
        </w:rPr>
        <w:t>的引领带动作用</w:t>
      </w:r>
      <w:r>
        <w:rPr>
          <w:rFonts w:hint="eastAsia" w:ascii="仿宋_GB2312" w:hAnsi="仿宋_GB2312" w:eastAsia="仿宋_GB2312"/>
          <w:sz w:val="32"/>
          <w:szCs w:val="32"/>
          <w:highlight w:val="none"/>
        </w:rPr>
        <w:t>，</w:t>
      </w:r>
      <w:r>
        <w:rPr>
          <w:rFonts w:hint="eastAsia" w:ascii="仿宋_GB2312" w:eastAsia="仿宋_GB2312" w:cs="仿宋_GB2312"/>
          <w:kern w:val="0"/>
          <w:sz w:val="32"/>
          <w:szCs w:val="32"/>
          <w:highlight w:val="none"/>
          <w:u w:val="none"/>
        </w:rPr>
        <w:t>增强</w:t>
      </w:r>
      <w:r>
        <w:rPr>
          <w:rFonts w:hint="default" w:hAnsi="仿宋_GB2312" w:cs="仿宋_GB2312"/>
          <w:sz w:val="32"/>
          <w:szCs w:val="32"/>
          <w:highlight w:val="none"/>
          <w:u w:val="none"/>
        </w:rPr>
        <w:t>新区</w:t>
      </w:r>
      <w:r>
        <w:rPr>
          <w:rFonts w:hint="eastAsia" w:ascii="仿宋_GB2312" w:hAnsi="仿宋_GB2312" w:eastAsia="仿宋_GB2312" w:cs="仿宋_GB2312"/>
          <w:sz w:val="32"/>
          <w:szCs w:val="32"/>
          <w:highlight w:val="none"/>
          <w:u w:val="none"/>
        </w:rPr>
        <w:t>重大战略、重点项目和重点区域建设财力保障</w:t>
      </w:r>
      <w:r>
        <w:rPr>
          <w:rFonts w:hint="default" w:hAnsi="仿宋_GB2312"/>
          <w:color w:val="000000" w:themeColor="text1"/>
          <w:sz w:val="32"/>
          <w:szCs w:val="32"/>
          <w:highlight w:val="none"/>
          <w14:textFill>
            <w14:solidFill>
              <w14:schemeClr w14:val="tx1"/>
            </w14:solidFill>
          </w14:textFill>
        </w:rPr>
        <w:t>，为</w:t>
      </w:r>
      <w:r>
        <w:rPr>
          <w:rFonts w:hint="default" w:hAnsi="仿宋_GB2312"/>
          <w:color w:val="000000" w:themeColor="text1"/>
          <w:sz w:val="32"/>
          <w:szCs w:val="32"/>
          <w:highlight w:val="none"/>
          <w:lang w:val="en-US" w:eastAsia="zh-CN"/>
          <w14:textFill>
            <w14:solidFill>
              <w14:schemeClr w14:val="tx1"/>
            </w14:solidFill>
          </w14:textFill>
        </w:rPr>
        <w:t>新区奋力打造“两山”实践创新标杆</w:t>
      </w:r>
      <w:r>
        <w:rPr>
          <w:rFonts w:hint="default" w:hAnsi="仿宋_GB2312"/>
          <w:color w:val="000000" w:themeColor="text1"/>
          <w:sz w:val="32"/>
          <w:szCs w:val="32"/>
          <w:highlight w:val="none"/>
          <w14:textFill>
            <w14:solidFill>
              <w14:schemeClr w14:val="tx1"/>
            </w14:solidFill>
          </w14:textFill>
        </w:rPr>
        <w:t>做好财力保障</w:t>
      </w:r>
      <w:r>
        <w:rPr>
          <w:rFonts w:hint="eastAsia" w:ascii="仿宋_GB2312" w:hAnsi="仿宋_GB2312" w:eastAsia="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28" w:firstLineChars="200"/>
        <w:textAlignment w:val="auto"/>
        <w:rPr>
          <w:rFonts w:hint="eastAsia" w:ascii="楷体_GB2312" w:eastAsia="楷体_GB2312" w:cs="楷体_GB2312"/>
          <w:bCs/>
          <w:kern w:val="0"/>
          <w:sz w:val="32"/>
          <w:szCs w:val="32"/>
          <w:highlight w:val="none"/>
          <w:u w:val="none"/>
        </w:rPr>
      </w:pPr>
      <w:r>
        <w:rPr>
          <w:rFonts w:hint="default" w:ascii="楷体_GB2312" w:hAnsi="宋体" w:eastAsia="楷体_GB2312" w:cs="黑体"/>
          <w:color w:val="000000" w:themeColor="text1"/>
          <w:sz w:val="32"/>
          <w:szCs w:val="32"/>
          <w:highlight w:val="none"/>
          <w14:textFill>
            <w14:solidFill>
              <w14:schemeClr w14:val="tx1"/>
            </w14:solidFill>
          </w14:textFill>
        </w:rPr>
        <w:t>（</w:t>
      </w:r>
      <w:r>
        <w:rPr>
          <w:rFonts w:hint="eastAsia" w:ascii="楷体_GB2312" w:hAnsi="宋体" w:eastAsia="楷体_GB2312" w:cs="黑体"/>
          <w:color w:val="000000" w:themeColor="text1"/>
          <w:sz w:val="32"/>
          <w:szCs w:val="32"/>
          <w:highlight w:val="none"/>
          <w14:textFill>
            <w14:solidFill>
              <w14:schemeClr w14:val="tx1"/>
            </w14:solidFill>
          </w14:textFill>
        </w:rPr>
        <w:t>二</w:t>
      </w:r>
      <w:r>
        <w:rPr>
          <w:rFonts w:hint="default" w:ascii="楷体_GB2312" w:hAnsi="宋体" w:eastAsia="楷体_GB2312" w:cs="黑体"/>
          <w:color w:val="000000" w:themeColor="text1"/>
          <w:sz w:val="32"/>
          <w:szCs w:val="32"/>
          <w:highlight w:val="none"/>
          <w14:textFill>
            <w14:solidFill>
              <w14:schemeClr w14:val="tx1"/>
            </w14:solidFill>
          </w14:textFill>
        </w:rPr>
        <w:t>）</w:t>
      </w:r>
      <w:r>
        <w:rPr>
          <w:rFonts w:hint="default" w:ascii="楷体_GB2312" w:eastAsia="楷体_GB2312" w:cs="楷体_GB2312"/>
          <w:bCs/>
          <w:kern w:val="0"/>
          <w:sz w:val="32"/>
          <w:szCs w:val="32"/>
          <w:highlight w:val="none"/>
          <w:u w:val="none"/>
        </w:rPr>
        <w:t>突出</w:t>
      </w:r>
      <w:r>
        <w:rPr>
          <w:rFonts w:hint="eastAsia" w:ascii="楷体_GB2312" w:eastAsia="楷体_GB2312" w:cs="楷体_GB2312"/>
          <w:bCs/>
          <w:kern w:val="0"/>
          <w:sz w:val="32"/>
          <w:szCs w:val="32"/>
          <w:highlight w:val="none"/>
          <w:u w:val="none"/>
        </w:rPr>
        <w:t>培育增量</w:t>
      </w:r>
      <w:r>
        <w:rPr>
          <w:rFonts w:hint="default" w:ascii="楷体_GB2312" w:eastAsia="楷体_GB2312" w:cs="楷体_GB2312"/>
          <w:bCs/>
          <w:kern w:val="0"/>
          <w:sz w:val="32"/>
          <w:szCs w:val="32"/>
          <w:highlight w:val="none"/>
          <w:u w:val="none"/>
        </w:rPr>
        <w:t>，</w:t>
      </w:r>
      <w:r>
        <w:rPr>
          <w:rFonts w:hint="eastAsia" w:ascii="楷体_GB2312" w:eastAsia="楷体_GB2312" w:cs="楷体_GB2312"/>
          <w:bCs/>
          <w:kern w:val="0"/>
          <w:sz w:val="32"/>
          <w:szCs w:val="32"/>
          <w:highlight w:val="none"/>
          <w:u w:val="none"/>
        </w:rPr>
        <w:t>挖掘存量</w:t>
      </w:r>
    </w:p>
    <w:p>
      <w:pPr>
        <w:numPr>
          <w:ilvl w:val="0"/>
          <w:numId w:val="0"/>
        </w:numPr>
        <w:spacing w:beforeLines="0" w:afterLines="0" w:line="560" w:lineRule="exact"/>
        <w:ind w:firstLine="628"/>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仿宋_GB2312" w:eastAsia="仿宋_GB2312"/>
          <w:sz w:val="32"/>
          <w:szCs w:val="32"/>
          <w:highlight w:val="none"/>
          <w:u w:val="none"/>
        </w:rPr>
        <w:t>统筹新区疫情防控与经济社会发展</w:t>
      </w:r>
      <w:r>
        <w:rPr>
          <w:rFonts w:hint="default" w:ascii="仿宋_GB2312" w:eastAsia="仿宋_GB2312"/>
          <w:sz w:val="32"/>
          <w:szCs w:val="32"/>
          <w:highlight w:val="none"/>
          <w:u w:val="none"/>
        </w:rPr>
        <w:t>，</w:t>
      </w:r>
      <w:r>
        <w:rPr>
          <w:rFonts w:hint="eastAsia" w:ascii="仿宋_GB2312" w:eastAsia="仿宋_GB2312"/>
          <w:sz w:val="32"/>
          <w:szCs w:val="32"/>
          <w:highlight w:val="none"/>
          <w:u w:val="none"/>
        </w:rPr>
        <w:t>全面落实各项减税降费政策，</w:t>
      </w:r>
      <w:r>
        <w:rPr>
          <w:rFonts w:hint="eastAsia" w:ascii="仿宋_GB2312" w:hAnsi="仿宋_GB2312" w:eastAsia="仿宋_GB2312" w:cs="仿宋_GB2312"/>
          <w:sz w:val="32"/>
          <w:szCs w:val="32"/>
          <w:highlight w:val="none"/>
          <w:u w:val="none"/>
        </w:rPr>
        <w:t>持续激发市场主体活力，</w:t>
      </w:r>
      <w:r>
        <w:rPr>
          <w:rFonts w:hint="eastAsia" w:ascii="仿宋_GB2312" w:eastAsia="仿宋_GB2312"/>
          <w:sz w:val="32"/>
          <w:szCs w:val="32"/>
          <w:highlight w:val="none"/>
          <w:u w:val="none"/>
        </w:rPr>
        <w:t>努力培植壮大财源</w:t>
      </w:r>
      <w:r>
        <w:rPr>
          <w:rFonts w:hint="eastAsia" w:ascii="宋体" w:hAnsi="宋体" w:eastAsia="仿宋_GB2312" w:cs="宋体"/>
          <w:bCs/>
          <w:snapToGrid w:val="0"/>
          <w:kern w:val="0"/>
          <w:sz w:val="32"/>
          <w:szCs w:val="32"/>
          <w:highlight w:val="none"/>
          <w:u w:val="none"/>
        </w:rPr>
        <w:t>。</w:t>
      </w:r>
      <w:r>
        <w:rPr>
          <w:rFonts w:hint="eastAsia" w:ascii="仿宋_GB2312" w:hAnsi="仿宋_GB2312" w:eastAsia="仿宋_GB2312" w:cs="仿宋_GB2312"/>
          <w:sz w:val="32"/>
          <w:szCs w:val="32"/>
          <w:highlight w:val="none"/>
          <w:u w:val="none"/>
        </w:rPr>
        <w:t>加大</w:t>
      </w:r>
      <w:r>
        <w:rPr>
          <w:rFonts w:hint="default" w:hAnsi="仿宋_GB2312" w:cs="仿宋_GB2312"/>
          <w:sz w:val="32"/>
          <w:szCs w:val="32"/>
          <w:highlight w:val="none"/>
          <w:u w:val="none"/>
        </w:rPr>
        <w:t>专项</w:t>
      </w:r>
      <w:r>
        <w:rPr>
          <w:rFonts w:hint="eastAsia" w:ascii="仿宋_GB2312" w:hAnsi="仿宋_GB2312" w:eastAsia="仿宋_GB2312" w:cs="仿宋_GB2312"/>
          <w:sz w:val="32"/>
          <w:szCs w:val="32"/>
          <w:highlight w:val="none"/>
          <w:u w:val="none"/>
        </w:rPr>
        <w:t>债券发行使用力度，多渠道增强财政统筹保障能力。</w:t>
      </w:r>
      <w:r>
        <w:rPr>
          <w:rFonts w:hint="eastAsia" w:ascii="仿宋_GB2312" w:eastAsia="仿宋_GB2312"/>
          <w:sz w:val="32"/>
          <w:szCs w:val="32"/>
          <w:highlight w:val="none"/>
          <w:u w:val="none"/>
        </w:rPr>
        <w:t>依法依规加强各项税费收入征管，</w:t>
      </w:r>
      <w:r>
        <w:rPr>
          <w:rFonts w:hint="eastAsia" w:ascii="宋体" w:hAnsi="宋体" w:eastAsia="仿宋_GB2312" w:cs="宋体"/>
          <w:bCs/>
          <w:snapToGrid w:val="0"/>
          <w:kern w:val="0"/>
          <w:sz w:val="32"/>
          <w:szCs w:val="32"/>
          <w:highlight w:val="none"/>
          <w:u w:val="none"/>
        </w:rPr>
        <w:t>科学分析预测、</w:t>
      </w:r>
      <w:r>
        <w:rPr>
          <w:rFonts w:hint="eastAsia" w:ascii="宋体" w:hAnsi="宋体" w:eastAsia="仿宋_GB2312"/>
          <w:snapToGrid w:val="0"/>
          <w:kern w:val="0"/>
          <w:sz w:val="32"/>
          <w:szCs w:val="32"/>
          <w:highlight w:val="none"/>
          <w:u w:val="none"/>
        </w:rPr>
        <w:t>实事求是编制收入预算</w:t>
      </w:r>
      <w:r>
        <w:rPr>
          <w:rFonts w:hint="eastAsia" w:ascii="宋体" w:hAnsi="宋体" w:eastAsia="仿宋_GB2312" w:cs="宋体"/>
          <w:bCs/>
          <w:snapToGrid w:val="0"/>
          <w:kern w:val="0"/>
          <w:sz w:val="32"/>
          <w:szCs w:val="32"/>
          <w:highlight w:val="none"/>
          <w:u w:val="none"/>
        </w:rPr>
        <w:t>。</w:t>
      </w:r>
      <w:r>
        <w:rPr>
          <w:rFonts w:hint="eastAsia" w:ascii="仿宋_GB2312" w:hAnsi="仿宋_GB2312" w:eastAsia="仿宋_GB2312" w:cs="仿宋_GB2312"/>
          <w:snapToGrid w:val="0"/>
          <w:kern w:val="0"/>
          <w:sz w:val="32"/>
          <w:szCs w:val="32"/>
          <w:highlight w:val="none"/>
          <w:u w:val="none"/>
        </w:rPr>
        <w:t>大力</w:t>
      </w:r>
      <w:r>
        <w:rPr>
          <w:rFonts w:hint="eastAsia" w:ascii="仿宋_GB2312" w:eastAsia="仿宋_GB2312"/>
          <w:sz w:val="32"/>
          <w:szCs w:val="32"/>
          <w:highlight w:val="none"/>
          <w:u w:val="none"/>
        </w:rPr>
        <w:t>盘活部门存量资金、政府投资基金等各类资金。</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28" w:firstLineChars="200"/>
        <w:textAlignment w:val="auto"/>
        <w:rPr>
          <w:rFonts w:ascii="楷体_GB2312" w:hAnsi="楷体_GB2312" w:eastAsia="楷体_GB2312" w:cs="楷体_GB2312"/>
          <w:color w:val="000000" w:themeColor="text1"/>
          <w:sz w:val="32"/>
          <w:szCs w:val="32"/>
          <w:highlight w:val="none"/>
          <w14:textFill>
            <w14:solidFill>
              <w14:schemeClr w14:val="tx1"/>
            </w14:solidFill>
          </w14:textFill>
        </w:rPr>
      </w:pPr>
      <w:r>
        <w:rPr>
          <w:rFonts w:hint="default" w:ascii="楷体_GB2312" w:hAnsi="楷体_GB2312" w:eastAsia="楷体_GB2312" w:cs="楷体_GB2312"/>
          <w:color w:val="000000" w:themeColor="text1"/>
          <w:sz w:val="32"/>
          <w:szCs w:val="32"/>
          <w:highlight w:val="none"/>
          <w14:textFill>
            <w14:solidFill>
              <w14:schemeClr w14:val="tx1"/>
            </w14:solidFill>
          </w14:textFill>
        </w:rPr>
        <w:t>（三）</w:t>
      </w:r>
      <w:r>
        <w:rPr>
          <w:rFonts w:hint="eastAsia" w:ascii="楷体_GB2312" w:hAnsi="楷体_GB2312" w:eastAsia="楷体_GB2312" w:cs="楷体_GB2312"/>
          <w:color w:val="000000" w:themeColor="text1"/>
          <w:sz w:val="32"/>
          <w:szCs w:val="32"/>
          <w:highlight w:val="none"/>
          <w14:textFill>
            <w14:solidFill>
              <w14:schemeClr w14:val="tx1"/>
            </w14:solidFill>
          </w14:textFill>
        </w:rPr>
        <w:t>突出</w:t>
      </w:r>
      <w:r>
        <w:rPr>
          <w:rFonts w:ascii="楷体_GB2312" w:hAnsi="楷体_GB2312" w:eastAsia="楷体_GB2312" w:cs="楷体_GB2312"/>
          <w:color w:val="000000" w:themeColor="text1"/>
          <w:sz w:val="32"/>
          <w:szCs w:val="32"/>
          <w:highlight w:val="none"/>
          <w14:textFill>
            <w14:solidFill>
              <w14:schemeClr w14:val="tx1"/>
            </w14:solidFill>
          </w14:textFill>
        </w:rPr>
        <w:t>压减存量，厉行节约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588" w:firstLineChars="200"/>
        <w:textAlignment w:val="auto"/>
        <w:rPr>
          <w:rFonts w:hint="eastAsia" w:hAnsi="仿宋_GB2312" w:cs="宋体"/>
          <w:b/>
          <w:color w:val="000000" w:themeColor="text1"/>
          <w:sz w:val="30"/>
          <w:szCs w:val="30"/>
          <w:highlight w:val="none"/>
          <w14:textFill>
            <w14:solidFill>
              <w14:schemeClr w14:val="tx1"/>
            </w14:solidFill>
          </w14:textFill>
        </w:rPr>
      </w:pPr>
      <w:r>
        <w:rPr>
          <w:rFonts w:hint="default" w:hAnsi="仿宋_GB2312"/>
          <w:color w:val="000000" w:themeColor="text1"/>
          <w:sz w:val="30"/>
          <w:szCs w:val="30"/>
          <w:highlight w:val="none"/>
          <w14:textFill>
            <w14:solidFill>
              <w14:schemeClr w14:val="tx1"/>
            </w14:solidFill>
          </w14:textFill>
        </w:rPr>
        <w:t>牢固树立</w:t>
      </w:r>
      <w:r>
        <w:rPr>
          <w:rFonts w:hint="eastAsia" w:ascii="仿宋_GB2312" w:eastAsia="仿宋_GB2312" w:cs="仿宋_GB2312"/>
          <w:kern w:val="0"/>
          <w:sz w:val="32"/>
          <w:szCs w:val="32"/>
          <w:highlight w:val="none"/>
          <w:u w:val="none"/>
        </w:rPr>
        <w:t>过</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w:t>
      </w:r>
      <w:r>
        <w:rPr>
          <w:rFonts w:hint="eastAsia" w:ascii="仿宋_GB2312" w:eastAsia="仿宋_GB2312" w:cs="仿宋_GB2312"/>
          <w:kern w:val="0"/>
          <w:sz w:val="32"/>
          <w:szCs w:val="32"/>
          <w:highlight w:val="none"/>
          <w:u w:val="none"/>
        </w:rPr>
        <w:t>紧日子</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w:t>
      </w:r>
      <w:r>
        <w:rPr>
          <w:rFonts w:hint="eastAsia" w:hAnsi="仿宋_GB2312"/>
          <w:color w:val="000000" w:themeColor="text1"/>
          <w:sz w:val="30"/>
          <w:szCs w:val="30"/>
          <w:highlight w:val="none"/>
          <w14:textFill>
            <w14:solidFill>
              <w14:schemeClr w14:val="tx1"/>
            </w14:solidFill>
          </w14:textFill>
        </w:rPr>
        <w:t>思想</w:t>
      </w:r>
      <w:r>
        <w:rPr>
          <w:rFonts w:hint="default" w:hAnsi="仿宋_GB2312"/>
          <w:color w:val="000000" w:themeColor="text1"/>
          <w:sz w:val="30"/>
          <w:szCs w:val="30"/>
          <w:highlight w:val="none"/>
          <w14:textFill>
            <w14:solidFill>
              <w14:schemeClr w14:val="tx1"/>
            </w14:solidFill>
          </w14:textFill>
        </w:rPr>
        <w:t>，坚持政府</w:t>
      </w:r>
      <w:r>
        <w:rPr>
          <w:rFonts w:hint="eastAsia" w:ascii="仿宋_GB2312" w:eastAsia="仿宋_GB2312" w:cs="仿宋_GB2312"/>
          <w:kern w:val="0"/>
          <w:sz w:val="32"/>
          <w:szCs w:val="32"/>
          <w:highlight w:val="none"/>
          <w:u w:val="none"/>
        </w:rPr>
        <w:t>过</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w:t>
      </w:r>
      <w:r>
        <w:rPr>
          <w:rFonts w:hint="eastAsia" w:ascii="仿宋_GB2312" w:eastAsia="仿宋_GB2312" w:cs="仿宋_GB2312"/>
          <w:kern w:val="0"/>
          <w:sz w:val="32"/>
          <w:szCs w:val="32"/>
          <w:highlight w:val="none"/>
          <w:u w:val="none"/>
        </w:rPr>
        <w:t>紧日子</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w:t>
      </w:r>
      <w:r>
        <w:rPr>
          <w:rFonts w:hint="default" w:hAnsi="仿宋_GB2312"/>
          <w:color w:val="000000" w:themeColor="text1"/>
          <w:sz w:val="30"/>
          <w:szCs w:val="30"/>
          <w:highlight w:val="none"/>
          <w14:textFill>
            <w14:solidFill>
              <w14:schemeClr w14:val="tx1"/>
            </w14:solidFill>
          </w14:textFill>
        </w:rPr>
        <w:t>，</w:t>
      </w:r>
      <w:r>
        <w:rPr>
          <w:rFonts w:hint="eastAsia" w:ascii="仿宋_GB2312" w:eastAsia="仿宋_GB2312" w:cs="仿宋_GB2312"/>
          <w:kern w:val="0"/>
          <w:sz w:val="30"/>
          <w:szCs w:val="30"/>
          <w:highlight w:val="none"/>
          <w:u w:val="none"/>
        </w:rPr>
        <w:t>勤俭节约办一切事业</w:t>
      </w:r>
      <w:r>
        <w:rPr>
          <w:rFonts w:hint="default" w:hAnsi="仿宋_GB2312" w:cs="仿宋_GB2312"/>
          <w:color w:val="000000" w:themeColor="text1"/>
          <w:sz w:val="30"/>
          <w:szCs w:val="30"/>
          <w:highlight w:val="none"/>
          <w:lang w:eastAsia="zh-CN"/>
          <w14:textFill>
            <w14:solidFill>
              <w14:schemeClr w14:val="tx1"/>
            </w14:solidFill>
          </w14:textFill>
        </w:rPr>
        <w:t>。</w:t>
      </w:r>
      <w:r>
        <w:rPr>
          <w:rFonts w:hint="eastAsia" w:hAnsi="仿宋_GB2312" w:cs="仿宋_GB2312"/>
          <w:color w:val="000000" w:themeColor="text1"/>
          <w:sz w:val="30"/>
          <w:szCs w:val="30"/>
          <w:highlight w:val="none"/>
          <w:lang w:val="en-US" w:eastAsia="zh-CN"/>
          <w14:textFill>
            <w14:solidFill>
              <w14:schemeClr w14:val="tx1"/>
            </w14:solidFill>
          </w14:textFill>
        </w:rPr>
        <w:t>更加注重精打细算、厉行节约，</w:t>
      </w:r>
      <w:r>
        <w:rPr>
          <w:rFonts w:hint="eastAsia" w:hAnsi="仿宋_GB2312"/>
          <w:color w:val="000000" w:themeColor="text1"/>
          <w:sz w:val="30"/>
          <w:szCs w:val="30"/>
          <w:highlight w:val="none"/>
          <w14:textFill>
            <w14:solidFill>
              <w14:schemeClr w14:val="tx1"/>
            </w14:solidFill>
          </w14:textFill>
        </w:rPr>
        <w:t>持续贯彻落实中央八项规定</w:t>
      </w:r>
      <w:r>
        <w:rPr>
          <w:rFonts w:hint="default" w:hAnsi="仿宋_GB2312"/>
          <w:color w:val="000000" w:themeColor="text1"/>
          <w:sz w:val="30"/>
          <w:szCs w:val="30"/>
          <w:highlight w:val="none"/>
          <w14:textFill>
            <w14:solidFill>
              <w14:schemeClr w14:val="tx1"/>
            </w14:solidFill>
          </w14:textFill>
        </w:rPr>
        <w:t>精神</w:t>
      </w:r>
      <w:r>
        <w:rPr>
          <w:rFonts w:hint="eastAsia" w:hAnsi="仿宋_GB2312"/>
          <w:color w:val="000000" w:themeColor="text1"/>
          <w:sz w:val="30"/>
          <w:szCs w:val="30"/>
          <w:highlight w:val="none"/>
          <w14:textFill>
            <w14:solidFill>
              <w14:schemeClr w14:val="tx1"/>
            </w14:solidFill>
          </w14:textFill>
        </w:rPr>
        <w:t>要求</w:t>
      </w:r>
      <w:r>
        <w:rPr>
          <w:rFonts w:hint="default" w:hAnsi="仿宋_GB2312"/>
          <w:color w:val="000000" w:themeColor="text1"/>
          <w:sz w:val="30"/>
          <w:szCs w:val="30"/>
          <w:highlight w:val="none"/>
          <w14:textFill>
            <w14:solidFill>
              <w14:schemeClr w14:val="tx1"/>
            </w14:solidFill>
          </w14:textFill>
        </w:rPr>
        <w:t>。</w:t>
      </w:r>
      <w:r>
        <w:rPr>
          <w:rFonts w:hint="default" w:hAnsi="仿宋_GB2312"/>
          <w:color w:val="000000" w:themeColor="text1"/>
          <w:sz w:val="30"/>
          <w:szCs w:val="30"/>
          <w:highlight w:val="none"/>
          <w:lang w:eastAsia="zh-CN"/>
          <w14:textFill>
            <w14:solidFill>
              <w14:schemeClr w14:val="tx1"/>
            </w14:solidFill>
          </w14:textFill>
        </w:rPr>
        <w:t>大力压缩一般性支出，</w:t>
      </w:r>
      <w:r>
        <w:rPr>
          <w:rFonts w:ascii="仿宋_GB2312" w:hAnsi="仿宋_GB2312" w:eastAsia="仿宋_GB2312" w:cs="仿宋_GB2312"/>
          <w:color w:val="000000" w:themeColor="text1"/>
          <w:sz w:val="30"/>
          <w:szCs w:val="30"/>
          <w:highlight w:val="none"/>
          <w14:textFill>
            <w14:solidFill>
              <w14:schemeClr w14:val="tx1"/>
            </w14:solidFill>
          </w14:textFill>
        </w:rPr>
        <w:t>对非必要、非重点存量项目资金进行压减</w:t>
      </w:r>
      <w:r>
        <w:rPr>
          <w:rFonts w:hAnsi="仿宋_GB2312" w:cs="仿宋_GB2312"/>
          <w:color w:val="000000" w:themeColor="text1"/>
          <w:sz w:val="30"/>
          <w:szCs w:val="30"/>
          <w:highlight w:val="none"/>
          <w14:textFill>
            <w14:solidFill>
              <w14:schemeClr w14:val="tx1"/>
            </w14:solidFill>
          </w14:textFill>
        </w:rPr>
        <w:t>，</w:t>
      </w:r>
      <w:r>
        <w:rPr>
          <w:rFonts w:hint="eastAsia"/>
          <w:color w:val="000000" w:themeColor="text1"/>
          <w:sz w:val="30"/>
          <w:szCs w:val="30"/>
          <w:highlight w:val="none"/>
          <w14:textFill>
            <w14:solidFill>
              <w14:schemeClr w14:val="tx1"/>
            </w14:solidFill>
          </w14:textFill>
        </w:rPr>
        <w:t>将节省的财政资金</w:t>
      </w:r>
      <w:r>
        <w:rPr>
          <w:rFonts w:hint="default"/>
          <w:color w:val="000000" w:themeColor="text1"/>
          <w:sz w:val="30"/>
          <w:szCs w:val="30"/>
          <w:highlight w:val="none"/>
          <w14:textFill>
            <w14:solidFill>
              <w14:schemeClr w14:val="tx1"/>
            </w14:solidFill>
          </w14:textFill>
        </w:rPr>
        <w:t>统筹</w:t>
      </w:r>
      <w:r>
        <w:rPr>
          <w:rFonts w:hint="eastAsia"/>
          <w:color w:val="000000" w:themeColor="text1"/>
          <w:sz w:val="30"/>
          <w:szCs w:val="30"/>
          <w:highlight w:val="none"/>
          <w14:textFill>
            <w14:solidFill>
              <w14:schemeClr w14:val="tx1"/>
            </w14:solidFill>
          </w14:textFill>
        </w:rPr>
        <w:t>用于重点领域和重点民生事业发展</w:t>
      </w:r>
      <w:r>
        <w:rPr>
          <w:rFonts w:hint="eastAsia" w:hAnsi="仿宋_GB2312" w:cs="宋体"/>
          <w:color w:val="000000" w:themeColor="text1"/>
          <w:sz w:val="30"/>
          <w:szCs w:val="30"/>
          <w:highlight w:val="none"/>
          <w14:textFill>
            <w14:solidFill>
              <w14:schemeClr w14:val="tx1"/>
            </w14:solidFill>
          </w14:textFill>
        </w:rPr>
        <w:t>。</w:t>
      </w:r>
    </w:p>
    <w:p>
      <w:pPr>
        <w:numPr>
          <w:ilvl w:val="0"/>
          <w:numId w:val="0"/>
        </w:numPr>
        <w:spacing w:beforeLines="0" w:afterLines="0" w:line="560" w:lineRule="exact"/>
        <w:ind w:leftChars="163"/>
        <w:rPr>
          <w:rFonts w:hint="default" w:ascii="楷体_GB2312" w:hAnsi="楷体_GB2312" w:eastAsia="楷体_GB2312" w:cs="楷体_GB2312"/>
          <w:color w:val="000000" w:themeColor="text1"/>
          <w:sz w:val="32"/>
          <w:szCs w:val="32"/>
          <w:highlight w:val="none"/>
          <w14:textFill>
            <w14:solidFill>
              <w14:schemeClr w14:val="tx1"/>
            </w14:solidFill>
          </w14:textFill>
        </w:rPr>
      </w:pPr>
      <w:r>
        <w:rPr>
          <w:rFonts w:hint="default" w:ascii="楷体_GB2312" w:hAnsi="楷体_GB2312" w:eastAsia="楷体_GB2312" w:cs="楷体_GB2312"/>
          <w:color w:val="000000" w:themeColor="text1"/>
          <w:sz w:val="32"/>
          <w:szCs w:val="32"/>
          <w:highlight w:val="none"/>
          <w14:textFill>
            <w14:solidFill>
              <w14:schemeClr w14:val="tx1"/>
            </w14:solidFill>
          </w14:textFill>
        </w:rPr>
        <w:t>（四）</w:t>
      </w:r>
      <w:r>
        <w:rPr>
          <w:rFonts w:hint="eastAsia" w:ascii="楷体_GB2312" w:hAnsi="楷体_GB2312" w:eastAsia="楷体_GB2312" w:cs="楷体_GB2312"/>
          <w:color w:val="000000" w:themeColor="text1"/>
          <w:sz w:val="32"/>
          <w:szCs w:val="32"/>
          <w:highlight w:val="none"/>
          <w14:textFill>
            <w14:solidFill>
              <w14:schemeClr w14:val="tx1"/>
            </w14:solidFill>
          </w14:textFill>
        </w:rPr>
        <w:t>突出</w:t>
      </w:r>
      <w:r>
        <w:rPr>
          <w:rFonts w:ascii="楷体_GB2312" w:hAnsi="楷体_GB2312" w:eastAsia="楷体_GB2312" w:cs="楷体_GB2312"/>
          <w:color w:val="000000" w:themeColor="text1"/>
          <w:sz w:val="32"/>
          <w:szCs w:val="32"/>
          <w:highlight w:val="none"/>
          <w14:textFill>
            <w14:solidFill>
              <w14:schemeClr w14:val="tx1"/>
            </w14:solidFill>
          </w14:textFill>
        </w:rPr>
        <w:t>资源整合，统筹兼顾</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28" w:firstLineChars="200"/>
        <w:textAlignment w:val="auto"/>
        <w:rPr>
          <w:rFonts w:hint="eastAsia" w:hAnsi="仿宋_GB2312"/>
          <w:color w:val="000000" w:themeColor="text1"/>
          <w:sz w:val="32"/>
          <w:szCs w:val="32"/>
          <w:highlight w:val="none"/>
          <w14:textFill>
            <w14:solidFill>
              <w14:schemeClr w14:val="tx1"/>
            </w14:solidFill>
          </w14:textFill>
        </w:rPr>
      </w:pPr>
      <w:r>
        <w:rPr>
          <w:rFonts w:hAnsi="仿宋_GB2312" w:cs="仿宋_GB2312"/>
          <w:color w:val="000000" w:themeColor="text1"/>
          <w:sz w:val="32"/>
          <w:szCs w:val="32"/>
          <w:highlight w:val="none"/>
          <w:lang w:val="en-US" w:eastAsia="zh-CN"/>
          <w14:textFill>
            <w14:solidFill>
              <w14:schemeClr w14:val="tx1"/>
            </w14:solidFill>
          </w14:textFill>
        </w:rPr>
        <w:t>坚持系统观念，</w:t>
      </w:r>
      <w:r>
        <w:rPr>
          <w:rFonts w:hint="default" w:hAnsi="仿宋_GB2312" w:cs="仿宋_GB2312"/>
          <w:color w:val="000000" w:themeColor="text1"/>
          <w:sz w:val="32"/>
          <w:szCs w:val="32"/>
          <w:highlight w:val="none"/>
          <w:lang w:val="en-US" w:eastAsia="zh-CN"/>
          <w14:textFill>
            <w14:solidFill>
              <w14:schemeClr w14:val="tx1"/>
            </w14:solidFill>
          </w14:textFill>
        </w:rPr>
        <w:t>注重整体谋划，</w:t>
      </w:r>
      <w:r>
        <w:rPr>
          <w:rFonts w:hAnsi="仿宋_GB2312" w:cs="仿宋_GB2312"/>
          <w:color w:val="000000" w:themeColor="text1"/>
          <w:sz w:val="32"/>
          <w:szCs w:val="32"/>
          <w:highlight w:val="none"/>
          <w:lang w:eastAsia="zh-CN"/>
          <w14:textFill>
            <w14:solidFill>
              <w14:schemeClr w14:val="tx1"/>
            </w14:solidFill>
          </w14:textFill>
        </w:rPr>
        <w:t>树立新区“一盘棋”理念，综合施策，协同发力，</w:t>
      </w:r>
      <w:r>
        <w:rPr>
          <w:rFonts w:hAnsi="仿宋_GB2312" w:cs="仿宋_GB2312"/>
          <w:color w:val="000000" w:themeColor="text1"/>
          <w:sz w:val="32"/>
          <w:szCs w:val="32"/>
          <w:highlight w:val="none"/>
          <w:lang w:val="en-US" w:eastAsia="zh-CN"/>
          <w14:textFill>
            <w14:solidFill>
              <w14:schemeClr w14:val="tx1"/>
            </w14:solidFill>
          </w14:textFill>
        </w:rPr>
        <w:t>全面加强预算管理</w:t>
      </w:r>
      <w:r>
        <w:rPr>
          <w:rFonts w:hAnsi="仿宋_GB2312" w:cs="仿宋_GB2312"/>
          <w:color w:val="000000" w:themeColor="text1"/>
          <w:sz w:val="32"/>
          <w:szCs w:val="32"/>
          <w:highlight w:val="none"/>
          <w:lang w:eastAsia="zh-CN"/>
          <w14:textFill>
            <w14:solidFill>
              <w14:schemeClr w14:val="tx1"/>
            </w14:solidFill>
          </w14:textFill>
        </w:rPr>
        <w:t>。</w:t>
      </w:r>
      <w:r>
        <w:rPr>
          <w:rFonts w:ascii="仿宋_GB2312" w:hAnsi="仿宋_GB2312" w:eastAsia="仿宋_GB2312" w:cs="仿宋_GB2312"/>
          <w:color w:val="000000" w:themeColor="text1"/>
          <w:sz w:val="32"/>
          <w:szCs w:val="32"/>
          <w:highlight w:val="none"/>
          <w14:textFill>
            <w14:solidFill>
              <w14:schemeClr w14:val="tx1"/>
            </w14:solidFill>
          </w14:textFill>
        </w:rPr>
        <w:t>按照条块结合原则，持续优化资金配置</w:t>
      </w:r>
      <w:r>
        <w:rPr>
          <w:rFonts w:hAnsi="仿宋_GB2312" w:cs="仿宋_GB2312"/>
          <w:color w:val="000000" w:themeColor="text1"/>
          <w:sz w:val="32"/>
          <w:szCs w:val="32"/>
          <w:highlight w:val="none"/>
          <w14:textFill>
            <w14:solidFill>
              <w14:schemeClr w14:val="tx1"/>
            </w14:solidFill>
          </w14:textFill>
        </w:rPr>
        <w:t>，</w:t>
      </w:r>
      <w:r>
        <w:rPr>
          <w:rFonts w:hint="default" w:hAnsi="仿宋_GB2312" w:cs="仿宋_GB2312"/>
          <w:color w:val="000000" w:themeColor="text1"/>
          <w:sz w:val="32"/>
          <w:szCs w:val="32"/>
          <w:highlight w:val="none"/>
          <w:lang w:val="en-US" w:eastAsia="zh-CN"/>
          <w14:textFill>
            <w14:solidFill>
              <w14:schemeClr w14:val="tx1"/>
            </w14:solidFill>
          </w14:textFill>
        </w:rPr>
        <w:t>坚持局部和整体、当前和长远、重点和非重点的统一，</w:t>
      </w:r>
      <w:r>
        <w:rPr>
          <w:rFonts w:hint="default" w:hAnsi="仿宋_GB2312" w:cs="仿宋_GB2312"/>
          <w:color w:val="000000" w:themeColor="text1"/>
          <w:sz w:val="32"/>
          <w:szCs w:val="32"/>
          <w:highlight w:val="none"/>
          <w14:textFill>
            <w14:solidFill>
              <w14:schemeClr w14:val="tx1"/>
            </w14:solidFill>
          </w14:textFill>
        </w:rPr>
        <w:t>切实</w:t>
      </w:r>
      <w:r>
        <w:rPr>
          <w:rFonts w:hint="eastAsia" w:ascii="仿宋_GB2312" w:hAnsi="仿宋_GB2312" w:eastAsia="仿宋_GB2312" w:cs="仿宋_GB2312"/>
          <w:color w:val="000000" w:themeColor="text1"/>
          <w:sz w:val="32"/>
          <w:szCs w:val="32"/>
          <w:highlight w:val="none"/>
          <w14:textFill>
            <w14:solidFill>
              <w14:schemeClr w14:val="tx1"/>
            </w14:solidFill>
          </w14:textFill>
        </w:rPr>
        <w:t>发挥预算资金</w:t>
      </w:r>
      <w:r>
        <w:rPr>
          <w:rFonts w:hint="default" w:hAnsi="仿宋_GB2312" w:cs="仿宋_GB2312"/>
          <w:color w:val="000000" w:themeColor="text1"/>
          <w:sz w:val="32"/>
          <w:szCs w:val="32"/>
          <w:highlight w:val="none"/>
          <w14:textFill>
            <w14:solidFill>
              <w14:schemeClr w14:val="tx1"/>
            </w14:solidFill>
          </w14:textFill>
        </w:rPr>
        <w:t>调控</w:t>
      </w:r>
      <w:r>
        <w:rPr>
          <w:rFonts w:hint="eastAsia" w:ascii="仿宋_GB2312" w:hAnsi="仿宋_GB2312" w:eastAsia="仿宋_GB2312" w:cs="仿宋_GB2312"/>
          <w:color w:val="000000" w:themeColor="text1"/>
          <w:sz w:val="32"/>
          <w:szCs w:val="32"/>
          <w:highlight w:val="none"/>
          <w14:textFill>
            <w14:solidFill>
              <w14:schemeClr w14:val="tx1"/>
            </w14:solidFill>
          </w14:textFill>
        </w:rPr>
        <w:t>作用，</w:t>
      </w:r>
      <w:r>
        <w:rPr>
          <w:rFonts w:hint="default" w:hAnsi="仿宋_GB2312" w:cs="仿宋_GB2312"/>
          <w:color w:val="000000" w:themeColor="text1"/>
          <w:sz w:val="32"/>
          <w:szCs w:val="32"/>
          <w:highlight w:val="none"/>
          <w14:textFill>
            <w14:solidFill>
              <w14:schemeClr w14:val="tx1"/>
            </w14:solidFill>
          </w14:textFill>
        </w:rPr>
        <w:t>着力</w:t>
      </w:r>
      <w:r>
        <w:rPr>
          <w:rFonts w:hint="eastAsia" w:ascii="仿宋_GB2312" w:hAnsi="仿宋_GB2312" w:eastAsia="仿宋_GB2312" w:cs="仿宋_GB2312"/>
          <w:color w:val="000000" w:themeColor="text1"/>
          <w:sz w:val="32"/>
          <w:szCs w:val="32"/>
          <w:highlight w:val="none"/>
          <w14:textFill>
            <w14:solidFill>
              <w14:schemeClr w14:val="tx1"/>
            </w14:solidFill>
          </w14:textFill>
        </w:rPr>
        <w:t>解决预算安排</w:t>
      </w:r>
      <w:r>
        <w:rPr>
          <w:rFonts w:ascii="仿宋_GB2312" w:hAnsi="仿宋_GB2312" w:eastAsia="仿宋_GB2312" w:cs="仿宋_GB2312"/>
          <w:color w:val="000000" w:themeColor="text1"/>
          <w:sz w:val="32"/>
          <w:szCs w:val="32"/>
          <w:highlight w:val="none"/>
          <w14:textFill>
            <w14:solidFill>
              <w14:schemeClr w14:val="tx1"/>
            </w14:solidFill>
          </w14:textFill>
        </w:rPr>
        <w:t>小而散</w:t>
      </w:r>
      <w:r>
        <w:rPr>
          <w:rFonts w:hAnsi="仿宋_GB2312" w:cs="仿宋_GB2312"/>
          <w:color w:val="000000" w:themeColor="text1"/>
          <w:sz w:val="32"/>
          <w:szCs w:val="32"/>
          <w:highlight w:val="none"/>
          <w14:textFill>
            <w14:solidFill>
              <w14:schemeClr w14:val="tx1"/>
            </w14:solidFill>
          </w14:textFill>
        </w:rPr>
        <w:t>、</w:t>
      </w:r>
      <w:r>
        <w:rPr>
          <w:rFonts w:ascii="仿宋_GB2312" w:hAnsi="仿宋_GB2312" w:eastAsia="仿宋_GB2312" w:cs="仿宋_GB2312"/>
          <w:color w:val="000000" w:themeColor="text1"/>
          <w:sz w:val="32"/>
          <w:szCs w:val="32"/>
          <w:highlight w:val="none"/>
          <w14:textFill>
            <w14:solidFill>
              <w14:schemeClr w14:val="tx1"/>
            </w14:solidFill>
          </w14:textFill>
        </w:rPr>
        <w:t>多而弱的</w:t>
      </w:r>
      <w:r>
        <w:rPr>
          <w:rFonts w:hint="eastAsia" w:ascii="仿宋_GB2312" w:hAnsi="仿宋_GB2312" w:eastAsia="仿宋_GB2312" w:cs="仿宋_GB2312"/>
          <w:color w:val="000000" w:themeColor="text1"/>
          <w:sz w:val="32"/>
          <w:szCs w:val="32"/>
          <w:highlight w:val="none"/>
          <w14:textFill>
            <w14:solidFill>
              <w14:schemeClr w14:val="tx1"/>
            </w14:solidFill>
          </w14:textFill>
        </w:rPr>
        <w:t>问题</w:t>
      </w:r>
      <w:r>
        <w:rPr>
          <w:rFonts w:hint="default" w:hAnsi="仿宋_GB2312" w:cs="仿宋_GB2312"/>
          <w:color w:val="000000" w:themeColor="text1"/>
          <w:sz w:val="32"/>
          <w:szCs w:val="32"/>
          <w:highlight w:val="none"/>
          <w14:textFill>
            <w14:solidFill>
              <w14:schemeClr w14:val="tx1"/>
            </w14:solidFill>
          </w14:textFill>
        </w:rPr>
        <w:t>，持续</w:t>
      </w:r>
      <w:r>
        <w:rPr>
          <w:rFonts w:hint="eastAsia" w:ascii="仿宋_GB2312" w:hAnsi="仿宋_GB2312" w:eastAsia="仿宋_GB2312" w:cs="仿宋_GB2312"/>
          <w:color w:val="000000" w:themeColor="text1"/>
          <w:sz w:val="32"/>
          <w:szCs w:val="32"/>
          <w:highlight w:val="none"/>
          <w14:textFill>
            <w14:solidFill>
              <w14:schemeClr w14:val="tx1"/>
            </w14:solidFill>
          </w14:textFill>
        </w:rPr>
        <w:t>提升财政资金集约整合效能</w:t>
      </w:r>
      <w:r>
        <w:rPr>
          <w:rFonts w:hint="default" w:hAnsi="仿宋_GB2312" w:cs="仿宋_GB2312"/>
          <w:color w:val="000000" w:themeColor="text1"/>
          <w:sz w:val="32"/>
          <w:szCs w:val="32"/>
          <w:highlight w:val="none"/>
          <w14:textFill>
            <w14:solidFill>
              <w14:schemeClr w14:val="tx1"/>
            </w14:solidFill>
          </w14:textFill>
        </w:rPr>
        <w:t>。</w:t>
      </w:r>
    </w:p>
    <w:p>
      <w:pPr>
        <w:spacing w:beforeLines="0" w:afterLines="0" w:line="560" w:lineRule="exact"/>
        <w:ind w:firstLine="511" w:firstLineChars="163"/>
        <w:rPr>
          <w:rFonts w:hint="default" w:hAnsi="宋体" w:cs="黑体"/>
          <w:color w:val="000000" w:themeColor="text1"/>
          <w:sz w:val="32"/>
          <w:szCs w:val="32"/>
          <w:highlight w:val="none"/>
          <w14:textFill>
            <w14:solidFill>
              <w14:schemeClr w14:val="tx1"/>
            </w14:solidFill>
          </w14:textFill>
        </w:rPr>
      </w:pPr>
      <w:r>
        <w:rPr>
          <w:rFonts w:hint="eastAsia" w:ascii="楷体_GB2312" w:hAnsi="黑体" w:eastAsia="楷体_GB2312" w:cs="黑体"/>
          <w:color w:val="000000" w:themeColor="text1"/>
          <w:sz w:val="32"/>
          <w:szCs w:val="32"/>
          <w:highlight w:val="none"/>
          <w14:textFill>
            <w14:solidFill>
              <w14:schemeClr w14:val="tx1"/>
            </w14:solidFill>
          </w14:textFill>
        </w:rPr>
        <w:t>（</w:t>
      </w:r>
      <w:r>
        <w:rPr>
          <w:rFonts w:hint="default" w:ascii="楷体_GB2312" w:hAnsi="黑体" w:eastAsia="楷体_GB2312" w:cs="黑体"/>
          <w:color w:val="000000" w:themeColor="text1"/>
          <w:sz w:val="32"/>
          <w:szCs w:val="32"/>
          <w:highlight w:val="none"/>
          <w14:textFill>
            <w14:solidFill>
              <w14:schemeClr w14:val="tx1"/>
            </w14:solidFill>
          </w14:textFill>
        </w:rPr>
        <w:t>五</w:t>
      </w:r>
      <w:r>
        <w:rPr>
          <w:rFonts w:hint="eastAsia" w:ascii="楷体_GB2312" w:hAnsi="黑体" w:eastAsia="楷体_GB2312" w:cs="黑体"/>
          <w:color w:val="000000" w:themeColor="text1"/>
          <w:sz w:val="32"/>
          <w:szCs w:val="32"/>
          <w:highlight w:val="none"/>
          <w14:textFill>
            <w14:solidFill>
              <w14:schemeClr w14:val="tx1"/>
            </w14:solidFill>
          </w14:textFill>
        </w:rPr>
        <w:t>）</w:t>
      </w:r>
      <w:r>
        <w:rPr>
          <w:rFonts w:hint="default" w:ascii="楷体_GB2312" w:hAnsi="黑体" w:eastAsia="楷体_GB2312" w:cs="黑体"/>
          <w:color w:val="000000" w:themeColor="text1"/>
          <w:sz w:val="32"/>
          <w:szCs w:val="32"/>
          <w:highlight w:val="none"/>
          <w14:textFill>
            <w14:solidFill>
              <w14:schemeClr w14:val="tx1"/>
            </w14:solidFill>
          </w14:textFill>
        </w:rPr>
        <w:t>突出绩效导向，提质增效</w:t>
      </w:r>
    </w:p>
    <w:p>
      <w:pPr>
        <w:keepNext w:val="0"/>
        <w:keepLines w:val="0"/>
        <w:pageBreakBefore w:val="0"/>
        <w:kinsoku/>
        <w:wordWrap/>
        <w:overflowPunct/>
        <w:topLinePunct w:val="0"/>
        <w:bidi w:val="0"/>
        <w:spacing w:after="0" w:line="560" w:lineRule="exact"/>
        <w:ind w:firstLine="628" w:firstLineChars="200"/>
        <w:textAlignment w:val="auto"/>
        <w:rPr>
          <w:rFonts w:hint="eastAsia"/>
          <w:color w:val="000000" w:themeColor="text1"/>
          <w:sz w:val="32"/>
          <w:szCs w:val="24"/>
          <w:highlight w:val="none"/>
          <w14:textFill>
            <w14:solidFill>
              <w14:schemeClr w14:val="tx1"/>
            </w14:solidFill>
          </w14:textFill>
        </w:rPr>
      </w:pPr>
      <w:r>
        <w:rPr>
          <w:rFonts w:hint="eastAsia" w:hAnsi="宋体" w:cs="黑体"/>
          <w:color w:val="000000" w:themeColor="text1"/>
          <w:sz w:val="32"/>
          <w:szCs w:val="32"/>
          <w:highlight w:val="none"/>
          <w14:textFill>
            <w14:solidFill>
              <w14:schemeClr w14:val="tx1"/>
            </w14:solidFill>
          </w14:textFill>
        </w:rPr>
        <w:t>深化预算绩效管理改革，</w:t>
      </w:r>
      <w:r>
        <w:rPr>
          <w:rFonts w:hint="eastAsia" w:ascii="仿宋_GB2312" w:eastAsia="仿宋_GB2312" w:cs="仿宋_GB2312"/>
          <w:kern w:val="0"/>
          <w:sz w:val="32"/>
          <w:szCs w:val="32"/>
          <w:highlight w:val="none"/>
          <w:u w:val="none"/>
        </w:rPr>
        <w:t>落实预算安排</w:t>
      </w:r>
      <w:r>
        <w:rPr>
          <w:rFonts w:hint="eastAsia" w:ascii="仿宋_GB2312" w:hAnsi="仿宋" w:eastAsia="仿宋_GB2312" w:cs="仿宋"/>
          <w:bCs/>
          <w:color w:val="auto"/>
          <w:sz w:val="32"/>
          <w:szCs w:val="32"/>
          <w:u w:val="none" w:color="auto"/>
          <w:lang w:eastAsia="zh-CN"/>
        </w:rPr>
        <w:t>与三年滚动规划、支出进度、绩效</w:t>
      </w:r>
      <w:r>
        <w:rPr>
          <w:rFonts w:hint="default" w:ascii="仿宋_GB2312" w:hAnsi="仿宋" w:eastAsia="仿宋_GB2312" w:cs="仿宋"/>
          <w:bCs/>
          <w:color w:val="auto"/>
          <w:sz w:val="32"/>
          <w:szCs w:val="32"/>
          <w:u w:val="none" w:color="auto"/>
          <w:lang w:eastAsia="zh-CN"/>
        </w:rPr>
        <w:t>评价</w:t>
      </w:r>
      <w:r>
        <w:rPr>
          <w:rFonts w:hint="eastAsia" w:ascii="仿宋_GB2312" w:hAnsi="仿宋" w:eastAsia="仿宋_GB2312" w:cs="仿宋"/>
          <w:bCs/>
          <w:color w:val="auto"/>
          <w:sz w:val="32"/>
          <w:szCs w:val="32"/>
          <w:u w:val="none" w:color="auto"/>
          <w:lang w:eastAsia="zh-CN"/>
        </w:rPr>
        <w:t>“三挂钩”机制</w:t>
      </w:r>
      <w:r>
        <w:rPr>
          <w:rFonts w:hint="eastAsia" w:ascii="仿宋_GB2312" w:hAnsi="仿宋_GB2312" w:eastAsia="仿宋_GB2312" w:cs="仿宋_GB2312"/>
          <w:color w:val="auto"/>
          <w:sz w:val="32"/>
          <w:szCs w:val="32"/>
          <w:highlight w:val="none"/>
          <w:u w:val="none" w:color="auto"/>
          <w:lang w:eastAsia="zh-CN"/>
        </w:rPr>
        <w:t>。</w:t>
      </w:r>
      <w:r>
        <w:rPr>
          <w:rFonts w:hint="eastAsia" w:hAnsi="宋体" w:cs="黑体"/>
          <w:color w:val="000000" w:themeColor="text1"/>
          <w:sz w:val="32"/>
          <w:szCs w:val="32"/>
          <w:highlight w:val="none"/>
          <w:lang w:val="en-US" w:eastAsia="zh-CN"/>
          <w14:textFill>
            <w14:solidFill>
              <w14:schemeClr w14:val="tx1"/>
            </w14:solidFill>
          </w14:textFill>
        </w:rPr>
        <w:t>推进预算绩效管理“全方位、全过程、全覆盖”体系建设</w:t>
      </w:r>
      <w:r>
        <w:rPr>
          <w:rFonts w:hint="default" w:hAnsi="宋体" w:cs="黑体"/>
          <w:color w:val="000000" w:themeColor="text1"/>
          <w:sz w:val="32"/>
          <w:szCs w:val="32"/>
          <w:highlight w:val="none"/>
          <w:lang w:eastAsia="zh-CN"/>
          <w14:textFill>
            <w14:solidFill>
              <w14:schemeClr w14:val="tx1"/>
            </w14:solidFill>
          </w14:textFill>
        </w:rPr>
        <w:t>。</w:t>
      </w:r>
      <w:r>
        <w:rPr>
          <w:rFonts w:hint="eastAsia" w:hAnsi="宋体" w:cs="黑体"/>
          <w:color w:val="000000" w:themeColor="text1"/>
          <w:sz w:val="32"/>
          <w:szCs w:val="32"/>
          <w:highlight w:val="none"/>
          <w:lang w:val="en-US" w:eastAsia="zh-CN"/>
          <w14:textFill>
            <w14:solidFill>
              <w14:schemeClr w14:val="tx1"/>
            </w14:solidFill>
          </w14:textFill>
        </w:rPr>
        <w:t>加强绩效评价结果与预算安排的有机结合</w:t>
      </w:r>
      <w:r>
        <w:rPr>
          <w:rFonts w:hint="default" w:hAnsi="宋体" w:cs="黑体"/>
          <w:color w:val="000000" w:themeColor="text1"/>
          <w:sz w:val="32"/>
          <w:szCs w:val="32"/>
          <w:highlight w:val="none"/>
          <w:lang w:eastAsia="zh-CN"/>
          <w14:textFill>
            <w14:solidFill>
              <w14:schemeClr w14:val="tx1"/>
            </w14:solidFill>
          </w14:textFill>
        </w:rPr>
        <w:t>，</w:t>
      </w:r>
      <w:r>
        <w:rPr>
          <w:rFonts w:hint="eastAsia" w:ascii="仿宋_GB2312" w:eastAsia="仿宋_GB2312" w:cs="仿宋_GB2312"/>
          <w:kern w:val="0"/>
          <w:sz w:val="32"/>
          <w:szCs w:val="32"/>
          <w:highlight w:val="none"/>
          <w:u w:val="none"/>
        </w:rPr>
        <w:t>压减低效支出、取消无效支出、保障重点支出，</w:t>
      </w:r>
      <w:r>
        <w:rPr>
          <w:rFonts w:hint="eastAsia" w:ascii="仿宋_GB2312" w:eastAsia="仿宋_GB2312" w:cs="Calibri"/>
          <w:sz w:val="32"/>
          <w:szCs w:val="32"/>
          <w:highlight w:val="none"/>
          <w:u w:val="none"/>
        </w:rPr>
        <w:t>着力提升预算管理水平和政策实施效果</w:t>
      </w:r>
      <w:r>
        <w:rPr>
          <w:rFonts w:hint="default" w:cs="Calibri"/>
          <w:sz w:val="32"/>
          <w:szCs w:val="32"/>
          <w:highlight w:val="none"/>
          <w:u w:val="none"/>
        </w:rPr>
        <w:t>，切实将财政资金花在刀刃上</w:t>
      </w:r>
      <w:r>
        <w:rPr>
          <w:rFonts w:hint="eastAsia" w:ascii="仿宋_GB2312" w:eastAsia="仿宋_GB2312" w:cs="Calibri"/>
          <w:sz w:val="32"/>
          <w:szCs w:val="32"/>
          <w:highlight w:val="none"/>
          <w:u w:val="none"/>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ascii="黑体" w:hAnsi="黑体" w:eastAsia="黑体" w:cs="仿宋_GB2312"/>
          <w:color w:val="auto"/>
          <w:szCs w:val="32"/>
        </w:rPr>
      </w:pPr>
      <w:r>
        <w:rPr>
          <w:rFonts w:hint="default" w:ascii="黑体" w:hAnsi="黑体" w:eastAsia="黑体" w:cs="仿宋_GB2312"/>
          <w:color w:val="auto"/>
          <w:szCs w:val="32"/>
        </w:rPr>
        <w:t>四</w:t>
      </w:r>
      <w:r>
        <w:rPr>
          <w:rFonts w:hint="eastAsia" w:ascii="黑体" w:hAnsi="黑体" w:eastAsia="黑体" w:cs="仿宋_GB2312"/>
          <w:color w:val="auto"/>
          <w:szCs w:val="32"/>
        </w:rPr>
        <w:t>、202</w:t>
      </w:r>
      <w:r>
        <w:rPr>
          <w:rFonts w:hint="eastAsia" w:ascii="黑体" w:hAnsi="黑体" w:eastAsia="黑体" w:cs="仿宋_GB2312"/>
          <w:color w:val="auto"/>
          <w:szCs w:val="32"/>
          <w:lang w:val="en-US" w:eastAsia="zh-CN"/>
        </w:rPr>
        <w:t>3</w:t>
      </w:r>
      <w:r>
        <w:rPr>
          <w:rFonts w:hint="eastAsia" w:ascii="黑体" w:hAnsi="黑体" w:eastAsia="黑体" w:cs="仿宋_GB2312"/>
          <w:color w:val="auto"/>
          <w:szCs w:val="32"/>
        </w:rPr>
        <w:t>年一般公共收支预算</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ascii="楷体" w:hAnsi="楷体" w:eastAsia="楷体" w:cs="仿宋_GB2312"/>
          <w:color w:val="auto"/>
          <w:szCs w:val="32"/>
        </w:rPr>
      </w:pPr>
      <w:r>
        <w:rPr>
          <w:rFonts w:hint="eastAsia" w:ascii="楷体" w:hAnsi="楷体" w:eastAsia="楷体" w:cs="仿宋_GB2312"/>
          <w:color w:val="auto"/>
          <w:szCs w:val="32"/>
        </w:rPr>
        <w:t>（一）一般公共预算收入</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cs="仿宋_GB2312"/>
          <w:color w:val="auto"/>
          <w:szCs w:val="32"/>
          <w:highlight w:val="none"/>
        </w:rPr>
      </w:pPr>
      <w:r>
        <w:rPr>
          <w:rFonts w:hint="eastAsia" w:cs="仿宋_GB2312"/>
          <w:color w:val="auto"/>
          <w:szCs w:val="32"/>
        </w:rPr>
        <w:t>202</w:t>
      </w:r>
      <w:r>
        <w:rPr>
          <w:rFonts w:hint="eastAsia" w:cs="仿宋_GB2312"/>
          <w:color w:val="auto"/>
          <w:szCs w:val="32"/>
          <w:lang w:val="en-US" w:eastAsia="zh-CN"/>
        </w:rPr>
        <w:t>3</w:t>
      </w:r>
      <w:r>
        <w:rPr>
          <w:rFonts w:hint="eastAsia" w:cs="仿宋_GB2312"/>
          <w:color w:val="auto"/>
          <w:szCs w:val="32"/>
        </w:rPr>
        <w:t>年新区一般公共预算收入预计完成（下同）</w:t>
      </w:r>
      <w:r>
        <w:rPr>
          <w:rFonts w:hint="eastAsia" w:cs="仿宋_GB2312"/>
          <w:color w:val="auto"/>
          <w:szCs w:val="32"/>
          <w:lang w:val="en-US" w:eastAsia="zh-CN"/>
        </w:rPr>
        <w:t>25</w:t>
      </w:r>
      <w:r>
        <w:rPr>
          <w:rFonts w:hint="eastAsia" w:cs="仿宋_GB2312"/>
          <w:color w:val="auto"/>
          <w:szCs w:val="32"/>
        </w:rPr>
        <w:t>亿元，比202</w:t>
      </w:r>
      <w:r>
        <w:rPr>
          <w:rFonts w:hint="eastAsia" w:cs="仿宋_GB2312"/>
          <w:color w:val="auto"/>
          <w:szCs w:val="32"/>
          <w:lang w:val="en-US" w:eastAsia="zh-CN"/>
        </w:rPr>
        <w:t>2</w:t>
      </w:r>
      <w:r>
        <w:rPr>
          <w:rFonts w:hint="eastAsia" w:cs="仿宋_GB2312"/>
          <w:color w:val="auto"/>
          <w:szCs w:val="32"/>
        </w:rPr>
        <w:t>年</w:t>
      </w:r>
      <w:r>
        <w:rPr>
          <w:rFonts w:hint="eastAsia" w:cs="仿宋_GB2312"/>
          <w:color w:val="auto"/>
          <w:szCs w:val="32"/>
          <w:lang w:eastAsia="zh-CN"/>
        </w:rPr>
        <w:t>预计</w:t>
      </w:r>
      <w:r>
        <w:rPr>
          <w:rFonts w:hint="eastAsia" w:cs="仿宋_GB2312"/>
          <w:color w:val="auto"/>
          <w:szCs w:val="32"/>
        </w:rPr>
        <w:t>完成数（下</w:t>
      </w:r>
      <w:r>
        <w:rPr>
          <w:rFonts w:hint="eastAsia" w:cs="仿宋_GB2312"/>
          <w:color w:val="auto"/>
          <w:szCs w:val="32"/>
          <w:highlight w:val="none"/>
        </w:rPr>
        <w:t>同）</w:t>
      </w:r>
      <w:r>
        <w:rPr>
          <w:rFonts w:hint="eastAsia" w:cs="仿宋_GB2312"/>
          <w:color w:val="auto"/>
          <w:szCs w:val="32"/>
          <w:highlight w:val="none"/>
          <w:lang w:eastAsia="zh-CN"/>
        </w:rPr>
        <w:t>增加</w:t>
      </w:r>
      <w:r>
        <w:rPr>
          <w:rFonts w:hint="eastAsia" w:cs="仿宋_GB2312"/>
          <w:color w:val="auto"/>
          <w:szCs w:val="32"/>
          <w:highlight w:val="none"/>
          <w:lang w:val="en-US" w:eastAsia="zh-CN"/>
        </w:rPr>
        <w:t>4.1</w:t>
      </w:r>
      <w:r>
        <w:rPr>
          <w:rFonts w:hint="eastAsia" w:cs="仿宋_GB2312"/>
          <w:color w:val="auto"/>
          <w:szCs w:val="32"/>
          <w:highlight w:val="none"/>
        </w:rPr>
        <w:t>亿元，</w:t>
      </w:r>
      <w:r>
        <w:rPr>
          <w:rFonts w:hint="eastAsia" w:cs="仿宋_GB2312"/>
          <w:color w:val="auto"/>
          <w:szCs w:val="32"/>
          <w:highlight w:val="none"/>
          <w:lang w:eastAsia="zh-CN"/>
        </w:rPr>
        <w:t>增长</w:t>
      </w:r>
      <w:r>
        <w:rPr>
          <w:rFonts w:hint="eastAsia" w:cs="仿宋_GB2312"/>
          <w:color w:val="auto"/>
          <w:szCs w:val="32"/>
          <w:highlight w:val="none"/>
          <w:lang w:val="en-US" w:eastAsia="zh-CN"/>
        </w:rPr>
        <w:t>19.6</w:t>
      </w:r>
      <w:r>
        <w:rPr>
          <w:rFonts w:hint="eastAsia" w:cs="仿宋_GB2312"/>
          <w:color w:val="auto"/>
          <w:szCs w:val="32"/>
          <w:highlight w:val="none"/>
        </w:rPr>
        <w:t>%。一般公共预算收入加上上级补助收入</w:t>
      </w:r>
      <w:r>
        <w:rPr>
          <w:rFonts w:hint="eastAsia" w:cs="仿宋_GB2312"/>
          <w:color w:val="auto"/>
          <w:szCs w:val="32"/>
          <w:highlight w:val="none"/>
          <w:lang w:val="en-US" w:eastAsia="zh-CN"/>
        </w:rPr>
        <w:t>18.3</w:t>
      </w:r>
      <w:r>
        <w:rPr>
          <w:rFonts w:hint="eastAsia" w:cs="仿宋_GB2312"/>
          <w:color w:val="auto"/>
          <w:szCs w:val="32"/>
          <w:highlight w:val="none"/>
        </w:rPr>
        <w:t>亿元、调入资金</w:t>
      </w:r>
      <w:r>
        <w:rPr>
          <w:rFonts w:hint="eastAsia" w:cs="仿宋_GB2312"/>
          <w:color w:val="auto"/>
          <w:szCs w:val="32"/>
          <w:highlight w:val="none"/>
          <w:lang w:val="en-US" w:eastAsia="zh-CN"/>
        </w:rPr>
        <w:t>20.1</w:t>
      </w:r>
      <w:r>
        <w:rPr>
          <w:rFonts w:hint="eastAsia" w:cs="仿宋_GB2312"/>
          <w:color w:val="auto"/>
          <w:szCs w:val="32"/>
          <w:highlight w:val="none"/>
        </w:rPr>
        <w:t>亿元，总收入为6</w:t>
      </w:r>
      <w:r>
        <w:rPr>
          <w:rFonts w:hint="eastAsia" w:cs="仿宋_GB2312"/>
          <w:color w:val="auto"/>
          <w:szCs w:val="32"/>
          <w:highlight w:val="none"/>
          <w:lang w:val="en-US" w:eastAsia="zh-CN"/>
        </w:rPr>
        <w:t>3.4</w:t>
      </w:r>
      <w:r>
        <w:rPr>
          <w:rFonts w:hint="eastAsia" w:cs="仿宋_GB2312"/>
          <w:color w:val="auto"/>
          <w:szCs w:val="32"/>
          <w:highlight w:val="none"/>
        </w:rPr>
        <w:t>亿元。具体安排如下：</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cs="仿宋_GB2312"/>
          <w:color w:val="auto"/>
          <w:szCs w:val="32"/>
        </w:rPr>
      </w:pPr>
      <w:r>
        <w:rPr>
          <w:rFonts w:hint="eastAsia" w:cs="仿宋_GB2312"/>
          <w:color w:val="auto"/>
          <w:szCs w:val="32"/>
        </w:rPr>
        <w:t>1.增值税预计为</w:t>
      </w:r>
      <w:r>
        <w:rPr>
          <w:rFonts w:hint="eastAsia" w:cs="仿宋_GB2312"/>
          <w:color w:val="auto"/>
          <w:szCs w:val="32"/>
          <w:lang w:val="en-US" w:eastAsia="zh-CN"/>
        </w:rPr>
        <w:t>9.5</w:t>
      </w:r>
      <w:r>
        <w:rPr>
          <w:rFonts w:hint="eastAsia" w:cs="仿宋_GB2312"/>
          <w:color w:val="auto"/>
          <w:szCs w:val="32"/>
        </w:rPr>
        <w:t>亿元，增长</w:t>
      </w:r>
      <w:r>
        <w:rPr>
          <w:rFonts w:hint="eastAsia" w:cs="仿宋_GB2312"/>
          <w:color w:val="auto"/>
          <w:szCs w:val="32"/>
          <w:lang w:val="en-US" w:eastAsia="zh-CN"/>
        </w:rPr>
        <w:t>54</w:t>
      </w:r>
      <w:r>
        <w:rPr>
          <w:rFonts w:hint="eastAsia" w:cs="仿宋_GB2312"/>
          <w:color w:val="auto"/>
          <w:szCs w:val="32"/>
        </w:rPr>
        <w:t>%</w:t>
      </w:r>
      <w:r>
        <w:rPr>
          <w:rFonts w:hint="eastAsia" w:cs="仿宋_GB2312"/>
          <w:color w:val="auto"/>
          <w:szCs w:val="32"/>
          <w:lang w:eastAsia="zh-CN"/>
        </w:rPr>
        <w:t>，</w:t>
      </w:r>
      <w:r>
        <w:rPr>
          <w:rFonts w:hint="eastAsia" w:cs="仿宋_GB2312"/>
          <w:color w:val="auto"/>
          <w:szCs w:val="32"/>
        </w:rPr>
        <w:t>主要是体制共享税分成比例提高及留抵退税造成的增值税回补。</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cs="仿宋_GB2312"/>
          <w:color w:val="auto"/>
          <w:szCs w:val="32"/>
        </w:rPr>
      </w:pPr>
      <w:r>
        <w:rPr>
          <w:rFonts w:hint="eastAsia" w:cs="仿宋_GB2312"/>
          <w:color w:val="auto"/>
          <w:szCs w:val="32"/>
        </w:rPr>
        <w:t>2.企业所得税预计为</w:t>
      </w:r>
      <w:r>
        <w:rPr>
          <w:rFonts w:hint="eastAsia" w:cs="仿宋_GB2312"/>
          <w:color w:val="auto"/>
          <w:szCs w:val="32"/>
          <w:lang w:val="en-US" w:eastAsia="zh-CN"/>
        </w:rPr>
        <w:t>6.6</w:t>
      </w:r>
      <w:r>
        <w:rPr>
          <w:rFonts w:hint="eastAsia" w:cs="仿宋_GB2312"/>
          <w:color w:val="auto"/>
          <w:szCs w:val="32"/>
        </w:rPr>
        <w:t>亿元，增长</w:t>
      </w:r>
      <w:r>
        <w:rPr>
          <w:rFonts w:hint="eastAsia" w:cs="仿宋_GB2312"/>
          <w:color w:val="auto"/>
          <w:szCs w:val="32"/>
          <w:lang w:val="en-US" w:eastAsia="zh-CN"/>
        </w:rPr>
        <w:t>1</w:t>
      </w:r>
      <w:r>
        <w:rPr>
          <w:rFonts w:hint="eastAsia" w:cs="仿宋_GB2312"/>
          <w:color w:val="auto"/>
          <w:szCs w:val="32"/>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cs="仿宋_GB2312"/>
          <w:color w:val="auto"/>
          <w:szCs w:val="32"/>
        </w:rPr>
      </w:pPr>
      <w:r>
        <w:rPr>
          <w:rFonts w:hint="eastAsia" w:cs="仿宋_GB2312"/>
          <w:color w:val="auto"/>
          <w:szCs w:val="32"/>
        </w:rPr>
        <w:t>3.个人所得税预计为</w:t>
      </w:r>
      <w:r>
        <w:rPr>
          <w:rFonts w:hint="default" w:cs="仿宋_GB2312"/>
          <w:color w:val="auto"/>
          <w:szCs w:val="32"/>
        </w:rPr>
        <w:t>1</w:t>
      </w:r>
      <w:r>
        <w:rPr>
          <w:rFonts w:hint="eastAsia" w:cs="仿宋_GB2312"/>
          <w:color w:val="auto"/>
          <w:szCs w:val="32"/>
          <w:lang w:val="en-US" w:eastAsia="zh-CN"/>
        </w:rPr>
        <w:t>.7</w:t>
      </w:r>
      <w:r>
        <w:rPr>
          <w:rFonts w:hint="eastAsia" w:cs="仿宋_GB2312"/>
          <w:color w:val="auto"/>
          <w:szCs w:val="32"/>
        </w:rPr>
        <w:t>亿元，</w:t>
      </w:r>
      <w:r>
        <w:rPr>
          <w:rFonts w:hint="default" w:cs="仿宋_GB2312"/>
          <w:color w:val="auto"/>
          <w:szCs w:val="32"/>
        </w:rPr>
        <w:t>下降</w:t>
      </w:r>
      <w:r>
        <w:rPr>
          <w:rFonts w:hint="eastAsia" w:cs="仿宋_GB2312"/>
          <w:color w:val="auto"/>
          <w:szCs w:val="32"/>
          <w:lang w:val="en-US" w:eastAsia="zh-CN"/>
        </w:rPr>
        <w:t>32.8</w:t>
      </w:r>
      <w:r>
        <w:rPr>
          <w:rFonts w:hint="eastAsia" w:cs="仿宋_GB2312"/>
          <w:color w:val="auto"/>
          <w:szCs w:val="32"/>
        </w:rPr>
        <w:t>%</w:t>
      </w:r>
      <w:r>
        <w:rPr>
          <w:rFonts w:hint="eastAsia" w:cs="仿宋_GB2312"/>
          <w:color w:val="auto"/>
          <w:szCs w:val="32"/>
          <w:lang w:eastAsia="zh-CN"/>
        </w:rPr>
        <w:t>，</w:t>
      </w:r>
      <w:r>
        <w:rPr>
          <w:rFonts w:hint="eastAsia" w:cs="仿宋_GB2312"/>
          <w:color w:val="auto"/>
          <w:szCs w:val="32"/>
        </w:rPr>
        <w:t>主要是</w:t>
      </w:r>
      <w:r>
        <w:rPr>
          <w:rFonts w:hint="default" w:cs="仿宋_GB2312"/>
          <w:color w:val="auto"/>
          <w:szCs w:val="32"/>
        </w:rPr>
        <w:t>减少上年股权出让</w:t>
      </w:r>
      <w:r>
        <w:rPr>
          <w:rFonts w:hint="eastAsia" w:cs="仿宋_GB2312"/>
          <w:color w:val="auto"/>
          <w:szCs w:val="32"/>
          <w:lang w:eastAsia="zh-CN"/>
        </w:rPr>
        <w:t>及新增税源补缴</w:t>
      </w:r>
      <w:r>
        <w:rPr>
          <w:rFonts w:hint="default" w:cs="仿宋_GB2312"/>
          <w:color w:val="auto"/>
          <w:szCs w:val="32"/>
        </w:rPr>
        <w:t>导致的大额一次性收入</w:t>
      </w:r>
      <w:r>
        <w:rPr>
          <w:rFonts w:hint="eastAsia" w:cs="仿宋_GB2312"/>
          <w:color w:val="auto"/>
          <w:szCs w:val="32"/>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cs="仿宋_GB2312"/>
          <w:color w:val="auto"/>
          <w:szCs w:val="32"/>
        </w:rPr>
      </w:pPr>
      <w:r>
        <w:rPr>
          <w:rFonts w:hint="eastAsia" w:cs="仿宋_GB2312"/>
          <w:color w:val="auto"/>
          <w:szCs w:val="32"/>
        </w:rPr>
        <w:t>4.城市维护建设税预计为</w:t>
      </w:r>
      <w:r>
        <w:rPr>
          <w:rFonts w:hint="eastAsia" w:cs="仿宋_GB2312"/>
          <w:color w:val="auto"/>
          <w:szCs w:val="32"/>
          <w:lang w:val="en-US" w:eastAsia="zh-CN"/>
        </w:rPr>
        <w:t>2.3</w:t>
      </w:r>
      <w:r>
        <w:rPr>
          <w:rFonts w:hint="eastAsia" w:cs="仿宋_GB2312"/>
          <w:color w:val="auto"/>
          <w:szCs w:val="32"/>
        </w:rPr>
        <w:t>亿元，</w:t>
      </w:r>
      <w:r>
        <w:rPr>
          <w:rFonts w:hint="eastAsia" w:cs="仿宋_GB2312"/>
          <w:color w:val="auto"/>
          <w:szCs w:val="32"/>
          <w:lang w:eastAsia="zh-CN"/>
        </w:rPr>
        <w:t>增长</w:t>
      </w:r>
      <w:r>
        <w:rPr>
          <w:rFonts w:hint="eastAsia" w:cs="仿宋_GB2312"/>
          <w:color w:val="auto"/>
          <w:szCs w:val="32"/>
          <w:lang w:val="en-US" w:eastAsia="zh-CN"/>
        </w:rPr>
        <w:t>6.1</w:t>
      </w:r>
      <w:r>
        <w:rPr>
          <w:rFonts w:hint="eastAsia" w:cs="仿宋_GB2312"/>
          <w:color w:val="auto"/>
          <w:szCs w:val="32"/>
        </w:rPr>
        <w:t>%</w:t>
      </w:r>
      <w:r>
        <w:rPr>
          <w:rFonts w:hint="eastAsia" w:cs="仿宋_GB2312"/>
          <w:color w:val="auto"/>
          <w:szCs w:val="32"/>
          <w:lang w:eastAsia="zh-CN"/>
        </w:rPr>
        <w:t>，主要是随增值税现税同步增加</w:t>
      </w:r>
      <w:r>
        <w:rPr>
          <w:rFonts w:hint="eastAsia" w:cs="仿宋_GB2312"/>
          <w:color w:val="auto"/>
          <w:szCs w:val="32"/>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cs="仿宋_GB2312"/>
          <w:color w:val="auto"/>
          <w:szCs w:val="32"/>
        </w:rPr>
      </w:pPr>
      <w:r>
        <w:rPr>
          <w:rFonts w:hint="eastAsia" w:cs="仿宋_GB2312"/>
          <w:color w:val="auto"/>
          <w:szCs w:val="32"/>
        </w:rPr>
        <w:t>5.土地增值税预计为</w:t>
      </w:r>
      <w:r>
        <w:rPr>
          <w:rFonts w:hint="eastAsia" w:cs="仿宋_GB2312"/>
          <w:color w:val="auto"/>
          <w:szCs w:val="32"/>
          <w:lang w:val="en-US" w:eastAsia="zh-CN"/>
        </w:rPr>
        <w:t>1.6</w:t>
      </w:r>
      <w:r>
        <w:rPr>
          <w:rFonts w:hint="eastAsia" w:cs="仿宋_GB2312"/>
          <w:color w:val="auto"/>
          <w:szCs w:val="32"/>
        </w:rPr>
        <w:t>亿元，增长</w:t>
      </w:r>
      <w:r>
        <w:rPr>
          <w:rFonts w:hint="eastAsia" w:cs="仿宋_GB2312"/>
          <w:color w:val="auto"/>
          <w:szCs w:val="32"/>
          <w:lang w:val="en-US" w:eastAsia="zh-CN"/>
        </w:rPr>
        <w:t>46.6</w:t>
      </w:r>
      <w:r>
        <w:rPr>
          <w:rFonts w:hint="eastAsia" w:cs="仿宋_GB2312"/>
          <w:color w:val="auto"/>
          <w:szCs w:val="32"/>
        </w:rPr>
        <w:t>%。主要是</w:t>
      </w:r>
      <w:r>
        <w:rPr>
          <w:rFonts w:hint="eastAsia" w:cs="仿宋_GB2312"/>
          <w:color w:val="auto"/>
          <w:szCs w:val="32"/>
          <w:lang w:eastAsia="zh-CN"/>
        </w:rPr>
        <w:t>部分企业</w:t>
      </w:r>
      <w:r>
        <w:rPr>
          <w:rFonts w:hint="default" w:cs="仿宋_GB2312"/>
          <w:color w:val="auto"/>
          <w:szCs w:val="32"/>
        </w:rPr>
        <w:t>原计划202</w:t>
      </w:r>
      <w:r>
        <w:rPr>
          <w:rFonts w:hint="eastAsia" w:cs="仿宋_GB2312"/>
          <w:color w:val="auto"/>
          <w:szCs w:val="32"/>
          <w:lang w:val="en-US" w:eastAsia="zh-CN"/>
        </w:rPr>
        <w:t>2</w:t>
      </w:r>
      <w:r>
        <w:rPr>
          <w:rFonts w:hint="default" w:cs="仿宋_GB2312"/>
          <w:color w:val="auto"/>
          <w:szCs w:val="32"/>
        </w:rPr>
        <w:t>年缴纳的土地增值税延迟缴纳</w:t>
      </w:r>
      <w:r>
        <w:rPr>
          <w:rFonts w:hint="eastAsia" w:cs="仿宋_GB2312"/>
          <w:color w:val="auto"/>
          <w:szCs w:val="32"/>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cs="仿宋_GB2312"/>
          <w:color w:val="auto"/>
          <w:szCs w:val="32"/>
        </w:rPr>
      </w:pPr>
      <w:r>
        <w:rPr>
          <w:rFonts w:hint="eastAsia" w:cs="仿宋_GB2312"/>
          <w:color w:val="auto"/>
          <w:szCs w:val="32"/>
        </w:rPr>
        <w:t>6.其他各税种预计为</w:t>
      </w:r>
      <w:r>
        <w:rPr>
          <w:rFonts w:hint="default" w:cs="仿宋_GB2312"/>
          <w:color w:val="auto"/>
          <w:szCs w:val="32"/>
        </w:rPr>
        <w:t>1.</w:t>
      </w:r>
      <w:r>
        <w:rPr>
          <w:rFonts w:hint="eastAsia" w:cs="仿宋_GB2312"/>
          <w:color w:val="auto"/>
          <w:szCs w:val="32"/>
          <w:lang w:val="en-US" w:eastAsia="zh-CN"/>
        </w:rPr>
        <w:t>7</w:t>
      </w:r>
      <w:r>
        <w:rPr>
          <w:rFonts w:hint="eastAsia" w:cs="仿宋_GB2312"/>
          <w:color w:val="auto"/>
          <w:szCs w:val="32"/>
        </w:rPr>
        <w:t>亿元，</w:t>
      </w:r>
      <w:r>
        <w:rPr>
          <w:rFonts w:hint="eastAsia" w:cs="仿宋_GB2312"/>
          <w:color w:val="auto"/>
          <w:szCs w:val="32"/>
          <w:lang w:eastAsia="zh-CN"/>
        </w:rPr>
        <w:t>增长</w:t>
      </w:r>
      <w:r>
        <w:rPr>
          <w:rFonts w:hint="eastAsia" w:cs="仿宋_GB2312"/>
          <w:color w:val="auto"/>
          <w:szCs w:val="32"/>
          <w:lang w:val="en-US" w:eastAsia="zh-CN"/>
        </w:rPr>
        <w:t>19.5</w:t>
      </w:r>
      <w:r>
        <w:rPr>
          <w:rFonts w:hint="eastAsia" w:cs="仿宋_GB2312"/>
          <w:color w:val="auto"/>
          <w:szCs w:val="32"/>
        </w:rPr>
        <w:t>%，主要是</w:t>
      </w:r>
      <w:r>
        <w:rPr>
          <w:rFonts w:hint="default" w:cs="仿宋_GB2312"/>
          <w:color w:val="auto"/>
          <w:szCs w:val="32"/>
        </w:rPr>
        <w:t>体制共享税分成比例提高</w:t>
      </w:r>
      <w:r>
        <w:rPr>
          <w:rFonts w:hint="eastAsia" w:cs="仿宋_GB2312"/>
          <w:color w:val="auto"/>
          <w:szCs w:val="32"/>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cs="仿宋_GB2312"/>
          <w:color w:val="auto"/>
          <w:szCs w:val="32"/>
        </w:rPr>
      </w:pPr>
      <w:r>
        <w:rPr>
          <w:rFonts w:hint="eastAsia" w:cs="仿宋_GB2312"/>
          <w:color w:val="auto"/>
          <w:szCs w:val="32"/>
        </w:rPr>
        <w:t>7.非税收入预计为</w:t>
      </w:r>
      <w:r>
        <w:rPr>
          <w:rFonts w:hint="default" w:cs="仿宋_GB2312"/>
          <w:color w:val="auto"/>
          <w:szCs w:val="32"/>
        </w:rPr>
        <w:t>1</w:t>
      </w:r>
      <w:r>
        <w:rPr>
          <w:rFonts w:hint="eastAsia" w:cs="仿宋_GB2312"/>
          <w:color w:val="auto"/>
          <w:szCs w:val="32"/>
          <w:lang w:val="en-US" w:eastAsia="zh-CN"/>
        </w:rPr>
        <w:t>.6</w:t>
      </w:r>
      <w:r>
        <w:rPr>
          <w:rFonts w:hint="eastAsia" w:cs="仿宋_GB2312"/>
          <w:color w:val="auto"/>
          <w:szCs w:val="32"/>
        </w:rPr>
        <w:t>亿元，</w:t>
      </w:r>
      <w:r>
        <w:rPr>
          <w:rFonts w:hint="eastAsia" w:cs="仿宋_GB2312"/>
          <w:color w:val="auto"/>
          <w:szCs w:val="32"/>
          <w:lang w:eastAsia="zh-CN"/>
        </w:rPr>
        <w:t>增长</w:t>
      </w:r>
      <w:r>
        <w:rPr>
          <w:rFonts w:hint="eastAsia" w:cs="仿宋_GB2312"/>
          <w:color w:val="auto"/>
          <w:szCs w:val="32"/>
          <w:lang w:val="en-US" w:eastAsia="zh-CN"/>
        </w:rPr>
        <w:t>57</w:t>
      </w:r>
      <w:r>
        <w:rPr>
          <w:rFonts w:hint="eastAsia" w:cs="仿宋_GB2312"/>
          <w:color w:val="auto"/>
          <w:szCs w:val="32"/>
        </w:rPr>
        <w:t>%</w:t>
      </w:r>
      <w:r>
        <w:rPr>
          <w:rFonts w:hint="eastAsia" w:cs="仿宋_GB2312"/>
          <w:color w:val="auto"/>
          <w:szCs w:val="32"/>
          <w:lang w:eastAsia="zh-CN"/>
        </w:rPr>
        <w:t>，</w:t>
      </w:r>
      <w:r>
        <w:rPr>
          <w:rFonts w:hint="eastAsia" w:cs="仿宋_GB2312"/>
          <w:color w:val="auto"/>
          <w:szCs w:val="32"/>
        </w:rPr>
        <w:t>主要是</w:t>
      </w:r>
      <w:r>
        <w:rPr>
          <w:rFonts w:hint="eastAsia" w:cs="仿宋_GB2312"/>
          <w:color w:val="auto"/>
          <w:szCs w:val="32"/>
          <w:lang w:eastAsia="zh-CN"/>
        </w:rPr>
        <w:t>保教费、</w:t>
      </w:r>
      <w:r>
        <w:rPr>
          <w:rFonts w:hint="eastAsia" w:cs="仿宋_GB2312"/>
          <w:color w:val="auto"/>
          <w:szCs w:val="32"/>
        </w:rPr>
        <w:t>盘活政府资产收入增加。</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auto"/>
          <w:highlight w:val="none"/>
        </w:rPr>
      </w:pPr>
      <w:r>
        <w:rPr>
          <w:rFonts w:hint="eastAsia" w:cs="仿宋_GB2312"/>
          <w:color w:val="auto"/>
          <w:szCs w:val="32"/>
          <w:highlight w:val="none"/>
        </w:rPr>
        <w:t>8.转移性收入预计为</w:t>
      </w:r>
      <w:r>
        <w:rPr>
          <w:rFonts w:hint="eastAsia" w:cs="仿宋_GB2312"/>
          <w:color w:val="auto"/>
          <w:szCs w:val="32"/>
          <w:highlight w:val="none"/>
          <w:lang w:val="en-US" w:eastAsia="zh-CN"/>
        </w:rPr>
        <w:t>38.4</w:t>
      </w:r>
      <w:r>
        <w:rPr>
          <w:rFonts w:hint="eastAsia" w:cs="仿宋_GB2312"/>
          <w:color w:val="auto"/>
          <w:szCs w:val="32"/>
          <w:highlight w:val="none"/>
        </w:rPr>
        <w:t>亿元，下降</w:t>
      </w:r>
      <w:r>
        <w:rPr>
          <w:rFonts w:hint="eastAsia" w:cs="仿宋_GB2312"/>
          <w:color w:val="auto"/>
          <w:szCs w:val="32"/>
          <w:highlight w:val="none"/>
          <w:lang w:val="en-US" w:eastAsia="zh-CN"/>
        </w:rPr>
        <w:t>20.4</w:t>
      </w:r>
      <w:r>
        <w:rPr>
          <w:rFonts w:hint="eastAsia" w:cs="仿宋_GB2312"/>
          <w:color w:val="auto"/>
          <w:szCs w:val="32"/>
          <w:highlight w:val="none"/>
        </w:rPr>
        <w:t>%</w:t>
      </w:r>
      <w:r>
        <w:rPr>
          <w:rFonts w:hint="eastAsia" w:cs="仿宋_GB2312"/>
          <w:color w:val="auto"/>
          <w:szCs w:val="32"/>
          <w:highlight w:val="none"/>
          <w:lang w:eastAsia="zh-CN"/>
        </w:rPr>
        <w:t>，</w:t>
      </w:r>
      <w:r>
        <w:rPr>
          <w:rFonts w:hint="eastAsia" w:cs="仿宋_GB2312"/>
          <w:color w:val="auto"/>
          <w:szCs w:val="32"/>
          <w:highlight w:val="none"/>
        </w:rPr>
        <w:t>其中：返还性收入</w:t>
      </w:r>
      <w:r>
        <w:rPr>
          <w:rFonts w:hint="default" w:cs="仿宋_GB2312"/>
          <w:color w:val="auto"/>
          <w:szCs w:val="32"/>
          <w:highlight w:val="none"/>
        </w:rPr>
        <w:t>1.2</w:t>
      </w:r>
      <w:r>
        <w:rPr>
          <w:rFonts w:hint="eastAsia" w:cs="仿宋_GB2312"/>
          <w:color w:val="auto"/>
          <w:szCs w:val="32"/>
          <w:highlight w:val="none"/>
        </w:rPr>
        <w:t>亿元</w:t>
      </w:r>
      <w:r>
        <w:rPr>
          <w:rFonts w:hint="eastAsia" w:cs="仿宋_GB2312"/>
          <w:color w:val="auto"/>
          <w:szCs w:val="32"/>
          <w:highlight w:val="none"/>
          <w:lang w:eastAsia="zh-CN"/>
        </w:rPr>
        <w:t>、</w:t>
      </w:r>
      <w:r>
        <w:rPr>
          <w:rFonts w:hint="eastAsia" w:cs="仿宋_GB2312"/>
          <w:color w:val="auto"/>
          <w:szCs w:val="32"/>
          <w:highlight w:val="none"/>
        </w:rPr>
        <w:t>一般性转移支付收入</w:t>
      </w:r>
      <w:r>
        <w:rPr>
          <w:rFonts w:hint="default" w:cs="仿宋_GB2312"/>
          <w:color w:val="auto"/>
          <w:szCs w:val="32"/>
          <w:highlight w:val="none"/>
        </w:rPr>
        <w:t>1</w:t>
      </w:r>
      <w:r>
        <w:rPr>
          <w:rFonts w:hint="eastAsia" w:cs="仿宋_GB2312"/>
          <w:color w:val="auto"/>
          <w:szCs w:val="32"/>
          <w:highlight w:val="none"/>
          <w:lang w:val="en-US" w:eastAsia="zh-CN"/>
        </w:rPr>
        <w:t>5.6</w:t>
      </w:r>
      <w:r>
        <w:rPr>
          <w:rFonts w:hint="eastAsia" w:cs="仿宋_GB2312"/>
          <w:color w:val="auto"/>
          <w:szCs w:val="32"/>
          <w:highlight w:val="none"/>
        </w:rPr>
        <w:t>亿元</w:t>
      </w:r>
      <w:r>
        <w:rPr>
          <w:rFonts w:hint="eastAsia" w:cs="仿宋_GB2312"/>
          <w:color w:val="auto"/>
          <w:szCs w:val="32"/>
          <w:highlight w:val="none"/>
          <w:lang w:eastAsia="zh-CN"/>
        </w:rPr>
        <w:t>、</w:t>
      </w:r>
      <w:r>
        <w:rPr>
          <w:rFonts w:hint="eastAsia" w:cs="仿宋_GB2312"/>
          <w:color w:val="auto"/>
          <w:szCs w:val="32"/>
          <w:highlight w:val="none"/>
        </w:rPr>
        <w:t>专项转移支付收入</w:t>
      </w:r>
      <w:r>
        <w:rPr>
          <w:rFonts w:hint="eastAsia" w:cs="仿宋_GB2312"/>
          <w:color w:val="auto"/>
          <w:szCs w:val="32"/>
          <w:highlight w:val="none"/>
          <w:lang w:val="en-US" w:eastAsia="zh-CN"/>
        </w:rPr>
        <w:t>1.5</w:t>
      </w:r>
      <w:r>
        <w:rPr>
          <w:rFonts w:hint="eastAsia" w:cs="仿宋_GB2312"/>
          <w:color w:val="auto"/>
          <w:szCs w:val="32"/>
          <w:highlight w:val="none"/>
        </w:rPr>
        <w:t>亿元</w:t>
      </w:r>
      <w:r>
        <w:rPr>
          <w:rFonts w:hint="eastAsia" w:cs="仿宋_GB2312"/>
          <w:color w:val="auto"/>
          <w:szCs w:val="32"/>
          <w:highlight w:val="none"/>
          <w:lang w:eastAsia="zh-CN"/>
        </w:rPr>
        <w:t>、</w:t>
      </w:r>
      <w:r>
        <w:rPr>
          <w:rFonts w:hint="eastAsia"/>
          <w:color w:val="auto"/>
          <w:highlight w:val="none"/>
        </w:rPr>
        <w:t>调入资金</w:t>
      </w:r>
      <w:r>
        <w:rPr>
          <w:rFonts w:hint="eastAsia" w:cs="仿宋_GB2312"/>
          <w:color w:val="auto"/>
          <w:szCs w:val="32"/>
          <w:highlight w:val="none"/>
          <w:lang w:val="en-US" w:eastAsia="zh-CN"/>
        </w:rPr>
        <w:t>20.1</w:t>
      </w:r>
      <w:r>
        <w:rPr>
          <w:rFonts w:hint="eastAsia"/>
          <w:color w:val="auto"/>
          <w:highlight w:val="none"/>
        </w:rPr>
        <w:t>亿元，主要是调入政府性基金</w:t>
      </w:r>
      <w:r>
        <w:rPr>
          <w:rFonts w:hint="eastAsia" w:cs="仿宋_GB2312"/>
          <w:color w:val="auto"/>
          <w:szCs w:val="32"/>
          <w:highlight w:val="none"/>
          <w:lang w:val="en-US" w:eastAsia="zh-CN"/>
        </w:rPr>
        <w:t>19.9</w:t>
      </w:r>
      <w:r>
        <w:rPr>
          <w:rFonts w:hint="eastAsia"/>
          <w:color w:val="auto"/>
          <w:highlight w:val="none"/>
        </w:rPr>
        <w:t>亿元，盘活存量资金</w:t>
      </w:r>
      <w:r>
        <w:rPr>
          <w:rFonts w:hint="default" w:cs="仿宋_GB2312"/>
          <w:color w:val="auto"/>
          <w:szCs w:val="32"/>
          <w:highlight w:val="none"/>
        </w:rPr>
        <w:t>0.</w:t>
      </w:r>
      <w:r>
        <w:rPr>
          <w:rFonts w:hint="eastAsia" w:cs="仿宋_GB2312"/>
          <w:color w:val="auto"/>
          <w:szCs w:val="32"/>
          <w:highlight w:val="none"/>
          <w:lang w:val="en-US" w:eastAsia="zh-CN"/>
        </w:rPr>
        <w:t>2</w:t>
      </w:r>
      <w:r>
        <w:rPr>
          <w:rFonts w:hint="eastAsia"/>
          <w:color w:val="auto"/>
          <w:highlight w:val="none"/>
        </w:rPr>
        <w:t>亿元。</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ascii="楷体" w:hAnsi="楷体" w:eastAsia="楷体" w:cs="仿宋_GB2312"/>
          <w:color w:val="auto"/>
          <w:szCs w:val="32"/>
        </w:rPr>
      </w:pPr>
      <w:r>
        <w:rPr>
          <w:rFonts w:hint="eastAsia" w:ascii="楷体" w:hAnsi="楷体" w:eastAsia="楷体" w:cs="仿宋_GB2312"/>
          <w:color w:val="auto"/>
          <w:szCs w:val="32"/>
        </w:rPr>
        <w:t>（二）一般公共预算支出</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auto"/>
        </w:rPr>
      </w:pPr>
      <w:r>
        <w:rPr>
          <w:rFonts w:hint="eastAsia"/>
          <w:color w:val="auto"/>
          <w:highlight w:val="none"/>
        </w:rPr>
        <w:t>根据“标准科学、约束有力”和“收支平衡”的原则，</w:t>
      </w:r>
      <w:r>
        <w:rPr>
          <w:rFonts w:hint="eastAsia"/>
          <w:color w:val="auto"/>
        </w:rPr>
        <w:t>202</w:t>
      </w:r>
      <w:r>
        <w:rPr>
          <w:rFonts w:hint="eastAsia"/>
          <w:color w:val="auto"/>
          <w:lang w:val="en-US" w:eastAsia="zh-CN"/>
        </w:rPr>
        <w:t>3</w:t>
      </w:r>
      <w:r>
        <w:rPr>
          <w:rFonts w:hint="eastAsia"/>
          <w:color w:val="auto"/>
        </w:rPr>
        <w:t>年新区一般公共预算总收入为</w:t>
      </w:r>
      <w:r>
        <w:rPr>
          <w:rFonts w:hint="default"/>
          <w:color w:val="auto"/>
        </w:rPr>
        <w:t>6</w:t>
      </w:r>
      <w:r>
        <w:rPr>
          <w:rFonts w:hint="eastAsia"/>
          <w:color w:val="auto"/>
          <w:lang w:val="en-US" w:eastAsia="zh-CN"/>
        </w:rPr>
        <w:t>3.4</w:t>
      </w:r>
      <w:r>
        <w:rPr>
          <w:rFonts w:hint="eastAsia"/>
          <w:color w:val="auto"/>
        </w:rPr>
        <w:t>亿元，相应安排一般公共预算总支出</w:t>
      </w:r>
      <w:r>
        <w:rPr>
          <w:rFonts w:hint="default"/>
          <w:color w:val="auto"/>
        </w:rPr>
        <w:t>6</w:t>
      </w:r>
      <w:r>
        <w:rPr>
          <w:rFonts w:hint="eastAsia"/>
          <w:color w:val="auto"/>
          <w:lang w:val="en-US" w:eastAsia="zh-CN"/>
        </w:rPr>
        <w:t>3.4</w:t>
      </w:r>
      <w:r>
        <w:rPr>
          <w:rFonts w:hint="eastAsia"/>
          <w:color w:val="auto"/>
        </w:rPr>
        <w:t>亿元</w:t>
      </w:r>
      <w:r>
        <w:rPr>
          <w:rFonts w:hint="eastAsia"/>
          <w:color w:val="auto"/>
          <w:lang w:eastAsia="zh-CN"/>
        </w:rPr>
        <w:t>，</w:t>
      </w:r>
      <w:r>
        <w:rPr>
          <w:rFonts w:hint="eastAsia"/>
          <w:color w:val="auto"/>
        </w:rPr>
        <w:t>其中：一般公共预算支出</w:t>
      </w:r>
      <w:r>
        <w:rPr>
          <w:rFonts w:hint="eastAsia"/>
          <w:color w:val="auto"/>
          <w:lang w:val="en-US" w:eastAsia="zh-CN"/>
        </w:rPr>
        <w:t>58.9</w:t>
      </w:r>
      <w:r>
        <w:rPr>
          <w:rFonts w:hint="eastAsia"/>
          <w:color w:val="auto"/>
        </w:rPr>
        <w:t>亿元，上解支出</w:t>
      </w:r>
      <w:r>
        <w:rPr>
          <w:rFonts w:hint="eastAsia"/>
          <w:color w:val="auto"/>
          <w:lang w:val="en-US" w:eastAsia="zh-CN"/>
        </w:rPr>
        <w:t>4.5</w:t>
      </w:r>
      <w:r>
        <w:rPr>
          <w:rFonts w:hint="eastAsia"/>
          <w:color w:val="auto"/>
        </w:rPr>
        <w:t>亿元。</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auto"/>
          <w:highlight w:val="none"/>
        </w:rPr>
      </w:pPr>
      <w:r>
        <w:rPr>
          <w:color w:val="auto"/>
          <w:highlight w:val="none"/>
        </w:rPr>
        <w:t>20</w:t>
      </w:r>
      <w:r>
        <w:rPr>
          <w:rFonts w:hint="eastAsia"/>
          <w:color w:val="auto"/>
          <w:highlight w:val="none"/>
        </w:rPr>
        <w:t>2</w:t>
      </w:r>
      <w:r>
        <w:rPr>
          <w:rFonts w:hint="eastAsia"/>
          <w:color w:val="auto"/>
          <w:highlight w:val="none"/>
          <w:lang w:val="en-US" w:eastAsia="zh-CN"/>
        </w:rPr>
        <w:t>3</w:t>
      </w:r>
      <w:r>
        <w:rPr>
          <w:rFonts w:hint="eastAsia"/>
          <w:color w:val="auto"/>
          <w:highlight w:val="none"/>
        </w:rPr>
        <w:t>年新区一般公共预算支出主要项目安排如下：</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auto"/>
          <w:highlight w:val="none"/>
        </w:rPr>
      </w:pPr>
      <w:r>
        <w:rPr>
          <w:color w:val="auto"/>
          <w:highlight w:val="none"/>
        </w:rPr>
        <w:t>1.</w:t>
      </w:r>
      <w:r>
        <w:rPr>
          <w:rFonts w:hint="eastAsia"/>
          <w:color w:val="auto"/>
          <w:highlight w:val="none"/>
        </w:rPr>
        <w:t>一般公共服务支出，反映政府提供一般公共服务的支出，计划安排5亿元，</w:t>
      </w:r>
      <w:r>
        <w:rPr>
          <w:rFonts w:hint="eastAsia"/>
          <w:color w:val="auto"/>
          <w:highlight w:val="none"/>
          <w:lang w:eastAsia="zh-CN"/>
        </w:rPr>
        <w:t>较上年执行数（下同）</w:t>
      </w:r>
      <w:r>
        <w:rPr>
          <w:rFonts w:hint="default"/>
          <w:color w:val="auto"/>
          <w:highlight w:val="none"/>
        </w:rPr>
        <w:t>下降</w:t>
      </w:r>
      <w:r>
        <w:rPr>
          <w:rFonts w:hint="eastAsia"/>
          <w:color w:val="auto"/>
          <w:highlight w:val="none"/>
          <w:lang w:val="en-US" w:eastAsia="zh-CN"/>
        </w:rPr>
        <w:t>53.3</w:t>
      </w:r>
      <w:r>
        <w:rPr>
          <w:color w:val="auto"/>
          <w:highlight w:val="none"/>
        </w:rPr>
        <w:t>%</w:t>
      </w:r>
      <w:r>
        <w:rPr>
          <w:rFonts w:hint="eastAsia"/>
          <w:color w:val="auto"/>
          <w:highlight w:val="none"/>
          <w:lang w:eastAsia="zh-CN"/>
        </w:rPr>
        <w:t>，</w:t>
      </w:r>
      <w:r>
        <w:rPr>
          <w:rFonts w:hint="eastAsia"/>
          <w:color w:val="auto"/>
          <w:highlight w:val="none"/>
        </w:rPr>
        <w:t>主要是减少了年中追加下达的汽车以旧换新、汽车下乡补贴等转移支付资金。</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auto"/>
          <w:highlight w:val="none"/>
        </w:rPr>
      </w:pPr>
      <w:r>
        <w:rPr>
          <w:rFonts w:hint="eastAsia"/>
          <w:color w:val="auto"/>
          <w:highlight w:val="none"/>
        </w:rPr>
        <w:t>2</w:t>
      </w:r>
      <w:r>
        <w:rPr>
          <w:color w:val="auto"/>
          <w:highlight w:val="none"/>
        </w:rPr>
        <w:t>.</w:t>
      </w:r>
      <w:r>
        <w:rPr>
          <w:rFonts w:hint="eastAsia"/>
          <w:color w:val="auto"/>
          <w:highlight w:val="none"/>
        </w:rPr>
        <w:t>国防支出，反映政府用于现役部队建设与管理方面的支出，计划安排1</w:t>
      </w:r>
      <w:r>
        <w:rPr>
          <w:rFonts w:hint="default"/>
          <w:color w:val="auto"/>
          <w:highlight w:val="none"/>
        </w:rPr>
        <w:t>1</w:t>
      </w:r>
      <w:r>
        <w:rPr>
          <w:rFonts w:hint="eastAsia"/>
          <w:color w:val="auto"/>
          <w:highlight w:val="none"/>
          <w:lang w:val="en-US" w:eastAsia="zh-CN"/>
        </w:rPr>
        <w:t>8</w:t>
      </w:r>
      <w:r>
        <w:rPr>
          <w:rFonts w:hint="eastAsia"/>
          <w:color w:val="auto"/>
          <w:highlight w:val="none"/>
        </w:rPr>
        <w:t>万元，</w:t>
      </w:r>
      <w:r>
        <w:rPr>
          <w:rFonts w:hint="eastAsia"/>
          <w:color w:val="auto"/>
          <w:highlight w:val="none"/>
          <w:lang w:eastAsia="zh-CN"/>
        </w:rPr>
        <w:t>增长</w:t>
      </w:r>
      <w:r>
        <w:rPr>
          <w:rFonts w:hint="eastAsia"/>
          <w:color w:val="auto"/>
          <w:highlight w:val="none"/>
          <w:lang w:val="en-US" w:eastAsia="zh-CN"/>
        </w:rPr>
        <w:t>21.1</w:t>
      </w:r>
      <w:r>
        <w:rPr>
          <w:color w:val="auto"/>
          <w:highlight w:val="none"/>
        </w:rPr>
        <w:t>%</w:t>
      </w:r>
      <w:r>
        <w:rPr>
          <w:rFonts w:hint="eastAsia"/>
          <w:color w:val="auto"/>
          <w:highlight w:val="none"/>
          <w:lang w:eastAsia="zh-CN"/>
        </w:rPr>
        <w:t>，</w:t>
      </w:r>
      <w:r>
        <w:rPr>
          <w:rFonts w:hint="eastAsia"/>
          <w:color w:val="auto"/>
          <w:highlight w:val="none"/>
        </w:rPr>
        <w:t>主要是</w:t>
      </w:r>
      <w:r>
        <w:rPr>
          <w:rFonts w:hint="eastAsia"/>
          <w:color w:val="auto"/>
          <w:highlight w:val="none"/>
          <w:lang w:eastAsia="zh-CN"/>
        </w:rPr>
        <w:t>据实保障</w:t>
      </w:r>
      <w:r>
        <w:rPr>
          <w:rFonts w:hint="eastAsia"/>
          <w:color w:val="auto"/>
          <w:highlight w:val="none"/>
        </w:rPr>
        <w:t>征兵工作经费。</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auto"/>
          <w:highlight w:val="none"/>
        </w:rPr>
      </w:pPr>
      <w:r>
        <w:rPr>
          <w:rFonts w:hint="eastAsia"/>
          <w:color w:val="auto"/>
          <w:highlight w:val="none"/>
        </w:rPr>
        <w:t>3</w:t>
      </w:r>
      <w:r>
        <w:rPr>
          <w:color w:val="auto"/>
          <w:highlight w:val="none"/>
        </w:rPr>
        <w:t>.</w:t>
      </w:r>
      <w:r>
        <w:rPr>
          <w:rFonts w:hint="eastAsia"/>
          <w:color w:val="auto"/>
          <w:highlight w:val="none"/>
        </w:rPr>
        <w:t>公共安全支出，反映政府维护社会公共安全方面的支出，计划安排</w:t>
      </w:r>
      <w:r>
        <w:rPr>
          <w:rFonts w:hint="eastAsia"/>
          <w:color w:val="auto"/>
          <w:highlight w:val="none"/>
          <w:lang w:val="en-US" w:eastAsia="zh-CN"/>
        </w:rPr>
        <w:t>3.9</w:t>
      </w:r>
      <w:r>
        <w:rPr>
          <w:rFonts w:hint="eastAsia"/>
          <w:color w:val="auto"/>
          <w:highlight w:val="none"/>
        </w:rPr>
        <w:t>亿元，</w:t>
      </w:r>
      <w:r>
        <w:rPr>
          <w:rFonts w:hint="eastAsia"/>
          <w:color w:val="auto"/>
          <w:highlight w:val="none"/>
          <w:lang w:eastAsia="zh-CN"/>
        </w:rPr>
        <w:t>下降</w:t>
      </w:r>
      <w:r>
        <w:rPr>
          <w:rFonts w:hint="eastAsia"/>
          <w:color w:val="auto"/>
          <w:highlight w:val="none"/>
          <w:lang w:val="en-US" w:eastAsia="zh-CN"/>
        </w:rPr>
        <w:t>13.3%，主要是减少了海上疫情联防联控支出</w:t>
      </w:r>
      <w:r>
        <w:rPr>
          <w:rFonts w:hint="eastAsia"/>
          <w:color w:val="auto"/>
          <w:highlight w:val="none"/>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auto"/>
          <w:highlight w:val="none"/>
        </w:rPr>
      </w:pPr>
      <w:r>
        <w:rPr>
          <w:rFonts w:hint="eastAsia"/>
          <w:color w:val="auto"/>
          <w:highlight w:val="none"/>
        </w:rPr>
        <w:t>4</w:t>
      </w:r>
      <w:r>
        <w:rPr>
          <w:color w:val="auto"/>
          <w:highlight w:val="none"/>
        </w:rPr>
        <w:t>.</w:t>
      </w:r>
      <w:r>
        <w:rPr>
          <w:rFonts w:hint="eastAsia"/>
          <w:color w:val="auto"/>
          <w:highlight w:val="none"/>
        </w:rPr>
        <w:t>教育支出，反映政府教育事务支出，计划安排</w:t>
      </w:r>
      <w:r>
        <w:rPr>
          <w:rFonts w:hint="eastAsia"/>
          <w:color w:val="auto"/>
          <w:highlight w:val="none"/>
          <w:lang w:val="en-US" w:eastAsia="zh-CN"/>
        </w:rPr>
        <w:t>11.3</w:t>
      </w:r>
      <w:r>
        <w:rPr>
          <w:rFonts w:hint="eastAsia"/>
          <w:color w:val="auto"/>
          <w:highlight w:val="none"/>
        </w:rPr>
        <w:t>亿元，</w:t>
      </w:r>
      <w:r>
        <w:rPr>
          <w:rFonts w:hint="eastAsia"/>
          <w:color w:val="auto"/>
          <w:highlight w:val="none"/>
          <w:lang w:eastAsia="zh-CN"/>
        </w:rPr>
        <w:t>下降</w:t>
      </w:r>
      <w:r>
        <w:rPr>
          <w:rFonts w:hint="eastAsia"/>
          <w:color w:val="auto"/>
          <w:highlight w:val="none"/>
          <w:lang w:val="en-US" w:eastAsia="zh-CN"/>
        </w:rPr>
        <w:t>25.4%</w:t>
      </w:r>
      <w:r>
        <w:rPr>
          <w:rFonts w:hint="eastAsia"/>
          <w:color w:val="auto"/>
          <w:highlight w:val="none"/>
          <w:lang w:eastAsia="zh-CN"/>
        </w:rPr>
        <w:t>，</w:t>
      </w:r>
      <w:r>
        <w:rPr>
          <w:rFonts w:hint="eastAsia"/>
          <w:color w:val="auto"/>
          <w:highlight w:val="none"/>
        </w:rPr>
        <w:t>主要是减少了年中追加下达的市投区建资金。</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auto"/>
          <w:highlight w:val="none"/>
        </w:rPr>
      </w:pPr>
      <w:r>
        <w:rPr>
          <w:rFonts w:hint="eastAsia"/>
          <w:color w:val="auto"/>
          <w:highlight w:val="none"/>
        </w:rPr>
        <w:t>5</w:t>
      </w:r>
      <w:r>
        <w:rPr>
          <w:color w:val="auto"/>
          <w:highlight w:val="none"/>
        </w:rPr>
        <w:t>.</w:t>
      </w:r>
      <w:r>
        <w:rPr>
          <w:rFonts w:hint="eastAsia"/>
          <w:color w:val="auto"/>
          <w:highlight w:val="none"/>
        </w:rPr>
        <w:t>科学技术支出，反映科学技术方面的支出，计划安排0.</w:t>
      </w:r>
      <w:r>
        <w:rPr>
          <w:rFonts w:hint="eastAsia"/>
          <w:color w:val="auto"/>
          <w:highlight w:val="none"/>
          <w:lang w:val="en-US" w:eastAsia="zh-CN"/>
        </w:rPr>
        <w:t>2</w:t>
      </w:r>
      <w:r>
        <w:rPr>
          <w:rFonts w:hint="eastAsia"/>
          <w:color w:val="auto"/>
          <w:highlight w:val="none"/>
        </w:rPr>
        <w:t>亿元，</w:t>
      </w:r>
      <w:r>
        <w:rPr>
          <w:rFonts w:hint="default"/>
          <w:color w:val="auto"/>
          <w:highlight w:val="none"/>
        </w:rPr>
        <w:t>与上年基本持平</w:t>
      </w:r>
      <w:r>
        <w:rPr>
          <w:rFonts w:hint="eastAsia"/>
          <w:color w:val="auto"/>
          <w:highlight w:val="none"/>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auto"/>
          <w:highlight w:val="none"/>
        </w:rPr>
      </w:pPr>
      <w:r>
        <w:rPr>
          <w:rFonts w:hint="eastAsia"/>
          <w:color w:val="auto"/>
          <w:highlight w:val="none"/>
        </w:rPr>
        <w:t>6</w:t>
      </w:r>
      <w:r>
        <w:rPr>
          <w:color w:val="auto"/>
          <w:highlight w:val="none"/>
        </w:rPr>
        <w:t>.</w:t>
      </w:r>
      <w:r>
        <w:rPr>
          <w:rFonts w:hint="eastAsia"/>
          <w:color w:val="auto"/>
          <w:highlight w:val="none"/>
        </w:rPr>
        <w:t>文化旅游体育与传媒支出，反映政府在文化、文物、体育、广播影视、新闻出版等方面的支出，计划安排</w:t>
      </w:r>
      <w:r>
        <w:rPr>
          <w:rFonts w:hint="eastAsia"/>
          <w:color w:val="auto"/>
          <w:highlight w:val="none"/>
          <w:lang w:val="en-US" w:eastAsia="zh-CN"/>
        </w:rPr>
        <w:t>0.7</w:t>
      </w:r>
      <w:r>
        <w:rPr>
          <w:rFonts w:hint="eastAsia"/>
          <w:color w:val="auto"/>
          <w:highlight w:val="none"/>
        </w:rPr>
        <w:t>亿元，</w:t>
      </w:r>
      <w:r>
        <w:rPr>
          <w:rFonts w:hint="eastAsia"/>
          <w:color w:val="auto"/>
          <w:highlight w:val="none"/>
          <w:lang w:eastAsia="zh-CN"/>
        </w:rPr>
        <w:t>与上年基本持平</w:t>
      </w:r>
      <w:r>
        <w:rPr>
          <w:rFonts w:hint="eastAsia"/>
          <w:color w:val="auto"/>
          <w:highlight w:val="none"/>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auto"/>
          <w:highlight w:val="none"/>
        </w:rPr>
      </w:pPr>
      <w:r>
        <w:rPr>
          <w:rFonts w:hint="eastAsia"/>
          <w:color w:val="auto"/>
          <w:highlight w:val="none"/>
        </w:rPr>
        <w:t>7</w:t>
      </w:r>
      <w:r>
        <w:rPr>
          <w:color w:val="auto"/>
          <w:highlight w:val="none"/>
        </w:rPr>
        <w:t>.</w:t>
      </w:r>
      <w:r>
        <w:rPr>
          <w:rFonts w:hint="eastAsia"/>
          <w:color w:val="auto"/>
          <w:highlight w:val="none"/>
        </w:rPr>
        <w:t>社会保障和就业支出，反映政府在社会保障与就业方面的</w:t>
      </w:r>
      <w:r>
        <w:rPr>
          <w:color w:val="auto"/>
          <w:highlight w:val="none"/>
        </w:rPr>
        <w:t>支出，计划安排</w:t>
      </w:r>
      <w:r>
        <w:rPr>
          <w:rFonts w:hint="eastAsia"/>
          <w:color w:val="auto"/>
          <w:highlight w:val="none"/>
          <w:lang w:val="en-US" w:eastAsia="zh-CN"/>
        </w:rPr>
        <w:t>2.9</w:t>
      </w:r>
      <w:r>
        <w:rPr>
          <w:color w:val="auto"/>
          <w:highlight w:val="none"/>
        </w:rPr>
        <w:t>亿元，</w:t>
      </w:r>
      <w:r>
        <w:rPr>
          <w:rFonts w:hint="eastAsia"/>
          <w:color w:val="auto"/>
          <w:highlight w:val="none"/>
          <w:lang w:eastAsia="zh-CN"/>
        </w:rPr>
        <w:t>下降</w:t>
      </w:r>
      <w:r>
        <w:rPr>
          <w:rFonts w:hint="eastAsia"/>
          <w:color w:val="auto"/>
          <w:highlight w:val="none"/>
          <w:lang w:val="en-US" w:eastAsia="zh-CN"/>
        </w:rPr>
        <w:t>4.8</w:t>
      </w:r>
      <w:r>
        <w:rPr>
          <w:rFonts w:hint="default"/>
          <w:color w:val="auto"/>
          <w:highlight w:val="none"/>
        </w:rPr>
        <w:t>%，主要是</w:t>
      </w:r>
      <w:r>
        <w:rPr>
          <w:rFonts w:hint="eastAsia"/>
          <w:color w:val="auto"/>
          <w:highlight w:val="none"/>
          <w:lang w:eastAsia="zh-CN"/>
        </w:rPr>
        <w:t>减少了引进人才费用</w:t>
      </w:r>
      <w:r>
        <w:rPr>
          <w:rFonts w:hint="default"/>
          <w:color w:val="auto"/>
          <w:highlight w:val="none"/>
        </w:rPr>
        <w:t>等</w:t>
      </w:r>
      <w:r>
        <w:rPr>
          <w:rFonts w:hint="eastAsia"/>
          <w:color w:val="auto"/>
          <w:highlight w:val="none"/>
          <w:lang w:eastAsia="zh-CN"/>
        </w:rPr>
        <w:t>支出</w:t>
      </w:r>
      <w:r>
        <w:rPr>
          <w:rFonts w:hint="eastAsia"/>
          <w:color w:val="auto"/>
          <w:highlight w:val="none"/>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auto"/>
          <w:highlight w:val="none"/>
        </w:rPr>
      </w:pPr>
      <w:r>
        <w:rPr>
          <w:rFonts w:hint="eastAsia"/>
          <w:color w:val="auto"/>
          <w:highlight w:val="none"/>
        </w:rPr>
        <w:t>8</w:t>
      </w:r>
      <w:r>
        <w:rPr>
          <w:color w:val="auto"/>
          <w:highlight w:val="none"/>
        </w:rPr>
        <w:t>.卫生健康支出，反映政府医疗卫生与计划生育管理方面的支出，计划安排</w:t>
      </w:r>
      <w:r>
        <w:rPr>
          <w:rFonts w:hint="eastAsia"/>
          <w:color w:val="auto"/>
          <w:highlight w:val="none"/>
          <w:lang w:val="en-US" w:eastAsia="zh-CN"/>
        </w:rPr>
        <w:t>5.7</w:t>
      </w:r>
      <w:r>
        <w:rPr>
          <w:color w:val="auto"/>
          <w:highlight w:val="none"/>
        </w:rPr>
        <w:t>亿元，</w:t>
      </w:r>
      <w:r>
        <w:rPr>
          <w:rFonts w:hint="eastAsia"/>
          <w:color w:val="auto"/>
          <w:highlight w:val="none"/>
          <w:lang w:eastAsia="zh-CN"/>
        </w:rPr>
        <w:t>下降</w:t>
      </w:r>
      <w:r>
        <w:rPr>
          <w:rFonts w:hint="eastAsia"/>
          <w:color w:val="auto"/>
          <w:highlight w:val="none"/>
          <w:lang w:val="en-US" w:eastAsia="zh-CN"/>
        </w:rPr>
        <w:t>30.7</w:t>
      </w:r>
      <w:r>
        <w:rPr>
          <w:color w:val="auto"/>
          <w:highlight w:val="none"/>
        </w:rPr>
        <w:t>%</w:t>
      </w:r>
      <w:r>
        <w:rPr>
          <w:rFonts w:hint="eastAsia"/>
          <w:color w:val="auto"/>
          <w:highlight w:val="none"/>
          <w:lang w:eastAsia="zh-CN"/>
        </w:rPr>
        <w:t>，</w:t>
      </w:r>
      <w:r>
        <w:rPr>
          <w:rFonts w:hint="eastAsia"/>
          <w:color w:val="auto"/>
          <w:highlight w:val="none"/>
        </w:rPr>
        <w:t>主要是减少了年中追加下达的坝光国际酒店等防疫经费。</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.节能环保支出，反映政府节能环保支出，计划安排</w:t>
      </w:r>
      <w:r>
        <w:rPr>
          <w:rFonts w:hint="eastAsia"/>
          <w:color w:val="000000" w:themeColor="text1"/>
          <w:highlight w:val="none"/>
          <w14:textFill>
            <w14:solidFill>
              <w14:schemeClr w14:val="tx1"/>
            </w14:solidFill>
          </w14:textFill>
        </w:rPr>
        <w:t>0.</w:t>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亿元，</w:t>
      </w:r>
      <w:r>
        <w:rPr>
          <w:rFonts w:hint="eastAsia"/>
          <w:color w:val="000000" w:themeColor="text1"/>
          <w:highlight w:val="none"/>
          <w:lang w:eastAsia="zh-CN"/>
          <w14:textFill>
            <w14:solidFill>
              <w14:schemeClr w14:val="tx1"/>
            </w14:solidFill>
          </w14:textFill>
        </w:rPr>
        <w:t>下降</w:t>
      </w:r>
      <w:r>
        <w:rPr>
          <w:rFonts w:hint="eastAsia"/>
          <w:color w:val="000000" w:themeColor="text1"/>
          <w:highlight w:val="none"/>
          <w:lang w:val="en-US" w:eastAsia="zh-CN"/>
          <w14:textFill>
            <w14:solidFill>
              <w14:schemeClr w14:val="tx1"/>
            </w14:solidFill>
          </w14:textFill>
        </w:rPr>
        <w:t>68</w:t>
      </w:r>
      <w:r>
        <w:rPr>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主要是水环境综合治理项目已基本完成。</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.城乡社区支出，反映政府城乡社区事务支出，计划安排</w:t>
      </w:r>
      <w:r>
        <w:rPr>
          <w:rFonts w:hint="eastAsia"/>
          <w:color w:val="000000" w:themeColor="text1"/>
          <w:highlight w:val="none"/>
          <w:lang w:val="en-US" w:eastAsia="zh-CN"/>
          <w14:textFill>
            <w14:solidFill>
              <w14:schemeClr w14:val="tx1"/>
            </w14:solidFill>
          </w14:textFill>
        </w:rPr>
        <w:t>17.9</w:t>
      </w:r>
      <w:r>
        <w:rPr>
          <w:color w:val="000000" w:themeColor="text1"/>
          <w:highlight w:val="none"/>
          <w14:textFill>
            <w14:solidFill>
              <w14:schemeClr w14:val="tx1"/>
            </w14:solidFill>
          </w14:textFill>
        </w:rPr>
        <w:t>亿元，</w:t>
      </w:r>
      <w:r>
        <w:rPr>
          <w:rFonts w:hint="eastAsia"/>
          <w:color w:val="000000" w:themeColor="text1"/>
          <w:highlight w:val="none"/>
          <w:lang w:eastAsia="zh-CN"/>
          <w14:textFill>
            <w14:solidFill>
              <w14:schemeClr w14:val="tx1"/>
            </w14:solidFill>
          </w14:textFill>
        </w:rPr>
        <w:t>下降</w:t>
      </w:r>
      <w:r>
        <w:rPr>
          <w:rFonts w:hint="eastAsia"/>
          <w:color w:val="000000" w:themeColor="text1"/>
          <w:highlight w:val="none"/>
          <w:lang w:val="en-US" w:eastAsia="zh-CN"/>
          <w14:textFill>
            <w14:solidFill>
              <w14:schemeClr w14:val="tx1"/>
            </w14:solidFill>
          </w14:textFill>
        </w:rPr>
        <w:t>41.5%，</w:t>
      </w:r>
      <w:r>
        <w:rPr>
          <w:rFonts w:hint="default"/>
          <w:color w:val="000000" w:themeColor="text1"/>
          <w:highlight w:val="none"/>
          <w14:textFill>
            <w14:solidFill>
              <w14:schemeClr w14:val="tx1"/>
            </w14:solidFill>
          </w14:textFill>
        </w:rPr>
        <w:t>主要是减少了年中追加下达的市投区建资金。</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.农林水支出，反映政府农林水事务支出，计划安排</w:t>
      </w:r>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7</w:t>
      </w:r>
      <w:r>
        <w:rPr>
          <w:color w:val="000000" w:themeColor="text1"/>
          <w:highlight w:val="none"/>
          <w14:textFill>
            <w14:solidFill>
              <w14:schemeClr w14:val="tx1"/>
            </w14:solidFill>
          </w14:textFill>
        </w:rPr>
        <w:t>亿元，</w:t>
      </w:r>
      <w:r>
        <w:rPr>
          <w:rFonts w:hint="eastAsia"/>
          <w:color w:val="000000" w:themeColor="text1"/>
          <w:highlight w:val="none"/>
          <w:lang w:eastAsia="zh-CN"/>
          <w14:textFill>
            <w14:solidFill>
              <w14:schemeClr w14:val="tx1"/>
            </w14:solidFill>
          </w14:textFill>
        </w:rPr>
        <w:t>与上年基本持平</w:t>
      </w:r>
      <w:r>
        <w:rPr>
          <w:color w:val="000000" w:themeColor="text1"/>
          <w:highlight w:val="none"/>
          <w14:textFill>
            <w14:solidFill>
              <w14:schemeClr w14:val="tx1"/>
            </w14:solidFill>
          </w14:textFill>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.交通运输支出，反映交通运输和邮政业方面的支出，计划安排</w:t>
      </w:r>
      <w:r>
        <w:rPr>
          <w:rFonts w:hint="eastAsia"/>
          <w:color w:val="000000" w:themeColor="text1"/>
          <w:highlight w:val="none"/>
          <w:lang w:val="en-US" w:eastAsia="zh-CN"/>
          <w14:textFill>
            <w14:solidFill>
              <w14:schemeClr w14:val="tx1"/>
            </w14:solidFill>
          </w14:textFill>
        </w:rPr>
        <w:t>0.8</w:t>
      </w:r>
      <w:r>
        <w:rPr>
          <w:color w:val="000000" w:themeColor="text1"/>
          <w:highlight w:val="none"/>
          <w14:textFill>
            <w14:solidFill>
              <w14:schemeClr w14:val="tx1"/>
            </w14:solidFill>
          </w14:textFill>
        </w:rPr>
        <w:t>亿元，</w:t>
      </w:r>
      <w:r>
        <w:rPr>
          <w:rFonts w:hint="eastAsia"/>
          <w:color w:val="000000" w:themeColor="text1"/>
          <w:highlight w:val="none"/>
          <w:lang w:eastAsia="zh-CN"/>
          <w14:textFill>
            <w14:solidFill>
              <w14:schemeClr w14:val="tx1"/>
            </w14:solidFill>
          </w14:textFill>
        </w:rPr>
        <w:t>下降</w:t>
      </w:r>
      <w:r>
        <w:rPr>
          <w:rFonts w:hint="eastAsia"/>
          <w:color w:val="000000" w:themeColor="text1"/>
          <w:highlight w:val="none"/>
          <w:lang w:val="en-US" w:eastAsia="zh-CN"/>
          <w14:textFill>
            <w14:solidFill>
              <w14:schemeClr w14:val="tx1"/>
            </w14:solidFill>
          </w14:textFill>
        </w:rPr>
        <w:t>45.3</w:t>
      </w:r>
      <w:r>
        <w:rPr>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主要是</w:t>
      </w:r>
      <w:r>
        <w:rPr>
          <w:rFonts w:hint="eastAsia"/>
          <w:color w:val="000000" w:themeColor="text1"/>
          <w:highlight w:val="none"/>
          <w:lang w:eastAsia="zh-CN"/>
          <w14:textFill>
            <w14:solidFill>
              <w14:schemeClr w14:val="tx1"/>
            </w14:solidFill>
          </w14:textFill>
        </w:rPr>
        <w:t>根据市区投资事权调整，城市主干道及以上道路调整为市政府投资建设。</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资源勘探工业信息等支出，反映用于资源勘探、制造业、建</w:t>
      </w:r>
      <w:r>
        <w:rPr>
          <w:color w:val="000000" w:themeColor="text1"/>
          <w:highlight w:val="none"/>
          <w14:textFill>
            <w14:solidFill>
              <w14:schemeClr w14:val="tx1"/>
            </w14:solidFill>
          </w14:textFill>
        </w:rPr>
        <w:t>筑业、工业信息等方面支出，计划安排</w:t>
      </w:r>
      <w:r>
        <w:rPr>
          <w:rFonts w:hint="eastAsia"/>
          <w:color w:val="000000" w:themeColor="text1"/>
          <w:highlight w:val="none"/>
          <w14:textFill>
            <w14:solidFill>
              <w14:schemeClr w14:val="tx1"/>
            </w14:solidFill>
          </w14:textFill>
        </w:rPr>
        <w:t>0.</w:t>
      </w:r>
      <w:r>
        <w:rPr>
          <w:rFonts w:hint="default"/>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亿元，</w:t>
      </w:r>
      <w:r>
        <w:rPr>
          <w:rFonts w:hint="eastAsia"/>
          <w:color w:val="000000" w:themeColor="text1"/>
          <w:highlight w:val="none"/>
          <w:lang w:eastAsia="zh-CN"/>
          <w14:textFill>
            <w14:solidFill>
              <w14:schemeClr w14:val="tx1"/>
            </w14:solidFill>
          </w14:textFill>
        </w:rPr>
        <w:t>与上年基本持平</w:t>
      </w:r>
      <w:r>
        <w:rPr>
          <w:rFonts w:hint="eastAsia"/>
          <w:color w:val="000000" w:themeColor="text1"/>
          <w:highlight w:val="none"/>
          <w14:textFill>
            <w14:solidFill>
              <w14:schemeClr w14:val="tx1"/>
            </w14:solidFill>
          </w14:textFill>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.自然资源海洋气象等支出</w:t>
      </w:r>
      <w:r>
        <w:rPr>
          <w:color w:val="000000" w:themeColor="text1"/>
          <w:highlight w:val="none"/>
          <w:lang w:val="en"/>
          <w14:textFill>
            <w14:solidFill>
              <w14:schemeClr w14:val="tx1"/>
            </w14:solidFill>
          </w14:textFill>
        </w:rPr>
        <w:t>，</w:t>
      </w:r>
      <w:r>
        <w:rPr>
          <w:color w:val="000000" w:themeColor="text1"/>
          <w:highlight w:val="none"/>
          <w14:textFill>
            <w14:solidFill>
              <w14:schemeClr w14:val="tx1"/>
            </w14:solidFill>
          </w14:textFill>
        </w:rPr>
        <w:t>反映政府用于国土资源、海洋、测绘、地震、气象等公益服务事业方面的支出，计划安</w:t>
      </w:r>
      <w:r>
        <w:rPr>
          <w:rFonts w:hint="eastAsia"/>
          <w:color w:val="000000" w:themeColor="text1"/>
          <w:highlight w:val="none"/>
          <w14:textFill>
            <w14:solidFill>
              <w14:schemeClr w14:val="tx1"/>
            </w14:solidFill>
          </w14:textFill>
        </w:rPr>
        <w:t>排0.5</w:t>
      </w:r>
      <w:r>
        <w:rPr>
          <w:color w:val="000000" w:themeColor="text1"/>
          <w:highlight w:val="none"/>
          <w14:textFill>
            <w14:solidFill>
              <w14:schemeClr w14:val="tx1"/>
            </w14:solidFill>
          </w14:textFill>
        </w:rPr>
        <w:t>亿元，</w:t>
      </w:r>
      <w:r>
        <w:rPr>
          <w:rFonts w:hint="eastAsia"/>
          <w:color w:val="000000" w:themeColor="text1"/>
          <w:highlight w:val="none"/>
          <w14:textFill>
            <w14:solidFill>
              <w14:schemeClr w14:val="tx1"/>
            </w14:solidFill>
          </w14:textFill>
        </w:rPr>
        <w:t>下降</w:t>
      </w:r>
      <w:r>
        <w:rPr>
          <w:rFonts w:hint="eastAsia"/>
          <w:color w:val="000000" w:themeColor="text1"/>
          <w:highlight w:val="none"/>
          <w:lang w:val="en-US" w:eastAsia="zh-CN"/>
          <w14:textFill>
            <w14:solidFill>
              <w14:schemeClr w14:val="tx1"/>
            </w14:solidFill>
          </w14:textFill>
        </w:rPr>
        <w:t>83.6</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，主要是减少了渔排清理支出。</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000000" w:themeColor="text1"/>
          <w:highlight w:val="yellow"/>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.住房保障支出，反映政府用于住房方面的支出，计划安排</w:t>
      </w:r>
      <w:r>
        <w:rPr>
          <w:rFonts w:hint="default"/>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亿元，</w:t>
      </w:r>
      <w:r>
        <w:rPr>
          <w:rFonts w:hint="eastAsia"/>
          <w:color w:val="000000" w:themeColor="text1"/>
          <w:highlight w:val="none"/>
          <w:lang w:eastAsia="zh-CN"/>
          <w14:textFill>
            <w14:solidFill>
              <w14:schemeClr w14:val="tx1"/>
            </w14:solidFill>
          </w14:textFill>
        </w:rPr>
        <w:t>与上年基本持平</w:t>
      </w:r>
      <w:r>
        <w:rPr>
          <w:rFonts w:hint="eastAsia"/>
          <w:color w:val="000000" w:themeColor="text1"/>
          <w:highlight w:val="none"/>
          <w14:textFill>
            <w14:solidFill>
              <w14:schemeClr w14:val="tx1"/>
            </w14:solidFill>
          </w14:textFill>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hint="eastAsia"/>
          <w:color w:val="000000" w:themeColor="text1"/>
          <w:lang w:val="en-US" w:eastAsia="zh-CN"/>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.灾害防治及应急管理支出，计划安排</w:t>
      </w: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7</w:t>
      </w:r>
      <w:r>
        <w:rPr>
          <w:color w:val="000000" w:themeColor="text1"/>
          <w:highlight w:val="none"/>
          <w14:textFill>
            <w14:solidFill>
              <w14:schemeClr w14:val="tx1"/>
            </w14:solidFill>
          </w14:textFill>
        </w:rPr>
        <w:t>亿元，</w:t>
      </w:r>
      <w:r>
        <w:rPr>
          <w:rFonts w:hint="default"/>
          <w:color w:val="000000" w:themeColor="text1"/>
          <w:highlight w:val="none"/>
          <w14:textFill>
            <w14:solidFill>
              <w14:schemeClr w14:val="tx1"/>
            </w14:solidFill>
          </w14:textFill>
        </w:rPr>
        <w:t>增长</w:t>
      </w:r>
      <w:r>
        <w:rPr>
          <w:rFonts w:hint="eastAsia"/>
          <w:color w:val="000000" w:themeColor="text1"/>
          <w:highlight w:val="none"/>
          <w:lang w:val="en-US" w:eastAsia="zh-CN"/>
          <w14:textFill>
            <w14:solidFill>
              <w14:schemeClr w14:val="tx1"/>
            </w14:solidFill>
          </w14:textFill>
        </w:rPr>
        <w:t>18.7</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主要是</w:t>
      </w:r>
      <w:r>
        <w:rPr>
          <w:rFonts w:hint="eastAsia"/>
          <w:color w:val="000000" w:themeColor="text1"/>
          <w:highlight w:val="none"/>
          <w:lang w:eastAsia="zh-CN"/>
          <w14:textFill>
            <w14:solidFill>
              <w14:schemeClr w14:val="tx1"/>
            </w14:solidFill>
          </w14:textFill>
        </w:rPr>
        <w:t>部分应急支出年度执行中按实际支出项目据实编列科目</w:t>
      </w:r>
      <w:r>
        <w:rPr>
          <w:rFonts w:hint="eastAsia"/>
          <w:color w:val="000000" w:themeColor="text1"/>
          <w:highlight w:val="none"/>
          <w14:textFill>
            <w14:solidFill>
              <w14:schemeClr w14:val="tx1"/>
            </w14:solidFill>
          </w14:textFill>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.预备费，反映预算中安排的预备费，计划安排</w:t>
      </w:r>
      <w:r>
        <w:rPr>
          <w:rFonts w:hint="eastAsia"/>
          <w:color w:val="000000" w:themeColor="text1"/>
          <w14:textFill>
            <w14:solidFill>
              <w14:schemeClr w14:val="tx1"/>
            </w14:solidFill>
          </w14:textFill>
        </w:rPr>
        <w:t>0.7</w:t>
      </w:r>
      <w:r>
        <w:rPr>
          <w:color w:val="000000" w:themeColor="text1"/>
          <w14:textFill>
            <w14:solidFill>
              <w14:schemeClr w14:val="tx1"/>
            </w14:solidFill>
          </w14:textFill>
        </w:rPr>
        <w:t>亿元，</w:t>
      </w:r>
      <w:r>
        <w:rPr>
          <w:rFonts w:hint="eastAsia"/>
          <w:color w:val="000000" w:themeColor="text1"/>
          <w:lang w:eastAsia="zh-CN"/>
          <w14:textFill>
            <w14:solidFill>
              <w14:schemeClr w14:val="tx1"/>
            </w14:solidFill>
          </w14:textFill>
        </w:rPr>
        <w:t>与上年持平，</w:t>
      </w:r>
      <w:r>
        <w:rPr>
          <w:color w:val="000000" w:themeColor="text1"/>
          <w14:textFill>
            <w14:solidFill>
              <w14:schemeClr w14:val="tx1"/>
            </w14:solidFill>
          </w14:textFill>
        </w:rPr>
        <w:t>规模占本级一般公共预算支出的比重为</w:t>
      </w: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%，符合《</w:t>
      </w:r>
      <w:r>
        <w:rPr>
          <w:rFonts w:hint="eastAsia"/>
          <w:color w:val="000000" w:themeColor="text1"/>
          <w:lang w:eastAsia="zh-CN"/>
          <w14:textFill>
            <w14:solidFill>
              <w14:schemeClr w14:val="tx1"/>
            </w14:solidFill>
          </w14:textFill>
        </w:rPr>
        <w:t>中华人民共和国</w:t>
      </w:r>
      <w:r>
        <w:rPr>
          <w:color w:val="000000" w:themeColor="text1"/>
          <w14:textFill>
            <w14:solidFill>
              <w14:schemeClr w14:val="tx1"/>
            </w14:solidFill>
          </w14:textFill>
        </w:rPr>
        <w:t>预算法》按照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本级一般公共预算支出额的百分之一至百分之三</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的比例预留的规定。</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color w:val="000000" w:themeColor="text1"/>
          <w14:textFill>
            <w14:solidFill>
              <w14:schemeClr w14:val="tx1"/>
            </w14:solidFill>
          </w14:textFill>
        </w:rPr>
      </w:pPr>
    </w:p>
    <w:p>
      <w:pPr>
        <w:keepNext w:val="0"/>
        <w:keepLines w:val="0"/>
        <w:pageBreakBefore w:val="0"/>
        <w:widowControl w:val="0"/>
        <w:numPr>
          <w:ilvl w:val="0"/>
          <w:numId w:val="1"/>
        </w:numPr>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left="0" w:leftChars="0" w:firstLine="0" w:firstLineChars="0"/>
        <w:jc w:val="center"/>
        <w:textAlignment w:val="auto"/>
        <w:rPr>
          <w:rFonts w:hint="eastAsia" w:ascii="黑体" w:hAnsi="黑体" w:eastAsia="黑体" w:cs="宋体"/>
          <w:color w:val="000000" w:themeColor="text1"/>
          <w:kern w:val="0"/>
          <w:szCs w:val="32"/>
          <w14:textFill>
            <w14:solidFill>
              <w14:schemeClr w14:val="tx1"/>
            </w14:solidFill>
          </w14:textFill>
        </w:rPr>
      </w:pPr>
      <w:r>
        <w:rPr>
          <w:rFonts w:hint="eastAsia" w:ascii="黑体" w:hAnsi="黑体" w:eastAsia="黑体" w:cs="宋体"/>
          <w:color w:val="000000" w:themeColor="text1"/>
          <w:kern w:val="0"/>
          <w:szCs w:val="32"/>
          <w14:textFill>
            <w14:solidFill>
              <w14:schemeClr w14:val="tx1"/>
            </w14:solidFill>
          </w14:textFill>
        </w:rPr>
        <w:t xml:space="preserve"> 202</w:t>
      </w:r>
      <w:r>
        <w:rPr>
          <w:rFonts w:hint="eastAsia" w:ascii="黑体" w:hAnsi="黑体" w:eastAsia="黑体" w:cs="宋体"/>
          <w:color w:val="000000" w:themeColor="text1"/>
          <w:kern w:val="0"/>
          <w:szCs w:val="32"/>
          <w:lang w:val="en-US" w:eastAsia="zh-CN"/>
          <w14:textFill>
            <w14:solidFill>
              <w14:schemeClr w14:val="tx1"/>
            </w14:solidFill>
          </w14:textFill>
        </w:rPr>
        <w:t>3</w:t>
      </w:r>
      <w:r>
        <w:rPr>
          <w:rFonts w:hint="eastAsia" w:ascii="黑体" w:hAnsi="黑体" w:eastAsia="黑体" w:cs="宋体"/>
          <w:color w:val="000000" w:themeColor="text1"/>
          <w:kern w:val="0"/>
          <w:szCs w:val="32"/>
          <w14:textFill>
            <w14:solidFill>
              <w14:schemeClr w14:val="tx1"/>
            </w14:solidFill>
          </w14:textFill>
        </w:rPr>
        <w:t>年政府性基金预算</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leftChars="0" w:firstLine="628" w:firstLineChars="200"/>
        <w:jc w:val="both"/>
        <w:textAlignment w:val="auto"/>
        <w:rPr>
          <w:rFonts w:hint="eastAsia"/>
          <w:color w:val="000000" w:themeColor="text1"/>
          <w:szCs w:val="32"/>
          <w14:textFill>
            <w14:solidFill>
              <w14:schemeClr w14:val="tx1"/>
            </w14:solidFill>
          </w14:textFill>
        </w:rPr>
      </w:pP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leftChars="0" w:firstLine="628" w:firstLineChars="200"/>
        <w:jc w:val="both"/>
        <w:textAlignment w:val="auto"/>
        <w:rPr>
          <w:rFonts w:hint="eastAsia"/>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202</w:t>
      </w:r>
      <w:r>
        <w:rPr>
          <w:rFonts w:hint="eastAsia"/>
          <w:color w:val="000000" w:themeColor="text1"/>
          <w:szCs w:val="32"/>
          <w:lang w:val="en-US" w:eastAsia="zh-CN"/>
          <w14:textFill>
            <w14:solidFill>
              <w14:schemeClr w14:val="tx1"/>
            </w14:solidFill>
          </w14:textFill>
        </w:rPr>
        <w:t>3</w:t>
      </w:r>
      <w:r>
        <w:rPr>
          <w:rFonts w:hint="eastAsia"/>
          <w:color w:val="000000" w:themeColor="text1"/>
          <w:szCs w:val="32"/>
          <w14:textFill>
            <w14:solidFill>
              <w14:schemeClr w14:val="tx1"/>
            </w14:solidFill>
          </w14:textFill>
        </w:rPr>
        <w:t>年新区政府性基金全部纳入预算管理，并将收支预算全部细化到项级科目填报。具体安排如下：</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topLinePunct w:val="0"/>
        <w:autoSpaceDE/>
        <w:autoSpaceDN w:val="0"/>
        <w:bidi w:val="0"/>
        <w:adjustRightInd w:val="0"/>
        <w:snapToGrid w:val="0"/>
        <w:spacing w:line="560" w:lineRule="exact"/>
        <w:ind w:leftChars="0" w:firstLine="628" w:firstLineChars="200"/>
        <w:jc w:val="both"/>
        <w:textAlignment w:val="auto"/>
        <w:rPr>
          <w:rFonts w:hint="eastAsia" w:ascii="黑体" w:hAnsi="黑体" w:eastAsia="黑体"/>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一、202</w:t>
      </w:r>
      <w:r>
        <w:rPr>
          <w:rFonts w:hint="default" w:ascii="黑体" w:hAnsi="黑体" w:eastAsia="黑体"/>
          <w:color w:val="000000" w:themeColor="text1"/>
          <w:szCs w:val="32"/>
          <w:highlight w:val="none"/>
          <w14:textFill>
            <w14:solidFill>
              <w14:schemeClr w14:val="tx1"/>
            </w14:solidFill>
          </w14:textFill>
        </w:rPr>
        <w:t>3</w:t>
      </w:r>
      <w:r>
        <w:rPr>
          <w:rFonts w:hint="eastAsia" w:ascii="黑体" w:hAnsi="黑体" w:eastAsia="黑体"/>
          <w:color w:val="000000" w:themeColor="text1"/>
          <w:szCs w:val="32"/>
          <w:highlight w:val="none"/>
          <w14:textFill>
            <w14:solidFill>
              <w14:schemeClr w14:val="tx1"/>
            </w14:solidFill>
          </w14:textFill>
        </w:rPr>
        <w:t>年新区政府性基金收入预算</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hint="eastAsia"/>
          <w:color w:val="000000" w:themeColor="text1"/>
          <w:szCs w:val="22"/>
          <w:highlight w:val="none"/>
          <w14:textFill>
            <w14:solidFill>
              <w14:schemeClr w14:val="tx1"/>
            </w14:solidFill>
          </w14:textFill>
        </w:rPr>
      </w:pPr>
      <w:r>
        <w:rPr>
          <w:rFonts w:hint="eastAsia"/>
          <w:color w:val="000000" w:themeColor="text1"/>
          <w:szCs w:val="32"/>
          <w:highlight w:val="none"/>
          <w14:textFill>
            <w14:solidFill>
              <w14:schemeClr w14:val="tx1"/>
            </w14:solidFill>
          </w14:textFill>
        </w:rPr>
        <w:t>202</w:t>
      </w:r>
      <w:r>
        <w:rPr>
          <w:rFonts w:hint="eastAsia"/>
          <w:color w:val="000000" w:themeColor="text1"/>
          <w:szCs w:val="32"/>
          <w:highlight w:val="none"/>
          <w:lang w:val="en-US" w:eastAsia="zh-CN"/>
          <w14:textFill>
            <w14:solidFill>
              <w14:schemeClr w14:val="tx1"/>
            </w14:solidFill>
          </w14:textFill>
        </w:rPr>
        <w:t>3</w:t>
      </w:r>
      <w:r>
        <w:rPr>
          <w:rFonts w:hint="eastAsia"/>
          <w:color w:val="000000" w:themeColor="text1"/>
          <w:szCs w:val="32"/>
          <w:highlight w:val="none"/>
          <w14:textFill>
            <w14:solidFill>
              <w14:schemeClr w14:val="tx1"/>
            </w14:solidFill>
          </w14:textFill>
        </w:rPr>
        <w:t>年新区</w:t>
      </w:r>
      <w:r>
        <w:rPr>
          <w:rFonts w:hint="eastAsia" w:hAnsi="楷体"/>
          <w:color w:val="000000" w:themeColor="text1"/>
          <w:spacing w:val="-6"/>
          <w:szCs w:val="32"/>
          <w:highlight w:val="none"/>
          <w14:textFill>
            <w14:solidFill>
              <w14:schemeClr w14:val="tx1"/>
            </w14:solidFill>
          </w14:textFill>
        </w:rPr>
        <w:t>政府性基金预算总收入</w:t>
      </w:r>
      <w:r>
        <w:rPr>
          <w:rFonts w:hint="eastAsia" w:hAnsi="楷体"/>
          <w:color w:val="000000" w:themeColor="text1"/>
          <w:spacing w:val="-6"/>
          <w:szCs w:val="32"/>
          <w:highlight w:val="none"/>
          <w:lang w:val="en-US" w:eastAsia="zh-CN"/>
          <w14:textFill>
            <w14:solidFill>
              <w14:schemeClr w14:val="tx1"/>
            </w14:solidFill>
          </w14:textFill>
        </w:rPr>
        <w:t>35.6</w:t>
      </w:r>
      <w:r>
        <w:rPr>
          <w:rFonts w:hint="eastAsia" w:hAnsi="楷体"/>
          <w:color w:val="000000" w:themeColor="text1"/>
          <w:spacing w:val="-6"/>
          <w:szCs w:val="32"/>
          <w:highlight w:val="none"/>
          <w14:textFill>
            <w14:solidFill>
              <w14:schemeClr w14:val="tx1"/>
            </w14:solidFill>
          </w14:textFill>
        </w:rPr>
        <w:t>亿元，</w:t>
      </w:r>
      <w:r>
        <w:rPr>
          <w:rFonts w:hint="eastAsia" w:hAnsi="仿宋_GB2312" w:cs="仿宋_GB2312"/>
          <w:color w:val="000000" w:themeColor="text1"/>
          <w:kern w:val="0"/>
          <w:szCs w:val="32"/>
          <w:highlight w:val="none"/>
          <w14:textFill>
            <w14:solidFill>
              <w14:schemeClr w14:val="tx1"/>
            </w14:solidFill>
          </w14:textFill>
        </w:rPr>
        <w:t>比202</w:t>
      </w:r>
      <w:r>
        <w:rPr>
          <w:rFonts w:hint="eastAsia" w:hAnsi="仿宋_GB2312" w:cs="仿宋_GB2312"/>
          <w:color w:val="000000" w:themeColor="text1"/>
          <w:kern w:val="0"/>
          <w:szCs w:val="32"/>
          <w:highlight w:val="none"/>
          <w:lang w:val="en-US" w:eastAsia="zh-CN"/>
          <w14:textFill>
            <w14:solidFill>
              <w14:schemeClr w14:val="tx1"/>
            </w14:solidFill>
          </w14:textFill>
        </w:rPr>
        <w:t>2</w:t>
      </w:r>
      <w:r>
        <w:rPr>
          <w:rFonts w:hint="eastAsia" w:hAnsi="仿宋_GB2312" w:cs="仿宋_GB2312"/>
          <w:color w:val="000000" w:themeColor="text1"/>
          <w:kern w:val="0"/>
          <w:szCs w:val="32"/>
          <w:highlight w:val="none"/>
          <w14:textFill>
            <w14:solidFill>
              <w14:schemeClr w14:val="tx1"/>
            </w14:solidFill>
          </w14:textFill>
        </w:rPr>
        <w:t>年</w:t>
      </w:r>
      <w:r>
        <w:rPr>
          <w:rFonts w:hint="eastAsia" w:hAnsi="仿宋_GB2312" w:cs="仿宋_GB2312"/>
          <w:color w:val="000000" w:themeColor="text1"/>
          <w:kern w:val="0"/>
          <w:szCs w:val="32"/>
          <w:highlight w:val="none"/>
          <w:lang w:eastAsia="zh-CN"/>
          <w14:textFill>
            <w14:solidFill>
              <w14:schemeClr w14:val="tx1"/>
            </w14:solidFill>
          </w14:textFill>
        </w:rPr>
        <w:t>预计</w:t>
      </w:r>
      <w:r>
        <w:rPr>
          <w:rFonts w:hint="eastAsia" w:hAnsi="仿宋_GB2312" w:cs="仿宋_GB2312"/>
          <w:color w:val="000000" w:themeColor="text1"/>
          <w:kern w:val="0"/>
          <w:szCs w:val="32"/>
          <w:highlight w:val="none"/>
          <w14:textFill>
            <w14:solidFill>
              <w14:schemeClr w14:val="tx1"/>
            </w14:solidFill>
          </w14:textFill>
        </w:rPr>
        <w:t>完成数</w:t>
      </w:r>
      <w:r>
        <w:rPr>
          <w:rFonts w:hint="default" w:hAnsi="仿宋_GB2312" w:cs="仿宋_GB2312"/>
          <w:color w:val="000000" w:themeColor="text1"/>
          <w:kern w:val="0"/>
          <w:szCs w:val="32"/>
          <w:highlight w:val="none"/>
          <w14:textFill>
            <w14:solidFill>
              <w14:schemeClr w14:val="tx1"/>
            </w14:solidFill>
          </w14:textFill>
        </w:rPr>
        <w:t>减少1</w:t>
      </w:r>
      <w:r>
        <w:rPr>
          <w:rFonts w:hint="eastAsia" w:hAnsi="仿宋_GB2312" w:cs="仿宋_GB2312"/>
          <w:color w:val="000000" w:themeColor="text1"/>
          <w:kern w:val="0"/>
          <w:szCs w:val="32"/>
          <w:highlight w:val="none"/>
          <w:lang w:val="en-US" w:eastAsia="zh-CN"/>
          <w14:textFill>
            <w14:solidFill>
              <w14:schemeClr w14:val="tx1"/>
            </w14:solidFill>
          </w14:textFill>
        </w:rPr>
        <w:t>4</w:t>
      </w:r>
      <w:r>
        <w:rPr>
          <w:rFonts w:hint="eastAsia" w:hAnsi="仿宋_GB2312" w:cs="仿宋_GB2312"/>
          <w:color w:val="000000" w:themeColor="text1"/>
          <w:kern w:val="0"/>
          <w:szCs w:val="32"/>
          <w:highlight w:val="none"/>
          <w14:textFill>
            <w14:solidFill>
              <w14:schemeClr w14:val="tx1"/>
            </w14:solidFill>
          </w14:textFill>
        </w:rPr>
        <w:t>亿元。其中：本级收入</w:t>
      </w:r>
      <w:r>
        <w:rPr>
          <w:rFonts w:hint="default" w:hAnsi="仿宋_GB2312" w:cs="仿宋_GB2312"/>
          <w:color w:val="000000" w:themeColor="text1"/>
          <w:kern w:val="0"/>
          <w:szCs w:val="32"/>
          <w:highlight w:val="none"/>
          <w14:textFill>
            <w14:solidFill>
              <w14:schemeClr w14:val="tx1"/>
            </w14:solidFill>
          </w14:textFill>
        </w:rPr>
        <w:t>0.2亿</w:t>
      </w:r>
      <w:r>
        <w:rPr>
          <w:rFonts w:hint="eastAsia" w:hAnsi="仿宋_GB2312" w:cs="仿宋_GB2312"/>
          <w:color w:val="000000" w:themeColor="text1"/>
          <w:kern w:val="0"/>
          <w:szCs w:val="32"/>
          <w:highlight w:val="none"/>
          <w14:textFill>
            <w14:solidFill>
              <w14:schemeClr w14:val="tx1"/>
            </w14:solidFill>
          </w14:textFill>
        </w:rPr>
        <w:t>元，转移性收</w:t>
      </w:r>
      <w:r>
        <w:rPr>
          <w:rFonts w:hint="eastAsia"/>
          <w:color w:val="000000" w:themeColor="text1"/>
          <w:szCs w:val="22"/>
          <w:highlight w:val="none"/>
          <w14:textFill>
            <w14:solidFill>
              <w14:schemeClr w14:val="tx1"/>
            </w14:solidFill>
          </w14:textFill>
        </w:rPr>
        <w:t>入</w:t>
      </w:r>
      <w:r>
        <w:rPr>
          <w:rFonts w:hint="eastAsia"/>
          <w:color w:val="000000" w:themeColor="text1"/>
          <w:szCs w:val="22"/>
          <w:highlight w:val="none"/>
          <w:lang w:val="en-US" w:eastAsia="zh-CN"/>
          <w14:textFill>
            <w14:solidFill>
              <w14:schemeClr w14:val="tx1"/>
            </w14:solidFill>
          </w14:textFill>
        </w:rPr>
        <w:t>35.4</w:t>
      </w:r>
      <w:r>
        <w:rPr>
          <w:rFonts w:hint="eastAsia"/>
          <w:color w:val="000000" w:themeColor="text1"/>
          <w:szCs w:val="22"/>
          <w:highlight w:val="none"/>
          <w14:textFill>
            <w14:solidFill>
              <w14:schemeClr w14:val="tx1"/>
            </w14:solidFill>
          </w14:textFill>
        </w:rPr>
        <w:t>亿元。</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hint="eastAsia" w:hAnsi="楷体"/>
          <w:color w:val="000000" w:themeColor="text1"/>
          <w:spacing w:val="-6"/>
          <w:szCs w:val="32"/>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2</w:t>
      </w:r>
      <w:r>
        <w:rPr>
          <w:rFonts w:hint="eastAsia" w:hAnsi="楷体"/>
          <w:color w:val="000000" w:themeColor="text1"/>
          <w:spacing w:val="-6"/>
          <w:szCs w:val="32"/>
          <w:highlight w:val="none"/>
          <w14:textFill>
            <w14:solidFill>
              <w14:schemeClr w14:val="tx1"/>
            </w14:solidFill>
          </w14:textFill>
        </w:rPr>
        <w:t>0</w:t>
      </w:r>
      <w:r>
        <w:rPr>
          <w:rFonts w:hint="default" w:hAnsi="楷体"/>
          <w:color w:val="000000" w:themeColor="text1"/>
          <w:spacing w:val="-6"/>
          <w:szCs w:val="32"/>
          <w:highlight w:val="none"/>
          <w14:textFill>
            <w14:solidFill>
              <w14:schemeClr w14:val="tx1"/>
            </w14:solidFill>
          </w14:textFill>
        </w:rPr>
        <w:t>2</w:t>
      </w:r>
      <w:r>
        <w:rPr>
          <w:rFonts w:hint="eastAsia" w:hAnsi="楷体"/>
          <w:color w:val="000000" w:themeColor="text1"/>
          <w:spacing w:val="-6"/>
          <w:szCs w:val="32"/>
          <w:highlight w:val="none"/>
          <w:lang w:val="en-US" w:eastAsia="zh-CN"/>
          <w14:textFill>
            <w14:solidFill>
              <w14:schemeClr w14:val="tx1"/>
            </w14:solidFill>
          </w14:textFill>
        </w:rPr>
        <w:t>3</w:t>
      </w:r>
      <w:r>
        <w:rPr>
          <w:rFonts w:hint="eastAsia" w:hAnsi="楷体"/>
          <w:color w:val="000000" w:themeColor="text1"/>
          <w:spacing w:val="-6"/>
          <w:szCs w:val="32"/>
          <w:highlight w:val="none"/>
          <w14:textFill>
            <w14:solidFill>
              <w14:schemeClr w14:val="tx1"/>
            </w14:solidFill>
          </w14:textFill>
        </w:rPr>
        <w:t>年新区政府性基金预算收入主要包括：</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hint="eastAsia" w:hAnsi="楷体"/>
          <w:color w:val="000000" w:themeColor="text1"/>
          <w:spacing w:val="-6"/>
          <w:szCs w:val="32"/>
          <w:highlight w:val="none"/>
          <w14:textFill>
            <w14:solidFill>
              <w14:schemeClr w14:val="tx1"/>
            </w14:solidFill>
          </w14:textFill>
        </w:rPr>
      </w:pPr>
      <w:r>
        <w:rPr>
          <w:rFonts w:hint="eastAsia" w:hAnsi="楷体"/>
          <w:color w:val="000000" w:themeColor="text1"/>
          <w:spacing w:val="-6"/>
          <w:szCs w:val="32"/>
          <w:highlight w:val="none"/>
          <w14:textFill>
            <w14:solidFill>
              <w14:schemeClr w14:val="tx1"/>
            </w14:solidFill>
          </w14:textFill>
        </w:rPr>
        <w:t>1.体育彩票公益金收入</w:t>
      </w:r>
      <w:r>
        <w:rPr>
          <w:rFonts w:hint="eastAsia" w:hAnsi="楷体"/>
          <w:color w:val="000000" w:themeColor="text1"/>
          <w:spacing w:val="-6"/>
          <w:szCs w:val="32"/>
          <w:highlight w:val="none"/>
          <w:lang w:val="en-US" w:eastAsia="zh-CN"/>
          <w14:textFill>
            <w14:solidFill>
              <w14:schemeClr w14:val="tx1"/>
            </w14:solidFill>
          </w14:textFill>
        </w:rPr>
        <w:t>60</w:t>
      </w:r>
      <w:r>
        <w:rPr>
          <w:rFonts w:hint="eastAsia" w:hAnsi="楷体"/>
          <w:color w:val="000000" w:themeColor="text1"/>
          <w:spacing w:val="-6"/>
          <w:szCs w:val="32"/>
          <w:highlight w:val="none"/>
          <w14:textFill>
            <w14:solidFill>
              <w14:schemeClr w14:val="tx1"/>
            </w14:solidFill>
          </w14:textFill>
        </w:rPr>
        <w:t>万元。</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hint="eastAsia" w:hAnsi="楷体"/>
          <w:color w:val="000000" w:themeColor="text1"/>
          <w:spacing w:val="-6"/>
          <w:szCs w:val="32"/>
          <w:highlight w:val="none"/>
          <w14:textFill>
            <w14:solidFill>
              <w14:schemeClr w14:val="tx1"/>
            </w14:solidFill>
          </w14:textFill>
        </w:rPr>
      </w:pPr>
      <w:r>
        <w:rPr>
          <w:rFonts w:hint="eastAsia" w:hAnsi="楷体"/>
          <w:color w:val="000000" w:themeColor="text1"/>
          <w:spacing w:val="-6"/>
          <w:szCs w:val="32"/>
          <w:highlight w:val="none"/>
          <w14:textFill>
            <w14:solidFill>
              <w14:schemeClr w14:val="tx1"/>
            </w14:solidFill>
          </w14:textFill>
        </w:rPr>
        <w:t>2.专项债券对应项目专项收入</w:t>
      </w:r>
      <w:r>
        <w:rPr>
          <w:rFonts w:hint="default" w:hAnsi="楷体"/>
          <w:color w:val="000000" w:themeColor="text1"/>
          <w:spacing w:val="-6"/>
          <w:szCs w:val="32"/>
          <w:highlight w:val="none"/>
          <w14:textFill>
            <w14:solidFill>
              <w14:schemeClr w14:val="tx1"/>
            </w14:solidFill>
          </w14:textFill>
        </w:rPr>
        <w:t>0.2亿</w:t>
      </w:r>
      <w:r>
        <w:rPr>
          <w:rFonts w:hint="eastAsia" w:hAnsi="楷体"/>
          <w:color w:val="000000" w:themeColor="text1"/>
          <w:spacing w:val="-6"/>
          <w:szCs w:val="32"/>
          <w:highlight w:val="none"/>
          <w14:textFill>
            <w14:solidFill>
              <w14:schemeClr w14:val="tx1"/>
            </w14:solidFill>
          </w14:textFill>
        </w:rPr>
        <w:t>元。</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hint="default" w:hAnsi="楷体"/>
          <w:color w:val="000000" w:themeColor="text1"/>
          <w:spacing w:val="-6"/>
          <w:szCs w:val="32"/>
          <w:highlight w:val="none"/>
          <w14:textFill>
            <w14:solidFill>
              <w14:schemeClr w14:val="tx1"/>
            </w14:solidFill>
          </w14:textFill>
        </w:rPr>
      </w:pPr>
      <w:r>
        <w:rPr>
          <w:rFonts w:hint="default" w:hAnsi="楷体"/>
          <w:color w:val="000000" w:themeColor="text1"/>
          <w:spacing w:val="-6"/>
          <w:szCs w:val="32"/>
          <w:highlight w:val="none"/>
          <w14:textFill>
            <w14:solidFill>
              <w14:schemeClr w14:val="tx1"/>
            </w14:solidFill>
          </w14:textFill>
        </w:rPr>
        <w:t>3</w:t>
      </w:r>
      <w:r>
        <w:rPr>
          <w:rFonts w:hint="eastAsia" w:hAnsi="楷体"/>
          <w:color w:val="000000" w:themeColor="text1"/>
          <w:spacing w:val="-6"/>
          <w:szCs w:val="32"/>
          <w:highlight w:val="none"/>
          <w14:textFill>
            <w14:solidFill>
              <w14:schemeClr w14:val="tx1"/>
            </w14:solidFill>
          </w14:textFill>
        </w:rPr>
        <w:t>.转移性收入</w:t>
      </w:r>
      <w:r>
        <w:rPr>
          <w:rFonts w:hint="eastAsia" w:hAnsi="楷体"/>
          <w:color w:val="000000" w:themeColor="text1"/>
          <w:spacing w:val="-6"/>
          <w:szCs w:val="32"/>
          <w:highlight w:val="none"/>
          <w:lang w:val="en-US" w:eastAsia="zh-CN"/>
          <w14:textFill>
            <w14:solidFill>
              <w14:schemeClr w14:val="tx1"/>
            </w14:solidFill>
          </w14:textFill>
        </w:rPr>
        <w:t>35.4</w:t>
      </w:r>
      <w:r>
        <w:rPr>
          <w:rFonts w:hint="eastAsia" w:hAnsi="楷体"/>
          <w:color w:val="000000" w:themeColor="text1"/>
          <w:spacing w:val="-6"/>
          <w:szCs w:val="32"/>
          <w:highlight w:val="none"/>
          <w14:textFill>
            <w14:solidFill>
              <w14:schemeClr w14:val="tx1"/>
            </w14:solidFill>
          </w14:textFill>
        </w:rPr>
        <w:t>亿元。其中</w:t>
      </w:r>
      <w:r>
        <w:rPr>
          <w:rFonts w:hint="default" w:hAnsi="楷体"/>
          <w:color w:val="000000" w:themeColor="text1"/>
          <w:spacing w:val="-6"/>
          <w:szCs w:val="32"/>
          <w:highlight w:val="none"/>
          <w14:textFill>
            <w14:solidFill>
              <w14:schemeClr w14:val="tx1"/>
            </w14:solidFill>
          </w14:textFill>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hint="eastAsia" w:hAnsi="楷体"/>
          <w:color w:val="000000" w:themeColor="text1"/>
          <w:spacing w:val="-6"/>
          <w:szCs w:val="32"/>
          <w:highlight w:val="none"/>
          <w14:textFill>
            <w14:solidFill>
              <w14:schemeClr w14:val="tx1"/>
            </w14:solidFill>
          </w14:textFill>
        </w:rPr>
      </w:pPr>
      <w:r>
        <w:rPr>
          <w:rFonts w:hint="eastAsia" w:hAnsi="楷体"/>
          <w:color w:val="000000" w:themeColor="text1"/>
          <w:spacing w:val="-6"/>
          <w:szCs w:val="32"/>
          <w:highlight w:val="none"/>
          <w14:textFill>
            <w14:solidFill>
              <w14:schemeClr w14:val="tx1"/>
            </w14:solidFill>
          </w14:textFill>
        </w:rPr>
        <w:t>（1）政府性基金补助收入</w:t>
      </w:r>
      <w:r>
        <w:rPr>
          <w:rFonts w:hint="eastAsia" w:hAnsi="楷体"/>
          <w:color w:val="000000" w:themeColor="text1"/>
          <w:spacing w:val="-6"/>
          <w:szCs w:val="32"/>
          <w:highlight w:val="none"/>
          <w:lang w:val="en-US" w:eastAsia="zh-CN"/>
          <w14:textFill>
            <w14:solidFill>
              <w14:schemeClr w14:val="tx1"/>
            </w14:solidFill>
          </w14:textFill>
        </w:rPr>
        <w:t>23.7</w:t>
      </w:r>
      <w:r>
        <w:rPr>
          <w:rFonts w:hint="eastAsia" w:hAnsi="楷体"/>
          <w:color w:val="000000" w:themeColor="text1"/>
          <w:spacing w:val="-6"/>
          <w:szCs w:val="32"/>
          <w:highlight w:val="none"/>
          <w14:textFill>
            <w14:solidFill>
              <w14:schemeClr w14:val="tx1"/>
            </w14:solidFill>
          </w14:textFill>
        </w:rPr>
        <w:t>亿元，</w:t>
      </w:r>
      <w:r>
        <w:rPr>
          <w:rFonts w:hint="default" w:hAnsi="楷体"/>
          <w:color w:val="000000" w:themeColor="text1"/>
          <w:spacing w:val="-6"/>
          <w:szCs w:val="32"/>
          <w:highlight w:val="none"/>
          <w14:textFill>
            <w14:solidFill>
              <w14:schemeClr w14:val="tx1"/>
            </w14:solidFill>
          </w14:textFill>
        </w:rPr>
        <w:t>增加</w:t>
      </w:r>
      <w:r>
        <w:rPr>
          <w:rFonts w:hint="eastAsia" w:hAnsi="楷体"/>
          <w:color w:val="000000" w:themeColor="text1"/>
          <w:spacing w:val="-6"/>
          <w:szCs w:val="32"/>
          <w:highlight w:val="none"/>
          <w:lang w:val="en-US" w:eastAsia="zh-CN"/>
          <w14:textFill>
            <w14:solidFill>
              <w14:schemeClr w14:val="tx1"/>
            </w14:solidFill>
          </w14:textFill>
        </w:rPr>
        <w:t>19.4</w:t>
      </w:r>
      <w:r>
        <w:rPr>
          <w:rFonts w:hint="eastAsia" w:hAnsi="楷体"/>
          <w:color w:val="000000" w:themeColor="text1"/>
          <w:spacing w:val="-6"/>
          <w:szCs w:val="32"/>
          <w:highlight w:val="none"/>
          <w14:textFill>
            <w14:solidFill>
              <w14:schemeClr w14:val="tx1"/>
            </w14:solidFill>
          </w14:textFill>
        </w:rPr>
        <w:t>亿元，主要是预计国有土地使用权出让分成收入</w:t>
      </w:r>
      <w:r>
        <w:rPr>
          <w:rFonts w:hint="default" w:hAnsi="楷体"/>
          <w:color w:val="000000" w:themeColor="text1"/>
          <w:spacing w:val="-6"/>
          <w:szCs w:val="32"/>
          <w:highlight w:val="none"/>
          <w14:textFill>
            <w14:solidFill>
              <w14:schemeClr w14:val="tx1"/>
            </w14:solidFill>
          </w14:textFill>
        </w:rPr>
        <w:t>增加</w:t>
      </w:r>
      <w:r>
        <w:rPr>
          <w:rFonts w:hint="eastAsia" w:hAnsi="楷体"/>
          <w:color w:val="000000" w:themeColor="text1"/>
          <w:spacing w:val="-6"/>
          <w:szCs w:val="32"/>
          <w:highlight w:val="none"/>
          <w14:textFill>
            <w14:solidFill>
              <w14:schemeClr w14:val="tx1"/>
            </w14:solidFill>
          </w14:textFill>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hint="eastAsia" w:hAnsi="楷体" w:eastAsia="仿宋_GB2312"/>
          <w:color w:val="000000" w:themeColor="text1"/>
          <w:spacing w:val="-6"/>
          <w:szCs w:val="32"/>
          <w:highlight w:val="none"/>
          <w:lang w:eastAsia="zh-CN"/>
          <w14:textFill>
            <w14:solidFill>
              <w14:schemeClr w14:val="tx1"/>
            </w14:solidFill>
          </w14:textFill>
        </w:rPr>
      </w:pPr>
      <w:r>
        <w:rPr>
          <w:rFonts w:hint="eastAsia" w:hAnsi="楷体"/>
          <w:color w:val="000000" w:themeColor="text1"/>
          <w:spacing w:val="-6"/>
          <w:szCs w:val="32"/>
          <w:highlight w:val="none"/>
          <w14:textFill>
            <w14:solidFill>
              <w14:schemeClr w14:val="tx1"/>
            </w14:solidFill>
          </w14:textFill>
        </w:rPr>
        <w:t>（2）上年结余收入</w:t>
      </w:r>
      <w:r>
        <w:rPr>
          <w:rFonts w:hint="eastAsia" w:hAnsi="楷体"/>
          <w:color w:val="000000" w:themeColor="text1"/>
          <w:spacing w:val="-6"/>
          <w:szCs w:val="32"/>
          <w:highlight w:val="none"/>
          <w:lang w:val="en-US" w:eastAsia="zh-CN"/>
          <w14:textFill>
            <w14:solidFill>
              <w14:schemeClr w14:val="tx1"/>
            </w14:solidFill>
          </w14:textFill>
        </w:rPr>
        <w:t>6.8</w:t>
      </w:r>
      <w:r>
        <w:rPr>
          <w:rFonts w:hint="eastAsia" w:hAnsi="楷体"/>
          <w:color w:val="000000" w:themeColor="text1"/>
          <w:spacing w:val="-6"/>
          <w:szCs w:val="32"/>
          <w:highlight w:val="none"/>
          <w14:textFill>
            <w14:solidFill>
              <w14:schemeClr w14:val="tx1"/>
            </w14:solidFill>
          </w14:textFill>
        </w:rPr>
        <w:t>亿元，</w:t>
      </w:r>
      <w:r>
        <w:rPr>
          <w:rFonts w:hint="eastAsia" w:hAnsi="楷体"/>
          <w:color w:val="000000" w:themeColor="text1"/>
          <w:spacing w:val="-6"/>
          <w:szCs w:val="32"/>
          <w:highlight w:val="none"/>
          <w:lang w:eastAsia="zh-CN"/>
          <w14:textFill>
            <w14:solidFill>
              <w14:schemeClr w14:val="tx1"/>
            </w14:solidFill>
          </w14:textFill>
        </w:rPr>
        <w:t>增加</w:t>
      </w:r>
      <w:r>
        <w:rPr>
          <w:rFonts w:hint="eastAsia" w:hAnsi="楷体"/>
          <w:color w:val="000000" w:themeColor="text1"/>
          <w:spacing w:val="-6"/>
          <w:szCs w:val="32"/>
          <w:highlight w:val="none"/>
          <w:lang w:val="en-US" w:eastAsia="zh-CN"/>
          <w14:textFill>
            <w14:solidFill>
              <w14:schemeClr w14:val="tx1"/>
            </w14:solidFill>
          </w14:textFill>
        </w:rPr>
        <w:t>3.3</w:t>
      </w:r>
      <w:r>
        <w:rPr>
          <w:rFonts w:hint="eastAsia" w:hAnsi="楷体"/>
          <w:color w:val="000000" w:themeColor="text1"/>
          <w:spacing w:val="-6"/>
          <w:szCs w:val="32"/>
          <w:highlight w:val="none"/>
          <w14:textFill>
            <w14:solidFill>
              <w14:schemeClr w14:val="tx1"/>
            </w14:solidFill>
          </w14:textFill>
        </w:rPr>
        <w:t>亿元</w:t>
      </w:r>
      <w:r>
        <w:rPr>
          <w:rFonts w:hint="eastAsia" w:hAnsi="楷体"/>
          <w:color w:val="000000" w:themeColor="text1"/>
          <w:spacing w:val="-6"/>
          <w:szCs w:val="32"/>
          <w:highlight w:val="none"/>
          <w:lang w:eastAsia="zh-CN"/>
          <w14:textFill>
            <w14:solidFill>
              <w14:schemeClr w14:val="tx1"/>
            </w14:solidFill>
          </w14:textFill>
        </w:rPr>
        <w:t>，主要是专项债券资金结转使用。</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hint="default" w:hAnsi="楷体"/>
          <w:color w:val="000000" w:themeColor="text1"/>
          <w:spacing w:val="-6"/>
          <w:szCs w:val="32"/>
          <w:highlight w:val="none"/>
          <w:lang w:val="en-US" w:eastAsia="zh-CN"/>
          <w14:textFill>
            <w14:solidFill>
              <w14:schemeClr w14:val="tx1"/>
            </w14:solidFill>
          </w14:textFill>
        </w:rPr>
      </w:pPr>
      <w:r>
        <w:rPr>
          <w:rFonts w:hint="eastAsia" w:hAnsi="楷体"/>
          <w:color w:val="000000" w:themeColor="text1"/>
          <w:spacing w:val="-6"/>
          <w:szCs w:val="32"/>
          <w:highlight w:val="none"/>
          <w:lang w:eastAsia="zh-CN"/>
          <w14:textFill>
            <w14:solidFill>
              <w14:schemeClr w14:val="tx1"/>
            </w14:solidFill>
          </w14:textFill>
        </w:rPr>
        <w:t>（</w:t>
      </w:r>
      <w:r>
        <w:rPr>
          <w:rFonts w:hint="eastAsia" w:hAnsi="楷体"/>
          <w:color w:val="000000" w:themeColor="text1"/>
          <w:spacing w:val="-6"/>
          <w:szCs w:val="32"/>
          <w:highlight w:val="none"/>
          <w:lang w:val="en-US" w:eastAsia="zh-CN"/>
          <w14:textFill>
            <w14:solidFill>
              <w14:schemeClr w14:val="tx1"/>
            </w14:solidFill>
          </w14:textFill>
        </w:rPr>
        <w:t>3</w:t>
      </w:r>
      <w:r>
        <w:rPr>
          <w:rFonts w:hint="eastAsia" w:hAnsi="楷体"/>
          <w:color w:val="000000" w:themeColor="text1"/>
          <w:spacing w:val="-6"/>
          <w:szCs w:val="32"/>
          <w:highlight w:val="none"/>
          <w:lang w:eastAsia="zh-CN"/>
          <w14:textFill>
            <w14:solidFill>
              <w14:schemeClr w14:val="tx1"/>
            </w14:solidFill>
          </w14:textFill>
        </w:rPr>
        <w:t>）债务转贷收入</w:t>
      </w:r>
      <w:r>
        <w:rPr>
          <w:rFonts w:hint="eastAsia" w:hAnsi="楷体"/>
          <w:color w:val="000000" w:themeColor="text1"/>
          <w:spacing w:val="-6"/>
          <w:szCs w:val="32"/>
          <w:highlight w:val="none"/>
          <w:lang w:val="en-US" w:eastAsia="zh-CN"/>
          <w14:textFill>
            <w14:solidFill>
              <w14:schemeClr w14:val="tx1"/>
            </w14:solidFill>
          </w14:textFill>
        </w:rPr>
        <w:t>4.9亿元，减少8.6亿元，主要是根据市财政提前告知额度据实编列。</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kinsoku/>
        <w:wordWrap/>
        <w:overflowPunct/>
        <w:topLinePunct w:val="0"/>
        <w:autoSpaceDE/>
        <w:autoSpaceDN w:val="0"/>
        <w:bidi w:val="0"/>
        <w:adjustRightInd w:val="0"/>
        <w:snapToGrid w:val="0"/>
        <w:spacing w:line="560" w:lineRule="exact"/>
        <w:ind w:leftChars="0" w:firstLine="628" w:firstLineChars="200"/>
        <w:jc w:val="both"/>
        <w:textAlignment w:val="auto"/>
        <w:rPr>
          <w:rFonts w:hint="eastAsia" w:ascii="黑体" w:hAnsi="黑体" w:eastAsia="黑体"/>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二、202</w:t>
      </w:r>
      <w:r>
        <w:rPr>
          <w:rFonts w:hint="eastAsia" w:ascii="黑体" w:hAnsi="黑体" w:eastAsia="黑体"/>
          <w:color w:val="000000" w:themeColor="text1"/>
          <w:szCs w:val="32"/>
          <w:highlight w:val="none"/>
          <w:lang w:val="en-US" w:eastAsia="zh-CN"/>
          <w14:textFill>
            <w14:solidFill>
              <w14:schemeClr w14:val="tx1"/>
            </w14:solidFill>
          </w14:textFill>
        </w:rPr>
        <w:t>3</w:t>
      </w:r>
      <w:r>
        <w:rPr>
          <w:rFonts w:hint="eastAsia" w:ascii="黑体" w:hAnsi="黑体" w:eastAsia="黑体"/>
          <w:color w:val="000000" w:themeColor="text1"/>
          <w:szCs w:val="32"/>
          <w:highlight w:val="none"/>
          <w14:textFill>
            <w14:solidFill>
              <w14:schemeClr w14:val="tx1"/>
            </w14:solidFill>
          </w14:textFill>
        </w:rPr>
        <w:t>年新区政府性基金支出预算</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hint="eastAsia" w:hAnsi="楷体"/>
          <w:color w:val="000000" w:themeColor="text1"/>
          <w:spacing w:val="-6"/>
          <w:szCs w:val="32"/>
          <w:highlight w:val="none"/>
          <w14:textFill>
            <w14:solidFill>
              <w14:schemeClr w14:val="tx1"/>
            </w14:solidFill>
          </w14:textFill>
        </w:rPr>
      </w:pPr>
      <w:r>
        <w:rPr>
          <w:rFonts w:hint="eastAsia" w:hAnsi="楷体"/>
          <w:color w:val="000000" w:themeColor="text1"/>
          <w:spacing w:val="-6"/>
          <w:szCs w:val="32"/>
          <w:highlight w:val="none"/>
          <w14:textFill>
            <w14:solidFill>
              <w14:schemeClr w14:val="tx1"/>
            </w14:solidFill>
          </w14:textFill>
        </w:rPr>
        <w:t>按照以收定支的原则，相应安排202</w:t>
      </w:r>
      <w:r>
        <w:rPr>
          <w:rFonts w:hint="eastAsia" w:hAnsi="楷体"/>
          <w:color w:val="000000" w:themeColor="text1"/>
          <w:spacing w:val="-6"/>
          <w:szCs w:val="32"/>
          <w:highlight w:val="none"/>
          <w:lang w:val="en-US" w:eastAsia="zh-CN"/>
          <w14:textFill>
            <w14:solidFill>
              <w14:schemeClr w14:val="tx1"/>
            </w14:solidFill>
          </w14:textFill>
        </w:rPr>
        <w:t>3</w:t>
      </w:r>
      <w:r>
        <w:rPr>
          <w:rFonts w:hint="eastAsia" w:hAnsi="楷体"/>
          <w:color w:val="000000" w:themeColor="text1"/>
          <w:spacing w:val="-6"/>
          <w:szCs w:val="32"/>
          <w:highlight w:val="none"/>
          <w14:textFill>
            <w14:solidFill>
              <w14:schemeClr w14:val="tx1"/>
            </w14:solidFill>
          </w14:textFill>
        </w:rPr>
        <w:t>年新区政府性基金预算总支出计划</w:t>
      </w:r>
      <w:r>
        <w:rPr>
          <w:rFonts w:hint="eastAsia" w:hAnsi="楷体"/>
          <w:color w:val="000000" w:themeColor="text1"/>
          <w:spacing w:val="-6"/>
          <w:szCs w:val="32"/>
          <w:highlight w:val="none"/>
          <w:lang w:val="en-US" w:eastAsia="zh-CN"/>
          <w14:textFill>
            <w14:solidFill>
              <w14:schemeClr w14:val="tx1"/>
            </w14:solidFill>
          </w14:textFill>
        </w:rPr>
        <w:t>35.6</w:t>
      </w:r>
      <w:r>
        <w:rPr>
          <w:rFonts w:hint="eastAsia" w:hAnsi="楷体"/>
          <w:color w:val="000000" w:themeColor="text1"/>
          <w:spacing w:val="-6"/>
          <w:szCs w:val="32"/>
          <w:highlight w:val="none"/>
          <w14:textFill>
            <w14:solidFill>
              <w14:schemeClr w14:val="tx1"/>
            </w14:solidFill>
          </w14:textFill>
        </w:rPr>
        <w:t>亿元。主要包括：</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hint="eastAsia" w:hAnsi="楷体"/>
          <w:color w:val="000000" w:themeColor="text1"/>
          <w:spacing w:val="-6"/>
          <w:szCs w:val="32"/>
          <w:highlight w:val="none"/>
          <w14:textFill>
            <w14:solidFill>
              <w14:schemeClr w14:val="tx1"/>
            </w14:solidFill>
          </w14:textFill>
        </w:rPr>
      </w:pPr>
      <w:r>
        <w:rPr>
          <w:rFonts w:hint="eastAsia" w:hAnsi="楷体"/>
          <w:color w:val="000000" w:themeColor="text1"/>
          <w:spacing w:val="-6"/>
          <w:szCs w:val="32"/>
          <w:highlight w:val="none"/>
          <w14:textFill>
            <w14:solidFill>
              <w14:schemeClr w14:val="tx1"/>
            </w14:solidFill>
          </w14:textFill>
        </w:rPr>
        <w:t>1.城乡社区支出</w:t>
      </w:r>
      <w:r>
        <w:rPr>
          <w:rFonts w:hint="eastAsia" w:hAnsi="楷体"/>
          <w:color w:val="000000" w:themeColor="text1"/>
          <w:spacing w:val="-6"/>
          <w:szCs w:val="32"/>
          <w:highlight w:val="none"/>
          <w:lang w:val="en-US" w:eastAsia="zh-CN"/>
          <w14:textFill>
            <w14:solidFill>
              <w14:schemeClr w14:val="tx1"/>
            </w14:solidFill>
          </w14:textFill>
        </w:rPr>
        <w:t>3.3</w:t>
      </w:r>
      <w:r>
        <w:rPr>
          <w:rFonts w:hint="eastAsia" w:hAnsi="楷体"/>
          <w:color w:val="000000" w:themeColor="text1"/>
          <w:spacing w:val="-6"/>
          <w:szCs w:val="32"/>
          <w:highlight w:val="none"/>
          <w14:textFill>
            <w14:solidFill>
              <w14:schemeClr w14:val="tx1"/>
            </w14:solidFill>
          </w14:textFill>
        </w:rPr>
        <w:t>亿元，主要是征地拆迁支出</w:t>
      </w:r>
      <w:r>
        <w:rPr>
          <w:rFonts w:hint="eastAsia" w:hAnsi="楷体"/>
          <w:color w:val="000000" w:themeColor="text1"/>
          <w:spacing w:val="-6"/>
          <w:szCs w:val="32"/>
          <w:highlight w:val="none"/>
          <w:lang w:val="en-US" w:eastAsia="zh-CN"/>
          <w14:textFill>
            <w14:solidFill>
              <w14:schemeClr w14:val="tx1"/>
            </w14:solidFill>
          </w14:textFill>
        </w:rPr>
        <w:t>1</w:t>
      </w:r>
      <w:r>
        <w:rPr>
          <w:rFonts w:hint="eastAsia" w:hAnsi="楷体"/>
          <w:color w:val="000000" w:themeColor="text1"/>
          <w:spacing w:val="-6"/>
          <w:szCs w:val="32"/>
          <w:highlight w:val="none"/>
          <w14:textFill>
            <w14:solidFill>
              <w14:schemeClr w14:val="tx1"/>
            </w14:solidFill>
          </w14:textFill>
        </w:rPr>
        <w:t>.</w:t>
      </w:r>
      <w:r>
        <w:rPr>
          <w:rFonts w:hint="default" w:hAnsi="楷体"/>
          <w:color w:val="000000" w:themeColor="text1"/>
          <w:spacing w:val="-6"/>
          <w:szCs w:val="32"/>
          <w:highlight w:val="none"/>
          <w14:textFill>
            <w14:solidFill>
              <w14:schemeClr w14:val="tx1"/>
            </w14:solidFill>
          </w14:textFill>
        </w:rPr>
        <w:t>3</w:t>
      </w:r>
      <w:r>
        <w:rPr>
          <w:rFonts w:hint="eastAsia" w:hAnsi="楷体"/>
          <w:color w:val="000000" w:themeColor="text1"/>
          <w:spacing w:val="-6"/>
          <w:szCs w:val="32"/>
          <w:highlight w:val="none"/>
          <w14:textFill>
            <w14:solidFill>
              <w14:schemeClr w14:val="tx1"/>
            </w14:solidFill>
          </w14:textFill>
        </w:rPr>
        <w:t>亿元，</w:t>
      </w:r>
      <w:r>
        <w:rPr>
          <w:rFonts w:hint="eastAsia" w:hAnsi="楷体"/>
          <w:color w:val="000000" w:themeColor="text1"/>
          <w:spacing w:val="-6"/>
          <w:szCs w:val="32"/>
          <w:highlight w:val="none"/>
          <w:lang w:eastAsia="zh-CN"/>
          <w14:textFill>
            <w14:solidFill>
              <w14:schemeClr w14:val="tx1"/>
            </w14:solidFill>
          </w14:textFill>
        </w:rPr>
        <w:t>农村基础设施</w:t>
      </w:r>
      <w:r>
        <w:rPr>
          <w:rFonts w:hint="eastAsia" w:hAnsi="楷体"/>
          <w:color w:val="000000" w:themeColor="text1"/>
          <w:spacing w:val="-6"/>
          <w:szCs w:val="32"/>
          <w:highlight w:val="none"/>
          <w14:textFill>
            <w14:solidFill>
              <w14:schemeClr w14:val="tx1"/>
            </w14:solidFill>
          </w14:textFill>
        </w:rPr>
        <w:t>建设支出0</w:t>
      </w:r>
      <w:r>
        <w:rPr>
          <w:rFonts w:hint="default" w:hAnsi="楷体"/>
          <w:color w:val="000000" w:themeColor="text1"/>
          <w:spacing w:val="-6"/>
          <w:szCs w:val="32"/>
          <w:highlight w:val="none"/>
          <w14:textFill>
            <w14:solidFill>
              <w14:schemeClr w14:val="tx1"/>
            </w14:solidFill>
          </w14:textFill>
        </w:rPr>
        <w:t>.</w:t>
      </w:r>
      <w:r>
        <w:rPr>
          <w:rFonts w:hint="eastAsia" w:hAnsi="楷体"/>
          <w:color w:val="000000" w:themeColor="text1"/>
          <w:spacing w:val="-6"/>
          <w:szCs w:val="32"/>
          <w:highlight w:val="none"/>
          <w:lang w:val="en-US" w:eastAsia="zh-CN"/>
          <w14:textFill>
            <w14:solidFill>
              <w14:schemeClr w14:val="tx1"/>
            </w14:solidFill>
          </w14:textFill>
        </w:rPr>
        <w:t>8</w:t>
      </w:r>
      <w:r>
        <w:rPr>
          <w:rFonts w:hint="eastAsia" w:hAnsi="楷体"/>
          <w:color w:val="000000" w:themeColor="text1"/>
          <w:spacing w:val="-6"/>
          <w:szCs w:val="32"/>
          <w:highlight w:val="none"/>
          <w14:textFill>
            <w14:solidFill>
              <w14:schemeClr w14:val="tx1"/>
            </w14:solidFill>
          </w14:textFill>
        </w:rPr>
        <w:t>亿元，公共租赁住房支出0.</w:t>
      </w:r>
      <w:r>
        <w:rPr>
          <w:rFonts w:hint="eastAsia" w:hAnsi="楷体"/>
          <w:color w:val="000000" w:themeColor="text1"/>
          <w:spacing w:val="-6"/>
          <w:szCs w:val="32"/>
          <w:highlight w:val="none"/>
          <w:lang w:val="en-US" w:eastAsia="zh-CN"/>
          <w14:textFill>
            <w14:solidFill>
              <w14:schemeClr w14:val="tx1"/>
            </w14:solidFill>
          </w14:textFill>
        </w:rPr>
        <w:t>6</w:t>
      </w:r>
      <w:r>
        <w:rPr>
          <w:rFonts w:hint="eastAsia" w:hAnsi="楷体"/>
          <w:color w:val="000000" w:themeColor="text1"/>
          <w:spacing w:val="-6"/>
          <w:szCs w:val="32"/>
          <w:highlight w:val="none"/>
          <w14:textFill>
            <w14:solidFill>
              <w14:schemeClr w14:val="tx1"/>
            </w14:solidFill>
          </w14:textFill>
        </w:rPr>
        <w:t>亿元，</w:t>
      </w:r>
      <w:r>
        <w:rPr>
          <w:rFonts w:hint="default" w:hAnsi="楷体"/>
          <w:color w:val="000000" w:themeColor="text1"/>
          <w:spacing w:val="-6"/>
          <w:szCs w:val="32"/>
          <w:highlight w:val="none"/>
          <w14:textFill>
            <w14:solidFill>
              <w14:schemeClr w14:val="tx1"/>
            </w14:solidFill>
          </w14:textFill>
        </w:rPr>
        <w:t>农业生产发展支出0.</w:t>
      </w:r>
      <w:r>
        <w:rPr>
          <w:rFonts w:hint="eastAsia" w:hAnsi="楷体"/>
          <w:color w:val="000000" w:themeColor="text1"/>
          <w:spacing w:val="-6"/>
          <w:szCs w:val="32"/>
          <w:highlight w:val="none"/>
          <w:lang w:val="en-US" w:eastAsia="zh-CN"/>
          <w14:textFill>
            <w14:solidFill>
              <w14:schemeClr w14:val="tx1"/>
            </w14:solidFill>
          </w14:textFill>
        </w:rPr>
        <w:t>2</w:t>
      </w:r>
      <w:r>
        <w:rPr>
          <w:rFonts w:hint="default" w:hAnsi="楷体"/>
          <w:color w:val="000000" w:themeColor="text1"/>
          <w:spacing w:val="-6"/>
          <w:szCs w:val="32"/>
          <w:highlight w:val="none"/>
          <w14:textFill>
            <w14:solidFill>
              <w14:schemeClr w14:val="tx1"/>
            </w14:solidFill>
          </w14:textFill>
        </w:rPr>
        <w:t>亿元，</w:t>
      </w:r>
      <w:r>
        <w:rPr>
          <w:rFonts w:hint="eastAsia" w:hAnsi="楷体"/>
          <w:color w:val="000000" w:themeColor="text1"/>
          <w:spacing w:val="-6"/>
          <w:szCs w:val="32"/>
          <w:highlight w:val="none"/>
          <w14:textFill>
            <w14:solidFill>
              <w14:schemeClr w14:val="tx1"/>
            </w14:solidFill>
          </w14:textFill>
        </w:rPr>
        <w:t>其他国土基金支出0.</w:t>
      </w:r>
      <w:r>
        <w:rPr>
          <w:rFonts w:hint="eastAsia" w:hAnsi="楷体"/>
          <w:color w:val="000000" w:themeColor="text1"/>
          <w:spacing w:val="-6"/>
          <w:szCs w:val="32"/>
          <w:highlight w:val="none"/>
          <w:lang w:val="en-US" w:eastAsia="zh-CN"/>
          <w14:textFill>
            <w14:solidFill>
              <w14:schemeClr w14:val="tx1"/>
            </w14:solidFill>
          </w14:textFill>
        </w:rPr>
        <w:t>4</w:t>
      </w:r>
      <w:r>
        <w:rPr>
          <w:rFonts w:hint="eastAsia" w:hAnsi="楷体"/>
          <w:color w:val="000000" w:themeColor="text1"/>
          <w:spacing w:val="-6"/>
          <w:szCs w:val="32"/>
          <w:highlight w:val="none"/>
          <w14:textFill>
            <w14:solidFill>
              <w14:schemeClr w14:val="tx1"/>
            </w14:solidFill>
          </w14:textFill>
        </w:rPr>
        <w:t>亿元</w:t>
      </w:r>
      <w:r>
        <w:rPr>
          <w:rFonts w:hint="default" w:hAnsi="楷体"/>
          <w:color w:val="000000" w:themeColor="text1"/>
          <w:spacing w:val="-6"/>
          <w:szCs w:val="32"/>
          <w:highlight w:val="none"/>
          <w14:textFill>
            <w14:solidFill>
              <w14:schemeClr w14:val="tx1"/>
            </w14:solidFill>
          </w14:textFill>
        </w:rPr>
        <w:t>，污水处理费安排的支出0.</w:t>
      </w:r>
      <w:r>
        <w:rPr>
          <w:rFonts w:hint="eastAsia" w:hAnsi="楷体"/>
          <w:color w:val="000000" w:themeColor="text1"/>
          <w:spacing w:val="-6"/>
          <w:szCs w:val="32"/>
          <w:highlight w:val="none"/>
          <w:lang w:val="en-US" w:eastAsia="zh-CN"/>
          <w14:textFill>
            <w14:solidFill>
              <w14:schemeClr w14:val="tx1"/>
            </w14:solidFill>
          </w14:textFill>
        </w:rPr>
        <w:t>1</w:t>
      </w:r>
      <w:r>
        <w:rPr>
          <w:rFonts w:hint="default" w:hAnsi="楷体"/>
          <w:color w:val="000000" w:themeColor="text1"/>
          <w:spacing w:val="-6"/>
          <w:szCs w:val="32"/>
          <w:highlight w:val="none"/>
          <w14:textFill>
            <w14:solidFill>
              <w14:schemeClr w14:val="tx1"/>
            </w14:solidFill>
          </w14:textFill>
        </w:rPr>
        <w:t>亿元</w:t>
      </w:r>
      <w:r>
        <w:rPr>
          <w:rFonts w:hint="eastAsia" w:hAnsi="楷体"/>
          <w:color w:val="000000" w:themeColor="text1"/>
          <w:spacing w:val="-6"/>
          <w:szCs w:val="32"/>
          <w:highlight w:val="none"/>
          <w14:textFill>
            <w14:solidFill>
              <w14:schemeClr w14:val="tx1"/>
            </w14:solidFill>
          </w14:textFill>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hint="eastAsia" w:hAnsi="楷体"/>
          <w:color w:val="000000" w:themeColor="text1"/>
          <w:spacing w:val="-6"/>
          <w:szCs w:val="32"/>
          <w:highlight w:val="none"/>
          <w14:textFill>
            <w14:solidFill>
              <w14:schemeClr w14:val="tx1"/>
            </w14:solidFill>
          </w14:textFill>
        </w:rPr>
      </w:pPr>
      <w:r>
        <w:rPr>
          <w:rFonts w:hint="eastAsia" w:hAnsi="楷体"/>
          <w:color w:val="000000" w:themeColor="text1"/>
          <w:spacing w:val="-6"/>
          <w:szCs w:val="32"/>
          <w:highlight w:val="none"/>
          <w14:textFill>
            <w14:solidFill>
              <w14:schemeClr w14:val="tx1"/>
            </w14:solidFill>
          </w14:textFill>
        </w:rPr>
        <w:t>2.其他支出</w:t>
      </w:r>
      <w:r>
        <w:rPr>
          <w:rFonts w:hint="eastAsia" w:hAnsi="楷体"/>
          <w:color w:val="000000" w:themeColor="text1"/>
          <w:spacing w:val="-6"/>
          <w:szCs w:val="32"/>
          <w:highlight w:val="none"/>
          <w:lang w:val="en-US" w:eastAsia="zh-CN"/>
          <w14:textFill>
            <w14:solidFill>
              <w14:schemeClr w14:val="tx1"/>
            </w14:solidFill>
          </w14:textFill>
        </w:rPr>
        <w:t>9.8</w:t>
      </w:r>
      <w:r>
        <w:rPr>
          <w:rFonts w:hint="eastAsia" w:hAnsi="楷体"/>
          <w:color w:val="000000" w:themeColor="text1"/>
          <w:spacing w:val="-6"/>
          <w:szCs w:val="32"/>
          <w:highlight w:val="none"/>
          <w14:textFill>
            <w14:solidFill>
              <w14:schemeClr w14:val="tx1"/>
            </w14:solidFill>
          </w14:textFill>
        </w:rPr>
        <w:t>亿元，主要是彩票公益金安排的支出</w:t>
      </w:r>
      <w:r>
        <w:rPr>
          <w:rFonts w:hint="eastAsia" w:hAnsi="楷体"/>
          <w:color w:val="000000" w:themeColor="text1"/>
          <w:spacing w:val="-6"/>
          <w:szCs w:val="32"/>
          <w:highlight w:val="none"/>
          <w:lang w:val="en-US" w:eastAsia="zh-CN"/>
          <w14:textFill>
            <w14:solidFill>
              <w14:schemeClr w14:val="tx1"/>
            </w14:solidFill>
          </w14:textFill>
        </w:rPr>
        <w:t>719</w:t>
      </w:r>
      <w:r>
        <w:rPr>
          <w:rFonts w:hint="eastAsia" w:hAnsi="楷体"/>
          <w:color w:val="000000" w:themeColor="text1"/>
          <w:spacing w:val="-6"/>
          <w:szCs w:val="32"/>
          <w:highlight w:val="none"/>
          <w14:textFill>
            <w14:solidFill>
              <w14:schemeClr w14:val="tx1"/>
            </w14:solidFill>
          </w14:textFill>
        </w:rPr>
        <w:t>万元，其他政府性基金</w:t>
      </w:r>
      <w:r>
        <w:rPr>
          <w:rFonts w:hint="eastAsia" w:hAnsi="楷体"/>
          <w:color w:val="000000" w:themeColor="text1"/>
          <w:spacing w:val="-6"/>
          <w:szCs w:val="32"/>
          <w:highlight w:val="none"/>
          <w:lang w:eastAsia="zh-CN"/>
          <w14:textFill>
            <w14:solidFill>
              <w14:schemeClr w14:val="tx1"/>
            </w14:solidFill>
          </w14:textFill>
        </w:rPr>
        <w:t>及</w:t>
      </w:r>
      <w:r>
        <w:rPr>
          <w:rFonts w:hint="default" w:hAnsi="楷体"/>
          <w:color w:val="000000" w:themeColor="text1"/>
          <w:spacing w:val="-6"/>
          <w:szCs w:val="32"/>
          <w:highlight w:val="none"/>
          <w14:textFill>
            <w14:solidFill>
              <w14:schemeClr w14:val="tx1"/>
            </w14:solidFill>
          </w14:textFill>
        </w:rPr>
        <w:t>对应专项</w:t>
      </w:r>
      <w:r>
        <w:rPr>
          <w:rFonts w:hint="eastAsia" w:hAnsi="楷体"/>
          <w:color w:val="000000" w:themeColor="text1"/>
          <w:spacing w:val="-6"/>
          <w:szCs w:val="32"/>
          <w:highlight w:val="none"/>
          <w14:textFill>
            <w14:solidFill>
              <w14:schemeClr w14:val="tx1"/>
            </w14:solidFill>
          </w14:textFill>
        </w:rPr>
        <w:t>债务收入安排的支出</w:t>
      </w:r>
      <w:r>
        <w:rPr>
          <w:rFonts w:hint="default" w:hAnsi="楷体"/>
          <w:color w:val="000000" w:themeColor="text1"/>
          <w:spacing w:val="-6"/>
          <w:szCs w:val="32"/>
          <w:highlight w:val="none"/>
          <w14:textFill>
            <w14:solidFill>
              <w14:schemeClr w14:val="tx1"/>
            </w14:solidFill>
          </w14:textFill>
        </w:rPr>
        <w:t>0.</w:t>
      </w:r>
      <w:r>
        <w:rPr>
          <w:rFonts w:hint="eastAsia" w:hAnsi="楷体"/>
          <w:color w:val="000000" w:themeColor="text1"/>
          <w:spacing w:val="-6"/>
          <w:szCs w:val="32"/>
          <w:highlight w:val="none"/>
          <w:lang w:val="en-US" w:eastAsia="zh-CN"/>
          <w14:textFill>
            <w14:solidFill>
              <w14:schemeClr w14:val="tx1"/>
            </w14:solidFill>
          </w14:textFill>
        </w:rPr>
        <w:t>7</w:t>
      </w:r>
      <w:r>
        <w:rPr>
          <w:rFonts w:hint="eastAsia" w:hAnsi="楷体"/>
          <w:color w:val="000000" w:themeColor="text1"/>
          <w:spacing w:val="-6"/>
          <w:szCs w:val="32"/>
          <w:highlight w:val="none"/>
          <w14:textFill>
            <w14:solidFill>
              <w14:schemeClr w14:val="tx1"/>
            </w14:solidFill>
          </w14:textFill>
        </w:rPr>
        <w:t>亿元。</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firstLine="628"/>
        <w:textAlignment w:val="auto"/>
        <w:rPr>
          <w:rFonts w:hint="eastAsia" w:hAnsi="仿宋_GB2312" w:cs="仿宋_GB2312"/>
          <w:color w:val="000000" w:themeColor="text1"/>
          <w:kern w:val="0"/>
          <w:szCs w:val="32"/>
          <w:highlight w:val="none"/>
          <w14:textFill>
            <w14:solidFill>
              <w14:schemeClr w14:val="tx1"/>
            </w14:solidFill>
          </w14:textFill>
        </w:rPr>
      </w:pPr>
      <w:r>
        <w:rPr>
          <w:rFonts w:hint="eastAsia" w:hAnsi="仿宋_GB2312" w:cs="仿宋_GB2312"/>
          <w:color w:val="000000" w:themeColor="text1"/>
          <w:kern w:val="0"/>
          <w:szCs w:val="32"/>
          <w:highlight w:val="none"/>
          <w14:textFill>
            <w14:solidFill>
              <w14:schemeClr w14:val="tx1"/>
            </w14:solidFill>
          </w14:textFill>
        </w:rPr>
        <w:t>3.债务付息支出0.</w:t>
      </w:r>
      <w:r>
        <w:rPr>
          <w:rFonts w:hint="eastAsia" w:hAnsi="仿宋_GB2312" w:cs="仿宋_GB2312"/>
          <w:color w:val="000000" w:themeColor="text1"/>
          <w:kern w:val="0"/>
          <w:szCs w:val="32"/>
          <w:highlight w:val="none"/>
          <w:lang w:val="en-US" w:eastAsia="zh-CN"/>
          <w14:textFill>
            <w14:solidFill>
              <w14:schemeClr w14:val="tx1"/>
            </w14:solidFill>
          </w14:textFill>
        </w:rPr>
        <w:t>7</w:t>
      </w:r>
      <w:r>
        <w:rPr>
          <w:rFonts w:hint="eastAsia" w:hAnsi="仿宋_GB2312" w:cs="仿宋_GB2312"/>
          <w:color w:val="000000" w:themeColor="text1"/>
          <w:kern w:val="0"/>
          <w:szCs w:val="32"/>
          <w:highlight w:val="none"/>
          <w14:textFill>
            <w14:solidFill>
              <w14:schemeClr w14:val="tx1"/>
            </w14:solidFill>
          </w14:textFill>
        </w:rPr>
        <w:t>亿元，主要是</w:t>
      </w:r>
      <w:r>
        <w:rPr>
          <w:rFonts w:hint="eastAsia" w:hAnsi="仿宋_GB2312" w:cs="仿宋_GB2312"/>
          <w:color w:val="000000" w:themeColor="text1"/>
          <w:kern w:val="0"/>
          <w:szCs w:val="32"/>
          <w:highlight w:val="none"/>
          <w:lang w:val="en-US" w:eastAsia="zh-CN"/>
          <w14:textFill>
            <w14:solidFill>
              <w14:schemeClr w14:val="tx1"/>
            </w14:solidFill>
          </w14:textFill>
        </w:rPr>
        <w:t>归还债务利息的支出</w:t>
      </w:r>
      <w:r>
        <w:rPr>
          <w:rFonts w:hint="eastAsia" w:hAnsi="仿宋_GB2312" w:cs="仿宋_GB2312"/>
          <w:color w:val="000000" w:themeColor="text1"/>
          <w:kern w:val="0"/>
          <w:szCs w:val="32"/>
          <w:highlight w:val="none"/>
          <w14:textFill>
            <w14:solidFill>
              <w14:schemeClr w14:val="tx1"/>
            </w14:solidFill>
          </w14:textFill>
        </w:rPr>
        <w:t>。</w:t>
      </w:r>
    </w:p>
    <w:p>
      <w:pPr>
        <w:keepNext w:val="0"/>
        <w:keepLines w:val="0"/>
        <w:pageBreakBefore w:val="0"/>
        <w:widowControl w:val="0"/>
        <w:pBdr>
          <w:top w:val="none" w:color="000000" w:sz="0" w:space="0"/>
          <w:left w:val="none" w:color="000000" w:sz="0" w:space="0"/>
          <w:bottom w:val="none" w:color="000000" w:sz="0" w:space="31"/>
          <w:right w:val="none" w:color="000000" w:sz="0" w:space="0"/>
        </w:pBdr>
        <w:kinsoku/>
        <w:wordWrap/>
        <w:overflowPunct/>
        <w:topLinePunct w:val="0"/>
        <w:autoSpaceDN w:val="0"/>
        <w:bidi w:val="0"/>
        <w:adjustRightInd w:val="0"/>
        <w:snapToGrid w:val="0"/>
        <w:spacing w:line="560" w:lineRule="exact"/>
        <w:ind w:left="634" w:leftChars="202" w:firstLine="0" w:firstLineChars="0"/>
        <w:textAlignment w:val="auto"/>
        <w:rPr>
          <w:rFonts w:hint="eastAsia" w:hAnsi="仿宋_GB2312" w:cs="仿宋_GB2312"/>
          <w:color w:val="000000" w:themeColor="text1"/>
          <w:kern w:val="0"/>
          <w:szCs w:val="32"/>
          <w:highlight w:val="none"/>
          <w14:textFill>
            <w14:solidFill>
              <w14:schemeClr w14:val="tx1"/>
            </w14:solidFill>
          </w14:textFill>
        </w:rPr>
      </w:pPr>
      <w:r>
        <w:rPr>
          <w:rFonts w:hint="eastAsia" w:hAnsi="仿宋_GB2312" w:cs="仿宋_GB2312"/>
          <w:color w:val="000000" w:themeColor="text1"/>
          <w:kern w:val="0"/>
          <w:szCs w:val="32"/>
          <w:highlight w:val="none"/>
          <w14:textFill>
            <w14:solidFill>
              <w14:schemeClr w14:val="tx1"/>
            </w14:solidFill>
          </w14:textFill>
        </w:rPr>
        <w:t>4.债务发行费用支出</w:t>
      </w:r>
      <w:r>
        <w:rPr>
          <w:rFonts w:hint="eastAsia" w:hAnsi="仿宋_GB2312" w:cs="仿宋_GB2312"/>
          <w:color w:val="000000" w:themeColor="text1"/>
          <w:kern w:val="0"/>
          <w:szCs w:val="32"/>
          <w:highlight w:val="none"/>
          <w:lang w:val="en-US" w:eastAsia="zh-CN"/>
          <w14:textFill>
            <w14:solidFill>
              <w14:schemeClr w14:val="tx1"/>
            </w14:solidFill>
          </w14:textFill>
        </w:rPr>
        <w:t>43</w:t>
      </w:r>
      <w:r>
        <w:rPr>
          <w:rFonts w:hint="eastAsia" w:hAnsi="仿宋_GB2312" w:cs="仿宋_GB2312"/>
          <w:color w:val="000000" w:themeColor="text1"/>
          <w:kern w:val="0"/>
          <w:szCs w:val="32"/>
          <w:highlight w:val="none"/>
          <w14:textFill>
            <w14:solidFill>
              <w14:schemeClr w14:val="tx1"/>
            </w14:solidFill>
          </w14:textFill>
        </w:rPr>
        <w:t>万元，主要是发行</w:t>
      </w:r>
      <w:r>
        <w:rPr>
          <w:rFonts w:hint="eastAsia" w:hAnsi="仿宋_GB2312" w:cs="仿宋_GB2312"/>
          <w:color w:val="000000" w:themeColor="text1"/>
          <w:kern w:val="0"/>
          <w:szCs w:val="32"/>
          <w:highlight w:val="none"/>
          <w:lang w:eastAsia="zh-CN"/>
          <w14:textFill>
            <w14:solidFill>
              <w14:schemeClr w14:val="tx1"/>
            </w14:solidFill>
          </w14:textFill>
        </w:rPr>
        <w:t>债务</w:t>
      </w:r>
      <w:r>
        <w:rPr>
          <w:rFonts w:hint="eastAsia" w:hAnsi="仿宋_GB2312" w:cs="仿宋_GB2312"/>
          <w:color w:val="000000" w:themeColor="text1"/>
          <w:kern w:val="0"/>
          <w:szCs w:val="32"/>
          <w:highlight w:val="none"/>
          <w14:textFill>
            <w14:solidFill>
              <w14:schemeClr w14:val="tx1"/>
            </w14:solidFill>
          </w14:textFill>
        </w:rPr>
        <w:t>费用支出。</w:t>
      </w:r>
    </w:p>
    <w:p>
      <w:pPr>
        <w:rPr>
          <w:rFonts w:hint="eastAsia"/>
          <w:highlight w:val="none"/>
        </w:rPr>
      </w:pPr>
      <w:r>
        <w:rPr>
          <w:rFonts w:hint="eastAsia"/>
          <w:highlight w:val="none"/>
        </w:rPr>
        <w:t>5.转移性支出</w:t>
      </w:r>
      <w:r>
        <w:rPr>
          <w:rFonts w:hint="eastAsia"/>
          <w:highlight w:val="none"/>
          <w:lang w:val="en-US" w:eastAsia="zh-CN"/>
        </w:rPr>
        <w:t>21.8</w:t>
      </w:r>
      <w:r>
        <w:rPr>
          <w:rFonts w:hint="eastAsia"/>
          <w:highlight w:val="none"/>
        </w:rPr>
        <w:t>亿元，主要是调出至一般公共预算资金</w:t>
      </w:r>
      <w:r>
        <w:rPr>
          <w:rFonts w:hint="eastAsia"/>
          <w:highlight w:val="none"/>
          <w:lang w:val="en-US" w:eastAsia="zh-CN"/>
        </w:rPr>
        <w:t>19.9</w:t>
      </w:r>
      <w:r>
        <w:rPr>
          <w:rFonts w:hint="eastAsia"/>
          <w:highlight w:val="none"/>
        </w:rPr>
        <w:t>亿元，年终结余</w:t>
      </w:r>
      <w:r>
        <w:rPr>
          <w:rFonts w:hint="eastAsia"/>
          <w:highlight w:val="none"/>
          <w:lang w:val="en-US" w:eastAsia="zh-CN"/>
        </w:rPr>
        <w:t>1.9</w:t>
      </w:r>
      <w:r>
        <w:rPr>
          <w:rFonts w:hint="eastAsia"/>
          <w:highlight w:val="none"/>
        </w:rPr>
        <w:t>亿元。</w:t>
      </w:r>
    </w:p>
    <w:p>
      <w:pPr>
        <w:pStyle w:val="2"/>
        <w:rPr>
          <w:rFonts w:hint="eastAsia"/>
        </w:rPr>
      </w:pPr>
    </w:p>
    <w:p>
      <w:pPr>
        <w:ind w:left="0" w:leftChars="0" w:firstLine="0" w:firstLineChars="0"/>
        <w:jc w:val="center"/>
        <w:rPr>
          <w:color w:val="000000" w:themeColor="text1"/>
          <w:szCs w:val="32"/>
          <w14:textFill>
            <w14:solidFill>
              <w14:schemeClr w14:val="tx1"/>
            </w14:solidFill>
          </w14:textFill>
        </w:rPr>
      </w:pPr>
      <w:r>
        <w:rPr>
          <w:rFonts w:hint="eastAsia" w:ascii="黑体" w:hAnsi="黑体" w:eastAsia="黑体" w:cs="宋体"/>
          <w:color w:val="000000" w:themeColor="text1"/>
          <w:kern w:val="0"/>
          <w:szCs w:val="32"/>
          <w14:textFill>
            <w14:solidFill>
              <w14:schemeClr w14:val="tx1"/>
            </w14:solidFill>
          </w14:textFill>
        </w:rPr>
        <w:t>第三部分   202</w:t>
      </w:r>
      <w:r>
        <w:rPr>
          <w:rFonts w:hint="eastAsia" w:ascii="黑体" w:hAnsi="黑体" w:eastAsia="黑体" w:cs="宋体"/>
          <w:color w:val="000000" w:themeColor="text1"/>
          <w:kern w:val="0"/>
          <w:szCs w:val="32"/>
          <w:lang w:val="en-US" w:eastAsia="zh-CN"/>
          <w14:textFill>
            <w14:solidFill>
              <w14:schemeClr w14:val="tx1"/>
            </w14:solidFill>
          </w14:textFill>
        </w:rPr>
        <w:t>3</w:t>
      </w:r>
      <w:r>
        <w:rPr>
          <w:rFonts w:hint="eastAsia" w:ascii="黑体" w:hAnsi="黑体" w:eastAsia="黑体" w:cs="宋体"/>
          <w:color w:val="000000" w:themeColor="text1"/>
          <w:kern w:val="0"/>
          <w:szCs w:val="32"/>
          <w14:textFill>
            <w14:solidFill>
              <w14:schemeClr w14:val="tx1"/>
            </w14:solidFill>
          </w14:textFill>
        </w:rPr>
        <w:t>年国有资本经营收益预算</w:t>
      </w:r>
    </w:p>
    <w:p>
      <w:pPr>
        <w:keepNext w:val="0"/>
        <w:keepLines w:val="0"/>
        <w:pageBreakBefore w:val="0"/>
        <w:widowControl w:val="0"/>
        <w:kinsoku/>
        <w:wordWrap/>
        <w:overflowPunct/>
        <w:topLinePunct w:val="0"/>
        <w:autoSpaceDE w:val="0"/>
        <w:autoSpaceDN w:val="0"/>
        <w:bidi w:val="0"/>
        <w:adjustRightInd w:val="0"/>
        <w:spacing w:line="560" w:lineRule="exact"/>
        <w:ind w:firstLine="628"/>
        <w:jc w:val="left"/>
        <w:textAlignment w:val="auto"/>
        <w:rPr>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pacing w:line="560" w:lineRule="exact"/>
        <w:ind w:firstLine="628"/>
        <w:jc w:val="left"/>
        <w:textAlignment w:val="auto"/>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一、</w:t>
      </w:r>
      <w:r>
        <w:rPr>
          <w:rFonts w:hint="eastAsia" w:ascii="黑体" w:eastAsia="黑体"/>
          <w:color w:val="000000" w:themeColor="text1"/>
          <w14:textFill>
            <w14:solidFill>
              <w14:schemeClr w14:val="tx1"/>
            </w14:solidFill>
          </w14:textFill>
        </w:rPr>
        <w:t>202</w:t>
      </w:r>
      <w:r>
        <w:rPr>
          <w:rFonts w:hint="eastAsia" w:ascii="黑体" w:eastAsia="黑体"/>
          <w:color w:val="000000" w:themeColor="text1"/>
          <w:lang w:val="en-US" w:eastAsia="zh-CN"/>
          <w14:textFill>
            <w14:solidFill>
              <w14:schemeClr w14:val="tx1"/>
            </w14:solidFill>
          </w14:textFill>
        </w:rPr>
        <w:t>3</w:t>
      </w:r>
      <w:r>
        <w:rPr>
          <w:rFonts w:hint="eastAsia" w:ascii="黑体" w:eastAsia="黑体"/>
          <w:color w:val="000000" w:themeColor="text1"/>
          <w14:textFill>
            <w14:solidFill>
              <w14:schemeClr w14:val="tx1"/>
            </w14:solidFill>
          </w14:textFill>
        </w:rPr>
        <w:t>年国有资本经营</w:t>
      </w:r>
      <w:r>
        <w:rPr>
          <w:rFonts w:hint="eastAsia" w:ascii="黑体" w:hAnsi="黑体" w:eastAsia="黑体"/>
          <w:color w:val="000000" w:themeColor="text1"/>
          <w:szCs w:val="32"/>
          <w14:textFill>
            <w14:solidFill>
              <w14:schemeClr w14:val="tx1"/>
            </w14:solidFill>
          </w14:textFill>
        </w:rPr>
        <w:t>收入预算</w:t>
      </w:r>
    </w:p>
    <w:p>
      <w:pPr>
        <w:keepNext w:val="0"/>
        <w:keepLines w:val="0"/>
        <w:pageBreakBefore w:val="0"/>
        <w:widowControl w:val="0"/>
        <w:kinsoku/>
        <w:wordWrap/>
        <w:overflowPunct/>
        <w:topLinePunct w:val="0"/>
        <w:autoSpaceDE w:val="0"/>
        <w:autoSpaceDN w:val="0"/>
        <w:bidi w:val="0"/>
        <w:adjustRightInd w:val="0"/>
        <w:spacing w:line="560" w:lineRule="exact"/>
        <w:ind w:firstLine="628"/>
        <w:jc w:val="left"/>
        <w:textAlignment w:val="auto"/>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国有资本经营预算总收入</w:t>
      </w:r>
      <w:r>
        <w:rPr>
          <w:rFonts w:hint="eastAsia"/>
          <w:color w:val="000000" w:themeColor="text1"/>
          <w:szCs w:val="32"/>
          <w:lang w:val="en-US" w:eastAsia="zh-CN"/>
          <w14:textFill>
            <w14:solidFill>
              <w14:schemeClr w14:val="tx1"/>
            </w14:solidFill>
          </w14:textFill>
        </w:rPr>
        <w:t>2</w:t>
      </w:r>
      <w:r>
        <w:rPr>
          <w:rFonts w:hint="eastAsia"/>
          <w:color w:val="000000" w:themeColor="text1"/>
          <w:szCs w:val="32"/>
          <w14:textFill>
            <w14:solidFill>
              <w14:schemeClr w14:val="tx1"/>
            </w14:solidFill>
          </w14:textFill>
        </w:rPr>
        <w:t>万元，主要是市财政部门下达新区202</w:t>
      </w:r>
      <w:r>
        <w:rPr>
          <w:rFonts w:hint="eastAsia"/>
          <w:color w:val="000000" w:themeColor="text1"/>
          <w:szCs w:val="32"/>
          <w:lang w:val="en-US" w:eastAsia="zh-CN"/>
          <w14:textFill>
            <w14:solidFill>
              <w14:schemeClr w14:val="tx1"/>
            </w14:solidFill>
          </w14:textFill>
        </w:rPr>
        <w:t>3</w:t>
      </w:r>
      <w:r>
        <w:rPr>
          <w:rFonts w:hint="eastAsia"/>
          <w:color w:val="000000" w:themeColor="text1"/>
          <w:szCs w:val="32"/>
          <w14:textFill>
            <w14:solidFill>
              <w14:schemeClr w14:val="tx1"/>
            </w14:solidFill>
          </w14:textFill>
        </w:rPr>
        <w:t>年国有企业退休人员社会化管理补助资金。</w:t>
      </w:r>
    </w:p>
    <w:p>
      <w:pPr>
        <w:keepNext w:val="0"/>
        <w:keepLines w:val="0"/>
        <w:pageBreakBefore w:val="0"/>
        <w:widowControl w:val="0"/>
        <w:kinsoku/>
        <w:wordWrap/>
        <w:overflowPunct/>
        <w:topLinePunct w:val="0"/>
        <w:autoSpaceDE w:val="0"/>
        <w:autoSpaceDN w:val="0"/>
        <w:bidi w:val="0"/>
        <w:adjustRightInd w:val="0"/>
        <w:spacing w:line="560" w:lineRule="exact"/>
        <w:ind w:firstLine="628"/>
        <w:jc w:val="left"/>
        <w:textAlignment w:val="auto"/>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二、</w:t>
      </w:r>
      <w:r>
        <w:rPr>
          <w:rFonts w:hint="eastAsia" w:ascii="黑体" w:eastAsia="黑体"/>
          <w:color w:val="000000" w:themeColor="text1"/>
          <w14:textFill>
            <w14:solidFill>
              <w14:schemeClr w14:val="tx1"/>
            </w14:solidFill>
          </w14:textFill>
        </w:rPr>
        <w:t>202</w:t>
      </w:r>
      <w:r>
        <w:rPr>
          <w:rFonts w:hint="eastAsia" w:ascii="黑体" w:eastAsia="黑体"/>
          <w:color w:val="000000" w:themeColor="text1"/>
          <w:lang w:val="en-US" w:eastAsia="zh-CN"/>
          <w14:textFill>
            <w14:solidFill>
              <w14:schemeClr w14:val="tx1"/>
            </w14:solidFill>
          </w14:textFill>
        </w:rPr>
        <w:t>3</w:t>
      </w:r>
      <w:r>
        <w:rPr>
          <w:rFonts w:hint="eastAsia" w:ascii="黑体" w:eastAsia="黑体"/>
          <w:color w:val="000000" w:themeColor="text1"/>
          <w14:textFill>
            <w14:solidFill>
              <w14:schemeClr w14:val="tx1"/>
            </w14:solidFill>
          </w14:textFill>
        </w:rPr>
        <w:t>年国有资本经营</w:t>
      </w:r>
      <w:r>
        <w:rPr>
          <w:rFonts w:hint="eastAsia" w:ascii="黑体" w:hAnsi="黑体" w:eastAsia="黑体"/>
          <w:color w:val="000000" w:themeColor="text1"/>
          <w:szCs w:val="32"/>
          <w14:textFill>
            <w14:solidFill>
              <w14:schemeClr w14:val="tx1"/>
            </w14:solidFill>
          </w14:textFill>
        </w:rPr>
        <w:t>支出预算</w:t>
      </w:r>
    </w:p>
    <w:p>
      <w:pPr>
        <w:keepNext w:val="0"/>
        <w:keepLines w:val="0"/>
        <w:pageBreakBefore w:val="0"/>
        <w:widowControl w:val="0"/>
        <w:kinsoku/>
        <w:wordWrap/>
        <w:overflowPunct/>
        <w:topLinePunct w:val="0"/>
        <w:autoSpaceDE w:val="0"/>
        <w:autoSpaceDN w:val="0"/>
        <w:bidi w:val="0"/>
        <w:adjustRightInd w:val="0"/>
        <w:spacing w:line="560" w:lineRule="exact"/>
        <w:ind w:firstLine="628"/>
        <w:jc w:val="left"/>
        <w:textAlignment w:val="auto"/>
        <w:rPr>
          <w:rFonts w:hAnsi="宋体" w:cs="宋体"/>
          <w:color w:val="000000" w:themeColor="text1"/>
          <w:kern w:val="0"/>
          <w:szCs w:val="32"/>
          <w14:textFill>
            <w14:solidFill>
              <w14:schemeClr w14:val="tx1"/>
            </w14:solidFill>
          </w14:textFill>
        </w:rPr>
      </w:pPr>
      <w:r>
        <w:rPr>
          <w:rFonts w:hint="eastAsia"/>
          <w:color w:val="000000" w:themeColor="text1"/>
          <w:szCs w:val="32"/>
          <w14:textFill>
            <w14:solidFill>
              <w14:schemeClr w14:val="tx1"/>
            </w14:solidFill>
          </w14:textFill>
        </w:rPr>
        <w:t>按照收支平衡的原则，相应安排202</w:t>
      </w:r>
      <w:r>
        <w:rPr>
          <w:rFonts w:hint="eastAsia"/>
          <w:color w:val="000000" w:themeColor="text1"/>
          <w:szCs w:val="32"/>
          <w:lang w:val="en-US" w:eastAsia="zh-CN"/>
          <w14:textFill>
            <w14:solidFill>
              <w14:schemeClr w14:val="tx1"/>
            </w14:solidFill>
          </w14:textFill>
        </w:rPr>
        <w:t>3</w:t>
      </w:r>
      <w:r>
        <w:rPr>
          <w:rFonts w:hint="eastAsia"/>
          <w:color w:val="000000" w:themeColor="text1"/>
          <w:szCs w:val="32"/>
          <w14:textFill>
            <w14:solidFill>
              <w14:schemeClr w14:val="tx1"/>
            </w14:solidFill>
          </w14:textFill>
        </w:rPr>
        <w:t>年国有资本经营收益预算总支出</w:t>
      </w:r>
      <w:r>
        <w:rPr>
          <w:rFonts w:hint="eastAsia"/>
          <w:color w:val="000000" w:themeColor="text1"/>
          <w:szCs w:val="32"/>
          <w:lang w:val="en-US" w:eastAsia="zh-CN"/>
          <w14:textFill>
            <w14:solidFill>
              <w14:schemeClr w14:val="tx1"/>
            </w14:solidFill>
          </w14:textFill>
        </w:rPr>
        <w:t>2</w:t>
      </w:r>
      <w:r>
        <w:rPr>
          <w:rFonts w:hint="eastAsia"/>
          <w:color w:val="000000" w:themeColor="text1"/>
          <w:szCs w:val="32"/>
          <w14:textFill>
            <w14:solidFill>
              <w14:schemeClr w14:val="tx1"/>
            </w14:solidFill>
          </w14:textFill>
        </w:rPr>
        <w:t>万元，主要是国有</w:t>
      </w:r>
      <w:r>
        <w:rPr>
          <w:rFonts w:hint="eastAsia" w:hAnsi="仿宋_GB2312" w:cs="仿宋_GB2312"/>
          <w:color w:val="000000" w:themeColor="text1"/>
          <w:kern w:val="0"/>
          <w:szCs w:val="32"/>
          <w14:textFill>
            <w14:solidFill>
              <w14:schemeClr w14:val="tx1"/>
            </w14:solidFill>
          </w14:textFill>
        </w:rPr>
        <w:t>企业退休人员社会化管理补助</w:t>
      </w:r>
      <w:r>
        <w:rPr>
          <w:rFonts w:hint="eastAsia" w:hAnsi="宋体" w:cs="宋体"/>
          <w:color w:val="000000" w:themeColor="text1"/>
          <w:kern w:val="0"/>
          <w:szCs w:val="32"/>
          <w14:textFill>
            <w14:solidFill>
              <w14:schemeClr w14:val="tx1"/>
            </w14:solidFill>
          </w14:textFill>
        </w:rPr>
        <w:t>。</w:t>
      </w:r>
    </w:p>
    <w:p>
      <w:pPr>
        <w:keepNext w:val="0"/>
        <w:keepLines w:val="0"/>
        <w:pageBreakBefore w:val="0"/>
        <w:widowControl w:val="0"/>
        <w:shd w:val="clear" w:color="auto" w:fill="FFFFFF"/>
        <w:kinsoku/>
        <w:wordWrap/>
        <w:overflowPunct/>
        <w:topLinePunct w:val="0"/>
        <w:bidi w:val="0"/>
        <w:spacing w:line="560" w:lineRule="exact"/>
        <w:ind w:firstLine="197" w:firstLineChars="63"/>
        <w:jc w:val="center"/>
        <w:textAlignment w:val="auto"/>
        <w:rPr>
          <w:rFonts w:ascii="黑体" w:hAnsi="黑体" w:eastAsia="黑体" w:cs="宋体"/>
          <w:color w:val="000000" w:themeColor="text1"/>
          <w:kern w:val="0"/>
          <w:szCs w:val="32"/>
          <w14:textFill>
            <w14:solidFill>
              <w14:schemeClr w14:val="tx1"/>
            </w14:solidFill>
          </w14:textFill>
        </w:rPr>
      </w:pPr>
    </w:p>
    <w:p>
      <w:pPr>
        <w:keepNext w:val="0"/>
        <w:keepLines w:val="0"/>
        <w:pageBreakBefore w:val="0"/>
        <w:widowControl w:val="0"/>
        <w:shd w:val="clear" w:color="auto" w:fill="FFFFFF"/>
        <w:kinsoku/>
        <w:wordWrap/>
        <w:overflowPunct/>
        <w:topLinePunct w:val="0"/>
        <w:bidi w:val="0"/>
        <w:spacing w:line="560" w:lineRule="exact"/>
        <w:ind w:firstLine="197" w:firstLineChars="63"/>
        <w:jc w:val="center"/>
        <w:textAlignment w:val="auto"/>
        <w:rPr>
          <w:rFonts w:ascii="黑体" w:hAnsi="黑体" w:eastAsia="黑体" w:cs="宋体"/>
          <w:color w:val="000000" w:themeColor="text1"/>
          <w:kern w:val="0"/>
          <w:szCs w:val="32"/>
          <w14:textFill>
            <w14:solidFill>
              <w14:schemeClr w14:val="tx1"/>
            </w14:solidFill>
          </w14:textFill>
        </w:rPr>
      </w:pPr>
      <w:r>
        <w:rPr>
          <w:rFonts w:hint="eastAsia" w:ascii="黑体" w:hAnsi="黑体" w:eastAsia="黑体" w:cs="宋体"/>
          <w:color w:val="000000" w:themeColor="text1"/>
          <w:kern w:val="0"/>
          <w:szCs w:val="32"/>
          <w14:textFill>
            <w14:solidFill>
              <w14:schemeClr w14:val="tx1"/>
            </w14:solidFill>
          </w14:textFill>
        </w:rPr>
        <w:t>第四部分  其他说明事项</w:t>
      </w:r>
    </w:p>
    <w:p>
      <w:pPr>
        <w:pStyle w:val="2"/>
        <w:keepNext w:val="0"/>
        <w:keepLines w:val="0"/>
        <w:pageBreakBefore w:val="0"/>
        <w:widowControl w:val="0"/>
        <w:kinsoku/>
        <w:wordWrap/>
        <w:overflowPunct/>
        <w:topLinePunct w:val="0"/>
        <w:bidi w:val="0"/>
        <w:ind w:firstLine="314"/>
        <w:textAlignment w:val="auto"/>
        <w:rPr>
          <w:color w:val="000000" w:themeColor="text1"/>
          <w14:textFill>
            <w14:solidFill>
              <w14:schemeClr w14:val="tx1"/>
            </w14:solidFill>
          </w14:textFill>
        </w:rPr>
      </w:pPr>
    </w:p>
    <w:p>
      <w:pPr>
        <w:keepNext w:val="0"/>
        <w:keepLines w:val="0"/>
        <w:pageBreakBefore w:val="0"/>
        <w:widowControl w:val="0"/>
        <w:shd w:val="clear" w:color="auto" w:fill="FFFFFF"/>
        <w:kinsoku/>
        <w:wordWrap/>
        <w:overflowPunct/>
        <w:topLinePunct w:val="0"/>
        <w:bidi w:val="0"/>
        <w:spacing w:line="560" w:lineRule="exact"/>
        <w:ind w:firstLine="628"/>
        <w:jc w:val="left"/>
        <w:textAlignment w:val="auto"/>
        <w:outlineLvl w:val="3"/>
        <w:rPr>
          <w:rFonts w:hAnsi="ˎ̥" w:cs="宋体"/>
          <w:color w:val="000000" w:themeColor="text1"/>
          <w:kern w:val="0"/>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一、</w:t>
      </w:r>
      <w:r>
        <w:rPr>
          <w:rFonts w:hint="eastAsia" w:ascii="黑体" w:hAnsi="黑体" w:eastAsia="黑体"/>
          <w:color w:val="000000" w:themeColor="text1"/>
          <w:szCs w:val="32"/>
          <w14:textFill>
            <w14:solidFill>
              <w14:schemeClr w14:val="tx1"/>
            </w14:solidFill>
          </w14:textFill>
        </w:rPr>
        <w:t>财政转移支付安排情况</w:t>
      </w:r>
    </w:p>
    <w:p>
      <w:pPr>
        <w:keepNext w:val="0"/>
        <w:keepLines w:val="0"/>
        <w:pageBreakBefore w:val="0"/>
        <w:widowControl w:val="0"/>
        <w:shd w:val="clear" w:color="auto" w:fill="FFFFFF"/>
        <w:kinsoku/>
        <w:wordWrap/>
        <w:overflowPunct/>
        <w:topLinePunct w:val="0"/>
        <w:bidi w:val="0"/>
        <w:spacing w:line="560" w:lineRule="exact"/>
        <w:ind w:firstLine="631"/>
        <w:jc w:val="both"/>
        <w:textAlignment w:val="auto"/>
        <w:rPr>
          <w:rFonts w:hint="default" w:eastAsia="仿宋_GB2312"/>
          <w:highlight w:val="none"/>
          <w:lang w:val="en-US" w:eastAsia="zh-CN"/>
        </w:rPr>
      </w:pPr>
      <w:r>
        <w:rPr>
          <w:rFonts w:hint="eastAsia" w:hAnsi="仿宋_GB2312" w:cs="仿宋_GB2312"/>
          <w:b w:val="0"/>
          <w:bCs/>
          <w:color w:val="000000" w:themeColor="text1"/>
          <w:kern w:val="0"/>
          <w:szCs w:val="32"/>
          <w:lang w:val="en-US" w:eastAsia="zh-CN"/>
          <w14:textFill>
            <w14:solidFill>
              <w14:schemeClr w14:val="tx1"/>
            </w14:solidFill>
          </w14:textFill>
        </w:rPr>
        <w:t>2023年新区转移支付</w:t>
      </w:r>
      <w:r>
        <w:rPr>
          <w:rFonts w:hint="eastAsia" w:hAnsi="仿宋_GB2312" w:cs="仿宋_GB2312"/>
          <w:b/>
          <w:color w:val="000000" w:themeColor="text1"/>
          <w:kern w:val="0"/>
          <w:szCs w:val="32"/>
          <w14:textFill>
            <w14:solidFill>
              <w14:schemeClr w14:val="tx1"/>
            </w14:solidFill>
          </w14:textFill>
        </w:rPr>
        <w:t>一是</w:t>
      </w:r>
      <w:r>
        <w:rPr>
          <w:rFonts w:hint="eastAsia" w:hAnsi="仿宋_GB2312" w:cs="仿宋_GB2312"/>
          <w:color w:val="000000" w:themeColor="text1"/>
          <w:kern w:val="0"/>
          <w:szCs w:val="32"/>
          <w14:textFill>
            <w14:solidFill>
              <w14:schemeClr w14:val="tx1"/>
            </w14:solidFill>
          </w14:textFill>
        </w:rPr>
        <w:t>返还性收</w:t>
      </w:r>
      <w:r>
        <w:rPr>
          <w:rFonts w:hint="eastAsia" w:hAnsi="仿宋_GB2312" w:cs="仿宋_GB2312"/>
          <w:color w:val="000000" w:themeColor="text1"/>
          <w:kern w:val="0"/>
          <w:szCs w:val="32"/>
          <w:highlight w:val="none"/>
          <w14:textFill>
            <w14:solidFill>
              <w14:schemeClr w14:val="tx1"/>
            </w14:solidFill>
          </w14:textFill>
        </w:rPr>
        <w:t>入1.</w:t>
      </w:r>
      <w:r>
        <w:rPr>
          <w:rFonts w:hint="eastAsia" w:hAnsi="仿宋_GB2312" w:cs="仿宋_GB2312"/>
          <w:color w:val="000000" w:themeColor="text1"/>
          <w:kern w:val="0"/>
          <w:szCs w:val="32"/>
          <w:highlight w:val="none"/>
          <w:lang w:val="en-US" w:eastAsia="zh-CN"/>
          <w14:textFill>
            <w14:solidFill>
              <w14:schemeClr w14:val="tx1"/>
            </w14:solidFill>
          </w14:textFill>
        </w:rPr>
        <w:t>16</w:t>
      </w:r>
      <w:r>
        <w:rPr>
          <w:rFonts w:hint="eastAsia" w:hAnsi="仿宋_GB2312" w:cs="仿宋_GB2312"/>
          <w:color w:val="000000" w:themeColor="text1"/>
          <w:kern w:val="0"/>
          <w:szCs w:val="32"/>
          <w:highlight w:val="none"/>
          <w14:textFill>
            <w14:solidFill>
              <w14:schemeClr w14:val="tx1"/>
            </w14:solidFill>
          </w14:textFill>
        </w:rPr>
        <w:t>亿元</w:t>
      </w:r>
      <w:r>
        <w:rPr>
          <w:rFonts w:hint="eastAsia" w:cs="仿宋_GB2312"/>
          <w:color w:val="auto"/>
          <w:szCs w:val="32"/>
          <w:highlight w:val="none"/>
        </w:rPr>
        <w:t>，主要是提前告知的返还收入</w:t>
      </w:r>
      <w:r>
        <w:rPr>
          <w:rFonts w:hint="eastAsia" w:hAnsi="仿宋_GB2312" w:cs="仿宋_GB2312"/>
          <w:color w:val="000000" w:themeColor="text1"/>
          <w:kern w:val="0"/>
          <w:szCs w:val="32"/>
          <w:highlight w:val="none"/>
          <w:lang w:eastAsia="zh-CN"/>
          <w14:textFill>
            <w14:solidFill>
              <w14:schemeClr w14:val="tx1"/>
            </w14:solidFill>
          </w14:textFill>
        </w:rPr>
        <w:t>；</w:t>
      </w:r>
      <w:r>
        <w:rPr>
          <w:rFonts w:hint="eastAsia" w:hAnsi="仿宋_GB2312" w:cs="仿宋_GB2312"/>
          <w:b/>
          <w:color w:val="000000" w:themeColor="text1"/>
          <w:kern w:val="0"/>
          <w:szCs w:val="32"/>
          <w:highlight w:val="none"/>
          <w14:textFill>
            <w14:solidFill>
              <w14:schemeClr w14:val="tx1"/>
            </w14:solidFill>
          </w14:textFill>
        </w:rPr>
        <w:t>二是</w:t>
      </w:r>
      <w:r>
        <w:rPr>
          <w:rFonts w:hint="eastAsia" w:cs="仿宋_GB2312"/>
          <w:color w:val="auto"/>
          <w:szCs w:val="32"/>
          <w:highlight w:val="none"/>
        </w:rPr>
        <w:t>一般性转移支付收入</w:t>
      </w:r>
      <w:r>
        <w:rPr>
          <w:rFonts w:hint="default" w:cs="仿宋_GB2312"/>
          <w:color w:val="auto"/>
          <w:szCs w:val="32"/>
          <w:highlight w:val="none"/>
        </w:rPr>
        <w:t>1</w:t>
      </w:r>
      <w:r>
        <w:rPr>
          <w:rFonts w:hint="eastAsia" w:cs="仿宋_GB2312"/>
          <w:color w:val="auto"/>
          <w:szCs w:val="32"/>
          <w:highlight w:val="none"/>
          <w:lang w:val="en-US" w:eastAsia="zh-CN"/>
        </w:rPr>
        <w:t>5.59</w:t>
      </w:r>
      <w:r>
        <w:rPr>
          <w:rFonts w:hint="eastAsia" w:cs="仿宋_GB2312"/>
          <w:color w:val="auto"/>
          <w:szCs w:val="32"/>
          <w:highlight w:val="none"/>
        </w:rPr>
        <w:t>亿元，主要是生态转移支付资金</w:t>
      </w:r>
      <w:r>
        <w:rPr>
          <w:rFonts w:hint="eastAsia" w:cs="仿宋_GB2312"/>
          <w:color w:val="auto"/>
          <w:szCs w:val="32"/>
          <w:highlight w:val="none"/>
          <w:lang w:eastAsia="zh-CN"/>
        </w:rPr>
        <w:t>、教育补助资金等</w:t>
      </w:r>
      <w:r>
        <w:rPr>
          <w:rFonts w:hAnsi="仿宋_GB2312" w:cs="仿宋_GB2312"/>
          <w:color w:val="000000" w:themeColor="text1"/>
          <w:kern w:val="0"/>
          <w:szCs w:val="32"/>
          <w:highlight w:val="none"/>
          <w14:textFill>
            <w14:solidFill>
              <w14:schemeClr w14:val="tx1"/>
            </w14:solidFill>
          </w14:textFill>
        </w:rPr>
        <w:t>；</w:t>
      </w:r>
      <w:r>
        <w:rPr>
          <w:rFonts w:hint="eastAsia" w:hAnsi="仿宋_GB2312" w:cs="仿宋_GB2312"/>
          <w:b/>
          <w:color w:val="000000" w:themeColor="text1"/>
          <w:kern w:val="0"/>
          <w:szCs w:val="32"/>
          <w:highlight w:val="none"/>
          <w:lang w:eastAsia="zh-CN"/>
          <w14:textFill>
            <w14:solidFill>
              <w14:schemeClr w14:val="tx1"/>
            </w14:solidFill>
          </w14:textFill>
        </w:rPr>
        <w:t>三</w:t>
      </w:r>
      <w:r>
        <w:rPr>
          <w:rFonts w:hint="eastAsia" w:hAnsi="仿宋_GB2312" w:cs="仿宋_GB2312"/>
          <w:b/>
          <w:color w:val="000000" w:themeColor="text1"/>
          <w:kern w:val="0"/>
          <w:szCs w:val="32"/>
          <w:highlight w:val="none"/>
          <w14:textFill>
            <w14:solidFill>
              <w14:schemeClr w14:val="tx1"/>
            </w14:solidFill>
          </w14:textFill>
        </w:rPr>
        <w:t>是</w:t>
      </w:r>
      <w:r>
        <w:rPr>
          <w:rFonts w:hint="eastAsia" w:cs="仿宋_GB2312"/>
          <w:color w:val="auto"/>
          <w:szCs w:val="32"/>
          <w:highlight w:val="none"/>
        </w:rPr>
        <w:t>专项转移支付收入</w:t>
      </w:r>
      <w:r>
        <w:rPr>
          <w:rFonts w:hint="eastAsia" w:cs="仿宋_GB2312"/>
          <w:color w:val="auto"/>
          <w:szCs w:val="32"/>
          <w:highlight w:val="none"/>
          <w:lang w:val="en-US" w:eastAsia="zh-CN"/>
        </w:rPr>
        <w:t>1.54</w:t>
      </w:r>
      <w:r>
        <w:rPr>
          <w:rFonts w:hint="eastAsia" w:cs="仿宋_GB2312"/>
          <w:color w:val="auto"/>
          <w:szCs w:val="32"/>
          <w:highlight w:val="none"/>
        </w:rPr>
        <w:t>亿元，</w:t>
      </w:r>
      <w:r>
        <w:rPr>
          <w:rFonts w:hAnsi="宋体" w:cs="宋体"/>
          <w:color w:val="000000" w:themeColor="text1"/>
          <w:kern w:val="0"/>
          <w:szCs w:val="32"/>
          <w:highlight w:val="none"/>
          <w14:textFill>
            <w14:solidFill>
              <w14:schemeClr w14:val="tx1"/>
            </w14:solidFill>
          </w14:textFill>
        </w:rPr>
        <w:t>主要是市财政局提前告知的</w:t>
      </w:r>
      <w:r>
        <w:rPr>
          <w:rFonts w:hint="eastAsia" w:hAnsi="宋体" w:cs="宋体"/>
          <w:color w:val="000000" w:themeColor="text1"/>
          <w:kern w:val="0"/>
          <w:szCs w:val="32"/>
          <w:highlight w:val="none"/>
          <w14:textFill>
            <w14:solidFill>
              <w14:schemeClr w14:val="tx1"/>
            </w14:solidFill>
          </w14:textFill>
        </w:rPr>
        <w:t>水库除险加固、高中开办及运行费等</w:t>
      </w:r>
      <w:r>
        <w:rPr>
          <w:rFonts w:hAnsi="宋体" w:cs="宋体"/>
          <w:color w:val="000000" w:themeColor="text1"/>
          <w:kern w:val="0"/>
          <w:szCs w:val="32"/>
          <w:highlight w:val="none"/>
          <w14:textFill>
            <w14:solidFill>
              <w14:schemeClr w14:val="tx1"/>
            </w14:solidFill>
          </w14:textFill>
        </w:rPr>
        <w:t>各类专项转移支付</w:t>
      </w:r>
      <w:r>
        <w:rPr>
          <w:rFonts w:hint="eastAsia" w:cs="仿宋_GB2312"/>
          <w:color w:val="auto"/>
          <w:szCs w:val="32"/>
          <w:highlight w:val="none"/>
          <w:lang w:eastAsia="zh-CN"/>
        </w:rPr>
        <w:t>等</w:t>
      </w:r>
      <w:r>
        <w:rPr>
          <w:rFonts w:hint="eastAsia" w:hAnsi="仿宋_GB2312" w:cs="仿宋_GB2312"/>
          <w:color w:val="000000" w:themeColor="text1"/>
          <w:kern w:val="0"/>
          <w:szCs w:val="32"/>
          <w:highlight w:val="none"/>
          <w:lang w:eastAsia="zh-CN"/>
          <w14:textFill>
            <w14:solidFill>
              <w14:schemeClr w14:val="tx1"/>
            </w14:solidFill>
          </w14:textFill>
        </w:rPr>
        <w:t>；</w:t>
      </w:r>
      <w:r>
        <w:rPr>
          <w:rFonts w:hint="eastAsia" w:hAnsi="仿宋_GB2312" w:cs="仿宋_GB2312"/>
          <w:b/>
          <w:color w:val="000000" w:themeColor="text1"/>
          <w:kern w:val="0"/>
          <w:szCs w:val="32"/>
          <w:highlight w:val="none"/>
          <w:lang w:eastAsia="zh-CN"/>
          <w14:textFill>
            <w14:solidFill>
              <w14:schemeClr w14:val="tx1"/>
            </w14:solidFill>
          </w14:textFill>
        </w:rPr>
        <w:t>四</w:t>
      </w:r>
      <w:r>
        <w:rPr>
          <w:rFonts w:hint="eastAsia" w:hAnsi="仿宋_GB2312" w:cs="仿宋_GB2312"/>
          <w:b/>
          <w:color w:val="000000" w:themeColor="text1"/>
          <w:kern w:val="0"/>
          <w:szCs w:val="32"/>
          <w:highlight w:val="none"/>
          <w14:textFill>
            <w14:solidFill>
              <w14:schemeClr w14:val="tx1"/>
            </w14:solidFill>
          </w14:textFill>
        </w:rPr>
        <w:t>是</w:t>
      </w:r>
      <w:r>
        <w:rPr>
          <w:rFonts w:hAnsi="仿宋_GB2312" w:cs="仿宋_GB2312"/>
          <w:color w:val="000000" w:themeColor="text1"/>
          <w:kern w:val="0"/>
          <w:szCs w:val="32"/>
          <w:highlight w:val="none"/>
          <w14:textFill>
            <w14:solidFill>
              <w14:schemeClr w14:val="tx1"/>
            </w14:solidFill>
          </w14:textFill>
        </w:rPr>
        <w:t>政府性基金</w:t>
      </w:r>
      <w:r>
        <w:rPr>
          <w:rFonts w:hint="eastAsia" w:hAnsi="仿宋_GB2312" w:cs="仿宋_GB2312"/>
          <w:color w:val="000000" w:themeColor="text1"/>
          <w:kern w:val="0"/>
          <w:szCs w:val="32"/>
          <w:highlight w:val="none"/>
          <w:lang w:eastAsia="zh-CN"/>
          <w14:textFill>
            <w14:solidFill>
              <w14:schemeClr w14:val="tx1"/>
            </w14:solidFill>
          </w14:textFill>
        </w:rPr>
        <w:t>转移支付</w:t>
      </w:r>
      <w:r>
        <w:rPr>
          <w:rFonts w:hint="eastAsia"/>
          <w:color w:val="000000" w:themeColor="text1"/>
          <w:highlight w:val="none"/>
          <w:lang w:val="en-US" w:eastAsia="zh-CN"/>
          <w14:textFill>
            <w14:solidFill>
              <w14:schemeClr w14:val="tx1"/>
            </w14:solidFill>
          </w14:textFill>
        </w:rPr>
        <w:t>23.68</w:t>
      </w:r>
      <w:r>
        <w:rPr>
          <w:rFonts w:hint="default"/>
          <w:color w:val="000000" w:themeColor="text1"/>
          <w:highlight w:val="none"/>
          <w14:textFill>
            <w14:solidFill>
              <w14:schemeClr w14:val="tx1"/>
            </w14:solidFill>
          </w14:textFill>
        </w:rPr>
        <w:t>亿</w:t>
      </w:r>
      <w:r>
        <w:rPr>
          <w:rFonts w:hAnsi="仿宋_GB2312" w:cs="仿宋_GB2312"/>
          <w:color w:val="000000" w:themeColor="text1"/>
          <w:kern w:val="0"/>
          <w:szCs w:val="32"/>
          <w:highlight w:val="none"/>
          <w14:textFill>
            <w14:solidFill>
              <w14:schemeClr w14:val="tx1"/>
            </w14:solidFill>
          </w14:textFill>
        </w:rPr>
        <w:t>元</w:t>
      </w:r>
      <w:r>
        <w:rPr>
          <w:rFonts w:hint="eastAsia" w:hAnsi="仿宋_GB2312" w:cs="仿宋_GB2312"/>
          <w:color w:val="000000" w:themeColor="text1"/>
          <w:kern w:val="0"/>
          <w:szCs w:val="32"/>
          <w:highlight w:val="none"/>
          <w14:textFill>
            <w14:solidFill>
              <w14:schemeClr w14:val="tx1"/>
            </w14:solidFill>
          </w14:textFill>
        </w:rPr>
        <w:t>，主要是</w:t>
      </w:r>
      <w:r>
        <w:rPr>
          <w:rFonts w:hint="eastAsia" w:hAnsi="楷体"/>
          <w:color w:val="000000" w:themeColor="text1"/>
          <w:spacing w:val="-6"/>
          <w:szCs w:val="32"/>
          <w:highlight w:val="none"/>
          <w14:textFill>
            <w14:solidFill>
              <w14:schemeClr w14:val="tx1"/>
            </w14:solidFill>
          </w14:textFill>
        </w:rPr>
        <w:t>国有土地使用权出让分成</w:t>
      </w:r>
      <w:r>
        <w:rPr>
          <w:rFonts w:hint="eastAsia" w:hAnsi="楷体"/>
          <w:color w:val="000000" w:themeColor="text1"/>
          <w:spacing w:val="-6"/>
          <w:szCs w:val="32"/>
          <w:highlight w:val="none"/>
          <w:lang w:val="en-US" w:eastAsia="zh-CN"/>
          <w14:textFill>
            <w14:solidFill>
              <w14:schemeClr w14:val="tx1"/>
            </w14:solidFill>
          </w14:textFill>
        </w:rPr>
        <w:t>23.5亿元、</w:t>
      </w:r>
      <w:r>
        <w:rPr>
          <w:rFonts w:hint="default" w:hAnsi="仿宋_GB2312" w:cs="仿宋_GB2312"/>
          <w:color w:val="000000" w:themeColor="text1"/>
          <w:kern w:val="0"/>
          <w:szCs w:val="32"/>
          <w:highlight w:val="none"/>
          <w14:textFill>
            <w14:solidFill>
              <w14:schemeClr w14:val="tx1"/>
            </w14:solidFill>
          </w14:textFill>
        </w:rPr>
        <w:t>原特区外市政排水管网运维费0.</w:t>
      </w:r>
      <w:r>
        <w:rPr>
          <w:rFonts w:hint="eastAsia" w:hAnsi="仿宋_GB2312" w:cs="仿宋_GB2312"/>
          <w:color w:val="000000" w:themeColor="text1"/>
          <w:kern w:val="0"/>
          <w:szCs w:val="32"/>
          <w:highlight w:val="none"/>
          <w:lang w:val="en-US" w:eastAsia="zh-CN"/>
          <w14:textFill>
            <w14:solidFill>
              <w14:schemeClr w14:val="tx1"/>
            </w14:solidFill>
          </w14:textFill>
        </w:rPr>
        <w:t>1</w:t>
      </w:r>
      <w:r>
        <w:rPr>
          <w:rFonts w:hint="default" w:hAnsi="仿宋_GB2312" w:cs="仿宋_GB2312"/>
          <w:color w:val="000000" w:themeColor="text1"/>
          <w:kern w:val="0"/>
          <w:szCs w:val="32"/>
          <w:highlight w:val="none"/>
          <w14:textFill>
            <w14:solidFill>
              <w14:schemeClr w14:val="tx1"/>
            </w14:solidFill>
          </w14:textFill>
        </w:rPr>
        <w:t>亿元、</w:t>
      </w:r>
      <w:r>
        <w:rPr>
          <w:rFonts w:hint="eastAsia" w:hAnsi="仿宋_GB2312" w:cs="仿宋_GB2312"/>
          <w:color w:val="000000" w:themeColor="text1"/>
          <w:kern w:val="0"/>
          <w:szCs w:val="32"/>
          <w:highlight w:val="none"/>
          <w14:textFill>
            <w14:solidFill>
              <w14:schemeClr w14:val="tx1"/>
            </w14:solidFill>
          </w14:textFill>
        </w:rPr>
        <w:t>彩票</w:t>
      </w:r>
      <w:r>
        <w:rPr>
          <w:rFonts w:hAnsi="仿宋_GB2312" w:cs="仿宋_GB2312"/>
          <w:color w:val="000000" w:themeColor="text1"/>
          <w:kern w:val="0"/>
          <w:szCs w:val="32"/>
          <w:highlight w:val="none"/>
          <w14:textFill>
            <w14:solidFill>
              <w14:schemeClr w14:val="tx1"/>
            </w14:solidFill>
          </w14:textFill>
        </w:rPr>
        <w:t>公益金收入</w:t>
      </w:r>
      <w:r>
        <w:rPr>
          <w:rFonts w:hint="eastAsia" w:hAnsi="仿宋_GB2312" w:cs="仿宋_GB2312"/>
          <w:color w:val="000000" w:themeColor="text1"/>
          <w:kern w:val="0"/>
          <w:szCs w:val="32"/>
          <w:highlight w:val="none"/>
          <w:lang w:val="en-US" w:eastAsia="zh-CN"/>
          <w14:textFill>
            <w14:solidFill>
              <w14:schemeClr w14:val="tx1"/>
            </w14:solidFill>
          </w14:textFill>
        </w:rPr>
        <w:t>659</w:t>
      </w:r>
      <w:r>
        <w:rPr>
          <w:rFonts w:hint="default" w:hAnsi="仿宋_GB2312" w:cs="仿宋_GB2312"/>
          <w:color w:val="000000" w:themeColor="text1"/>
          <w:kern w:val="0"/>
          <w:szCs w:val="32"/>
          <w:highlight w:val="none"/>
          <w14:textFill>
            <w14:solidFill>
              <w14:schemeClr w14:val="tx1"/>
            </w14:solidFill>
          </w14:textFill>
        </w:rPr>
        <w:t>万元</w:t>
      </w:r>
      <w:r>
        <w:rPr>
          <w:rFonts w:hAnsi="仿宋_GB2312" w:cs="仿宋_GB2312"/>
          <w:color w:val="000000" w:themeColor="text1"/>
          <w:kern w:val="0"/>
          <w:szCs w:val="32"/>
          <w:highlight w:val="none"/>
          <w14:textFill>
            <w14:solidFill>
              <w14:schemeClr w14:val="tx1"/>
            </w14:solidFill>
          </w14:textFill>
        </w:rPr>
        <w:t>。</w:t>
      </w:r>
      <w:r>
        <w:rPr>
          <w:rFonts w:hint="eastAsia" w:hAnsi="仿宋_GB2312" w:cs="仿宋_GB2312"/>
          <w:b/>
          <w:bCs/>
          <w:color w:val="000000" w:themeColor="text1"/>
          <w:kern w:val="0"/>
          <w:szCs w:val="32"/>
          <w:highlight w:val="none"/>
          <w:lang w:eastAsia="zh-CN"/>
          <w14:textFill>
            <w14:solidFill>
              <w14:schemeClr w14:val="tx1"/>
            </w14:solidFill>
          </w14:textFill>
        </w:rPr>
        <w:t>五是</w:t>
      </w:r>
      <w:r>
        <w:rPr>
          <w:rFonts w:hint="eastAsia" w:hAnsi="仿宋_GB2312" w:cs="仿宋_GB2312"/>
          <w:color w:val="000000" w:themeColor="text1"/>
          <w:kern w:val="0"/>
          <w:szCs w:val="32"/>
          <w:highlight w:val="none"/>
          <w:lang w:eastAsia="zh-CN"/>
          <w14:textFill>
            <w14:solidFill>
              <w14:schemeClr w14:val="tx1"/>
            </w14:solidFill>
          </w14:textFill>
        </w:rPr>
        <w:t>国有资本经营预算转移支付收入</w:t>
      </w:r>
      <w:r>
        <w:rPr>
          <w:rFonts w:hint="eastAsia" w:hAnsi="仿宋_GB2312" w:cs="仿宋_GB2312"/>
          <w:color w:val="000000" w:themeColor="text1"/>
          <w:kern w:val="0"/>
          <w:szCs w:val="32"/>
          <w:highlight w:val="none"/>
          <w:lang w:val="en-US" w:eastAsia="zh-CN"/>
          <w14:textFill>
            <w14:solidFill>
              <w14:schemeClr w14:val="tx1"/>
            </w14:solidFill>
          </w14:textFill>
        </w:rPr>
        <w:t>2万元，主要是国有企业退休人员社会化管理补助。</w:t>
      </w:r>
    </w:p>
    <w:p>
      <w:pPr>
        <w:keepNext w:val="0"/>
        <w:keepLines w:val="0"/>
        <w:pageBreakBefore w:val="0"/>
        <w:widowControl w:val="0"/>
        <w:shd w:val="clear" w:color="auto" w:fill="FFFFFF"/>
        <w:kinsoku/>
        <w:wordWrap/>
        <w:overflowPunct/>
        <w:topLinePunct w:val="0"/>
        <w:bidi w:val="0"/>
        <w:spacing w:line="560" w:lineRule="exact"/>
        <w:ind w:firstLine="628"/>
        <w:jc w:val="left"/>
        <w:textAlignment w:val="auto"/>
        <w:rPr>
          <w:rFonts w:hAnsi="仿宋_GB2312" w:cs="仿宋_GB2312"/>
          <w:color w:val="000000" w:themeColor="text1"/>
          <w:kern w:val="0"/>
          <w:szCs w:val="32"/>
          <w14:textFill>
            <w14:solidFill>
              <w14:schemeClr w14:val="tx1"/>
            </w14:solidFill>
          </w14:textFill>
        </w:rPr>
      </w:pPr>
      <w:r>
        <w:rPr>
          <w:rFonts w:hint="eastAsia" w:hAnsi="仿宋_GB2312" w:cs="仿宋_GB2312"/>
          <w:color w:val="000000" w:themeColor="text1"/>
          <w:kern w:val="0"/>
          <w:szCs w:val="32"/>
          <w14:textFill>
            <w14:solidFill>
              <w14:schemeClr w14:val="tx1"/>
            </w14:solidFill>
          </w14:textFill>
        </w:rPr>
        <w:t>202</w:t>
      </w:r>
      <w:r>
        <w:rPr>
          <w:rFonts w:hint="eastAsia" w:hAnsi="仿宋_GB2312" w:cs="仿宋_GB2312"/>
          <w:color w:val="000000" w:themeColor="text1"/>
          <w:kern w:val="0"/>
          <w:szCs w:val="32"/>
          <w:lang w:val="en-US" w:eastAsia="zh-CN"/>
          <w14:textFill>
            <w14:solidFill>
              <w14:schemeClr w14:val="tx1"/>
            </w14:solidFill>
          </w14:textFill>
        </w:rPr>
        <w:t>3</w:t>
      </w:r>
      <w:r>
        <w:rPr>
          <w:rFonts w:hint="eastAsia" w:hAnsi="仿宋_GB2312" w:cs="仿宋_GB2312"/>
          <w:color w:val="000000" w:themeColor="text1"/>
          <w:kern w:val="0"/>
          <w:szCs w:val="32"/>
          <w14:textFill>
            <w14:solidFill>
              <w14:schemeClr w14:val="tx1"/>
            </w14:solidFill>
          </w14:textFill>
        </w:rPr>
        <w:t>年新区本级无向下级安排财政转移支付资金。</w:t>
      </w:r>
    </w:p>
    <w:p>
      <w:pPr>
        <w:keepNext w:val="0"/>
        <w:keepLines w:val="0"/>
        <w:pageBreakBefore w:val="0"/>
        <w:widowControl w:val="0"/>
        <w:shd w:val="clear" w:color="auto" w:fill="FFFFFF"/>
        <w:kinsoku/>
        <w:wordWrap/>
        <w:overflowPunct/>
        <w:topLinePunct w:val="0"/>
        <w:bidi w:val="0"/>
        <w:spacing w:line="560" w:lineRule="exact"/>
        <w:ind w:firstLine="628"/>
        <w:jc w:val="left"/>
        <w:textAlignment w:val="auto"/>
        <w:outlineLvl w:val="3"/>
        <w:rPr>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二、</w:t>
      </w:r>
      <w:r>
        <w:rPr>
          <w:rFonts w:hint="eastAsia" w:ascii="黑体" w:hAnsi="黑体" w:eastAsia="黑体" w:cs="黑体"/>
          <w:color w:val="000000" w:themeColor="text1"/>
          <w:szCs w:val="32"/>
          <w14:textFill>
            <w14:solidFill>
              <w14:schemeClr w14:val="tx1"/>
            </w14:solidFill>
          </w14:textFill>
        </w:rPr>
        <w:t>关于“三公”经费预算控制情况</w:t>
      </w:r>
    </w:p>
    <w:p>
      <w:pPr>
        <w:keepNext w:val="0"/>
        <w:keepLines w:val="0"/>
        <w:pageBreakBefore w:val="0"/>
        <w:widowControl w:val="0"/>
        <w:kinsoku/>
        <w:wordWrap/>
        <w:overflowPunct/>
        <w:topLinePunct w:val="0"/>
        <w:bidi w:val="0"/>
        <w:spacing w:line="560" w:lineRule="exact"/>
        <w:ind w:firstLine="628"/>
        <w:jc w:val="both"/>
        <w:textAlignment w:val="auto"/>
        <w:rPr>
          <w:rFonts w:hint="eastAsia" w:hAnsi="仿宋_GB2312" w:cs="仿宋_GB2312"/>
          <w:color w:val="000000"/>
          <w:kern w:val="0"/>
          <w:szCs w:val="32"/>
          <w:highlight w:val="none"/>
        </w:rPr>
      </w:pPr>
      <w:r>
        <w:rPr>
          <w:rFonts w:hint="eastAsia" w:hAnsi="仿宋_GB2312" w:cs="仿宋_GB2312"/>
          <w:color w:val="000000"/>
          <w:kern w:val="0"/>
          <w:szCs w:val="32"/>
        </w:rPr>
        <w:t>大鹏新区202</w:t>
      </w:r>
      <w:r>
        <w:rPr>
          <w:rFonts w:hint="eastAsia" w:hAnsi="仿宋_GB2312" w:cs="仿宋_GB2312"/>
          <w:color w:val="000000"/>
          <w:kern w:val="0"/>
          <w:szCs w:val="32"/>
          <w:lang w:val="en-US" w:eastAsia="zh-CN"/>
        </w:rPr>
        <w:t>3</w:t>
      </w:r>
      <w:r>
        <w:rPr>
          <w:rFonts w:hint="eastAsia" w:hAnsi="仿宋_GB2312" w:cs="仿宋_GB2312"/>
          <w:color w:val="000000"/>
          <w:kern w:val="0"/>
          <w:szCs w:val="32"/>
        </w:rPr>
        <w:t>年“三公”经费预算数为0.</w:t>
      </w:r>
      <w:r>
        <w:rPr>
          <w:rFonts w:hint="eastAsia" w:hAnsi="仿宋_GB2312" w:cs="仿宋_GB2312"/>
          <w:color w:val="000000"/>
          <w:kern w:val="0"/>
          <w:szCs w:val="32"/>
          <w:lang w:val="en-US" w:eastAsia="zh-CN"/>
        </w:rPr>
        <w:t>25</w:t>
      </w:r>
      <w:r>
        <w:rPr>
          <w:rFonts w:hint="eastAsia" w:hAnsi="仿宋_GB2312" w:cs="仿宋_GB2312"/>
          <w:color w:val="000000"/>
          <w:kern w:val="0"/>
          <w:szCs w:val="32"/>
        </w:rPr>
        <w:t>亿元，较202</w:t>
      </w:r>
      <w:r>
        <w:rPr>
          <w:rFonts w:hint="eastAsia" w:hAnsi="仿宋_GB2312" w:cs="仿宋_GB2312"/>
          <w:color w:val="000000"/>
          <w:kern w:val="0"/>
          <w:szCs w:val="32"/>
          <w:lang w:val="en-US" w:eastAsia="zh-CN"/>
        </w:rPr>
        <w:t>2</w:t>
      </w:r>
      <w:r>
        <w:rPr>
          <w:rFonts w:hint="eastAsia" w:hAnsi="仿宋_GB2312" w:cs="仿宋_GB2312"/>
          <w:color w:val="000000"/>
          <w:kern w:val="0"/>
          <w:szCs w:val="32"/>
        </w:rPr>
        <w:t>年</w:t>
      </w:r>
      <w:r>
        <w:rPr>
          <w:rFonts w:hint="eastAsia" w:hAnsi="仿宋_GB2312" w:cs="仿宋_GB2312"/>
          <w:color w:val="000000"/>
          <w:kern w:val="0"/>
          <w:szCs w:val="32"/>
          <w:lang w:eastAsia="zh-CN"/>
        </w:rPr>
        <w:t>增加</w:t>
      </w:r>
      <w:r>
        <w:rPr>
          <w:rFonts w:hint="eastAsia" w:hAnsi="仿宋_GB2312" w:cs="仿宋_GB2312"/>
          <w:color w:val="000000"/>
          <w:kern w:val="0"/>
          <w:szCs w:val="32"/>
        </w:rPr>
        <w:t>0.0</w:t>
      </w:r>
      <w:r>
        <w:rPr>
          <w:rFonts w:hint="eastAsia" w:hAnsi="仿宋_GB2312" w:cs="仿宋_GB2312"/>
          <w:color w:val="000000"/>
          <w:kern w:val="0"/>
          <w:szCs w:val="32"/>
          <w:lang w:val="en-US" w:eastAsia="zh-CN"/>
        </w:rPr>
        <w:t>9</w:t>
      </w:r>
      <w:r>
        <w:rPr>
          <w:rFonts w:hint="eastAsia" w:hAnsi="仿宋_GB2312" w:cs="仿宋_GB2312"/>
          <w:color w:val="000000"/>
          <w:kern w:val="0"/>
          <w:szCs w:val="32"/>
        </w:rPr>
        <w:t>亿元，</w:t>
      </w:r>
      <w:r>
        <w:rPr>
          <w:rFonts w:hint="eastAsia" w:hAnsi="仿宋_GB2312" w:cs="仿宋_GB2312"/>
          <w:color w:val="000000"/>
          <w:kern w:val="0"/>
          <w:szCs w:val="32"/>
          <w:lang w:eastAsia="zh-CN"/>
        </w:rPr>
        <w:t>增加</w:t>
      </w:r>
      <w:r>
        <w:rPr>
          <w:rFonts w:hint="eastAsia" w:hAnsi="仿宋_GB2312" w:cs="仿宋_GB2312"/>
          <w:color w:val="000000"/>
          <w:kern w:val="0"/>
          <w:szCs w:val="32"/>
          <w:lang w:val="en-US" w:eastAsia="zh-CN"/>
        </w:rPr>
        <w:t>50</w:t>
      </w:r>
      <w:r>
        <w:rPr>
          <w:rFonts w:hint="eastAsia" w:hAnsi="仿宋_GB2312" w:cs="仿宋_GB2312"/>
          <w:color w:val="000000"/>
          <w:kern w:val="0"/>
          <w:szCs w:val="32"/>
        </w:rPr>
        <w:t>.</w:t>
      </w:r>
      <w:r>
        <w:rPr>
          <w:rFonts w:hint="eastAsia" w:hAnsi="仿宋_GB2312" w:cs="仿宋_GB2312"/>
          <w:color w:val="000000"/>
          <w:kern w:val="0"/>
          <w:szCs w:val="32"/>
          <w:lang w:val="en-US" w:eastAsia="zh-CN"/>
        </w:rPr>
        <w:t>9</w:t>
      </w:r>
      <w:r>
        <w:rPr>
          <w:rFonts w:hint="eastAsia" w:hAnsi="仿宋_GB2312" w:cs="仿宋_GB2312"/>
          <w:color w:val="000000"/>
          <w:kern w:val="0"/>
          <w:szCs w:val="32"/>
        </w:rPr>
        <w:t>%。其中：因公出国（境）费0元</w:t>
      </w:r>
      <w:r>
        <w:rPr>
          <w:rFonts w:hint="default" w:hAnsi="仿宋_GB2312" w:cs="仿宋_GB2312"/>
          <w:color w:val="000000"/>
          <w:kern w:val="0"/>
          <w:szCs w:val="32"/>
          <w:lang w:val="en"/>
        </w:rPr>
        <w:t>（</w:t>
      </w:r>
      <w:r>
        <w:rPr>
          <w:rFonts w:hAnsi="仿宋_GB2312" w:cs="仿宋_GB2312"/>
          <w:color w:val="000000"/>
          <w:kern w:val="0"/>
          <w:szCs w:val="32"/>
        </w:rPr>
        <w:t>不单独编制年初预算，确需开展相关公务活动，走临时请款相关审批流程</w:t>
      </w:r>
      <w:r>
        <w:rPr>
          <w:rFonts w:hint="default" w:hAnsi="仿宋_GB2312" w:cs="仿宋_GB2312"/>
          <w:color w:val="000000"/>
          <w:kern w:val="0"/>
          <w:szCs w:val="32"/>
          <w:lang w:val="en"/>
        </w:rPr>
        <w:t>）</w:t>
      </w:r>
      <w:r>
        <w:rPr>
          <w:rFonts w:hint="eastAsia" w:hAnsi="仿宋_GB2312" w:cs="仿宋_GB2312"/>
          <w:color w:val="000000"/>
          <w:kern w:val="0"/>
          <w:szCs w:val="32"/>
          <w:lang w:eastAsia="zh-CN"/>
        </w:rPr>
        <w:t>；</w:t>
      </w:r>
      <w:r>
        <w:rPr>
          <w:rFonts w:hint="eastAsia" w:hAnsi="仿宋_GB2312" w:cs="仿宋_GB2312"/>
          <w:color w:val="000000"/>
          <w:kern w:val="0"/>
          <w:szCs w:val="32"/>
        </w:rPr>
        <w:t>公务接待费</w:t>
      </w:r>
      <w:r>
        <w:rPr>
          <w:rFonts w:hint="eastAsia" w:hAnsi="仿宋_GB2312" w:cs="仿宋_GB2312"/>
          <w:color w:val="000000"/>
          <w:kern w:val="0"/>
          <w:szCs w:val="32"/>
          <w:lang w:val="en-US" w:eastAsia="zh-CN"/>
        </w:rPr>
        <w:t>54万</w:t>
      </w:r>
      <w:r>
        <w:rPr>
          <w:rFonts w:hint="eastAsia" w:hAnsi="仿宋_GB2312" w:cs="仿宋_GB2312"/>
          <w:color w:val="000000"/>
          <w:kern w:val="0"/>
          <w:szCs w:val="32"/>
        </w:rPr>
        <w:t>元；</w:t>
      </w:r>
      <w:r>
        <w:rPr>
          <w:rFonts w:hint="eastAsia" w:hAnsi="仿宋_GB2312" w:cs="仿宋_GB2312"/>
          <w:color w:val="000000"/>
          <w:kern w:val="0"/>
          <w:szCs w:val="32"/>
          <w:highlight w:val="none"/>
        </w:rPr>
        <w:t>公务用车购置及运行维护费0.</w:t>
      </w:r>
      <w:r>
        <w:rPr>
          <w:rFonts w:hint="eastAsia" w:hAnsi="仿宋_GB2312" w:cs="仿宋_GB2312"/>
          <w:color w:val="000000"/>
          <w:kern w:val="0"/>
          <w:szCs w:val="32"/>
          <w:highlight w:val="none"/>
          <w:lang w:val="en-US" w:eastAsia="zh-CN"/>
        </w:rPr>
        <w:t>25</w:t>
      </w:r>
      <w:r>
        <w:rPr>
          <w:rFonts w:hint="eastAsia" w:hAnsi="仿宋_GB2312" w:cs="仿宋_GB2312"/>
          <w:color w:val="000000"/>
          <w:kern w:val="0"/>
          <w:szCs w:val="32"/>
          <w:highlight w:val="none"/>
        </w:rPr>
        <w:t>亿元，</w:t>
      </w:r>
      <w:r>
        <w:rPr>
          <w:rFonts w:hint="eastAsia" w:hAnsi="仿宋_GB2312" w:cs="仿宋_GB2312"/>
          <w:color w:val="000000"/>
          <w:kern w:val="0"/>
          <w:szCs w:val="32"/>
          <w:highlight w:val="none"/>
          <w:lang w:eastAsia="zh-CN"/>
        </w:rPr>
        <w:t>主要是</w:t>
      </w:r>
      <w:r>
        <w:rPr>
          <w:rFonts w:hint="eastAsia" w:hAnsi="仿宋_GB2312" w:cs="仿宋_GB2312"/>
          <w:color w:val="000000"/>
          <w:kern w:val="0"/>
          <w:szCs w:val="32"/>
          <w:highlight w:val="none"/>
        </w:rPr>
        <w:t>公务用车运行维护费0.1</w:t>
      </w:r>
      <w:r>
        <w:rPr>
          <w:rFonts w:hint="eastAsia" w:hAnsi="仿宋_GB2312" w:cs="仿宋_GB2312"/>
          <w:color w:val="000000"/>
          <w:kern w:val="0"/>
          <w:szCs w:val="32"/>
          <w:highlight w:val="none"/>
          <w:lang w:val="en-US" w:eastAsia="zh-CN"/>
        </w:rPr>
        <w:t>6</w:t>
      </w:r>
      <w:r>
        <w:rPr>
          <w:rFonts w:hint="eastAsia" w:hAnsi="仿宋_GB2312" w:cs="仿宋_GB2312"/>
          <w:color w:val="000000"/>
          <w:kern w:val="0"/>
          <w:szCs w:val="32"/>
          <w:highlight w:val="none"/>
        </w:rPr>
        <w:t>亿元</w:t>
      </w:r>
      <w:r>
        <w:rPr>
          <w:rFonts w:hint="eastAsia" w:hAnsi="仿宋_GB2312" w:cs="仿宋_GB2312"/>
          <w:color w:val="000000"/>
          <w:kern w:val="0"/>
          <w:szCs w:val="32"/>
          <w:highlight w:val="none"/>
          <w:lang w:eastAsia="zh-CN"/>
        </w:rPr>
        <w:t>、</w:t>
      </w:r>
      <w:r>
        <w:rPr>
          <w:rFonts w:hint="eastAsia" w:hAnsi="仿宋_GB2312" w:cs="仿宋_GB2312"/>
          <w:color w:val="000000"/>
          <w:kern w:val="0"/>
          <w:szCs w:val="32"/>
          <w:highlight w:val="none"/>
        </w:rPr>
        <w:t>公务用车购置费0.0</w:t>
      </w:r>
      <w:r>
        <w:rPr>
          <w:rFonts w:hint="eastAsia" w:hAnsi="仿宋_GB2312" w:cs="仿宋_GB2312"/>
          <w:color w:val="000000"/>
          <w:kern w:val="0"/>
          <w:szCs w:val="32"/>
          <w:highlight w:val="none"/>
          <w:lang w:val="en-US" w:eastAsia="zh-CN"/>
        </w:rPr>
        <w:t>9</w:t>
      </w:r>
      <w:r>
        <w:rPr>
          <w:rFonts w:hint="eastAsia" w:hAnsi="仿宋_GB2312" w:cs="仿宋_GB2312"/>
          <w:color w:val="000000"/>
          <w:kern w:val="0"/>
          <w:szCs w:val="32"/>
          <w:highlight w:val="none"/>
        </w:rPr>
        <w:t>亿元</w:t>
      </w:r>
      <w:r>
        <w:rPr>
          <w:rFonts w:hint="eastAsia" w:hAnsi="仿宋_GB2312" w:cs="仿宋_GB2312"/>
          <w:color w:val="000000"/>
          <w:kern w:val="0"/>
          <w:szCs w:val="32"/>
          <w:highlight w:val="none"/>
          <w:lang w:eastAsia="zh-CN"/>
        </w:rPr>
        <w:t>，</w:t>
      </w:r>
      <w:r>
        <w:rPr>
          <w:rFonts w:hint="eastAsia" w:hAnsi="仿宋_GB2312" w:cs="仿宋_GB2312"/>
          <w:color w:val="000000"/>
          <w:kern w:val="0"/>
          <w:szCs w:val="32"/>
          <w:highlight w:val="none"/>
        </w:rPr>
        <w:t>根据《大鹏新区管委会二</w:t>
      </w:r>
      <w:r>
        <w:rPr>
          <w:rFonts w:hint="default" w:hAnsi="仿宋_GB2312" w:cs="仿宋_GB2312"/>
          <w:color w:val="000000"/>
          <w:kern w:val="0"/>
          <w:szCs w:val="32"/>
          <w:highlight w:val="none"/>
        </w:rPr>
        <w:t>〇</w:t>
      </w:r>
      <w:r>
        <w:rPr>
          <w:rFonts w:hint="eastAsia" w:hAnsi="仿宋_GB2312" w:cs="仿宋_GB2312"/>
          <w:color w:val="000000"/>
          <w:kern w:val="0"/>
          <w:szCs w:val="32"/>
          <w:highlight w:val="none"/>
        </w:rPr>
        <w:t>二二年第十三次常务会议纪要》配置1辆特种专业技术用车，强制报废更换4台新车，采购4台公务用车及15辆执法执勤车。具体情况见下表：</w:t>
      </w:r>
    </w:p>
    <w:p>
      <w:pPr>
        <w:adjustRightInd w:val="0"/>
        <w:snapToGrid w:val="0"/>
        <w:spacing w:afterLines="50" w:line="560" w:lineRule="exact"/>
        <w:ind w:firstLine="560"/>
        <w:jc w:val="center"/>
        <w:rPr>
          <w:rFonts w:hAnsi="Calibri"/>
          <w:b/>
          <w:bCs/>
          <w:color w:val="auto"/>
          <w:spacing w:val="0"/>
          <w:kern w:val="2"/>
          <w:sz w:val="28"/>
          <w:szCs w:val="28"/>
        </w:rPr>
      </w:pPr>
      <w:r>
        <w:rPr>
          <w:rFonts w:hint="eastAsia" w:hAnsi="Calibri"/>
          <w:b/>
          <w:bCs/>
          <w:color w:val="auto"/>
          <w:spacing w:val="0"/>
          <w:kern w:val="2"/>
          <w:sz w:val="28"/>
          <w:szCs w:val="28"/>
        </w:rPr>
        <w:t>202</w:t>
      </w:r>
      <w:r>
        <w:rPr>
          <w:rFonts w:hint="eastAsia" w:hAnsi="Calibri"/>
          <w:b/>
          <w:bCs/>
          <w:color w:val="auto"/>
          <w:spacing w:val="0"/>
          <w:kern w:val="2"/>
          <w:sz w:val="28"/>
          <w:szCs w:val="28"/>
          <w:lang w:val="en-US" w:eastAsia="zh-CN"/>
        </w:rPr>
        <w:t>3</w:t>
      </w:r>
      <w:r>
        <w:rPr>
          <w:rFonts w:hint="eastAsia" w:hAnsi="Calibri"/>
          <w:b/>
          <w:bCs/>
          <w:color w:val="auto"/>
          <w:spacing w:val="0"/>
          <w:kern w:val="2"/>
          <w:sz w:val="28"/>
          <w:szCs w:val="28"/>
        </w:rPr>
        <w:t>年“三公”经费预算控制数情况表</w:t>
      </w:r>
    </w:p>
    <w:tbl>
      <w:tblPr>
        <w:tblStyle w:val="15"/>
        <w:tblW w:w="7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1"/>
        <w:gridCol w:w="1701"/>
        <w:gridCol w:w="1701"/>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361" w:type="dxa"/>
            <w:noWrap w:val="0"/>
            <w:vAlign w:val="center"/>
          </w:tcPr>
          <w:p>
            <w:pPr>
              <w:spacing w:line="240" w:lineRule="auto"/>
              <w:ind w:firstLine="0" w:firstLineChars="0"/>
              <w:jc w:val="center"/>
              <w:rPr>
                <w:rFonts w:hAnsi="仿宋_GB2312" w:cs="仿宋_GB2312"/>
                <w:color w:val="auto"/>
                <w:spacing w:val="0"/>
                <w:kern w:val="0"/>
                <w:sz w:val="24"/>
                <w:szCs w:val="22"/>
              </w:rPr>
            </w:pPr>
            <w:r>
              <w:rPr>
                <w:rFonts w:hint="eastAsia" w:hAnsi="仿宋_GB2312" w:cs="仿宋_GB2312"/>
                <w:color w:val="auto"/>
                <w:spacing w:val="0"/>
                <w:kern w:val="0"/>
                <w:sz w:val="24"/>
                <w:szCs w:val="22"/>
              </w:rPr>
              <w:t>项  目</w:t>
            </w:r>
          </w:p>
        </w:tc>
        <w:tc>
          <w:tcPr>
            <w:tcW w:w="1701" w:type="dxa"/>
            <w:noWrap w:val="0"/>
            <w:vAlign w:val="center"/>
          </w:tcPr>
          <w:p>
            <w:pPr>
              <w:spacing w:line="240" w:lineRule="auto"/>
              <w:ind w:firstLine="0" w:firstLineChars="0"/>
              <w:jc w:val="center"/>
              <w:rPr>
                <w:rFonts w:hAnsi="仿宋_GB2312" w:cs="仿宋_GB2312"/>
                <w:color w:val="auto"/>
                <w:spacing w:val="0"/>
                <w:kern w:val="0"/>
                <w:sz w:val="24"/>
                <w:szCs w:val="22"/>
              </w:rPr>
            </w:pPr>
            <w:r>
              <w:rPr>
                <w:rFonts w:hint="eastAsia" w:hAnsi="仿宋_GB2312" w:cs="仿宋_GB2312"/>
                <w:color w:val="auto"/>
                <w:spacing w:val="0"/>
                <w:kern w:val="0"/>
                <w:sz w:val="24"/>
                <w:szCs w:val="22"/>
              </w:rPr>
              <w:t>202</w:t>
            </w:r>
            <w:r>
              <w:rPr>
                <w:rFonts w:hint="eastAsia" w:hAnsi="仿宋_GB2312" w:cs="仿宋_GB2312"/>
                <w:color w:val="auto"/>
                <w:spacing w:val="0"/>
                <w:kern w:val="0"/>
                <w:sz w:val="24"/>
                <w:szCs w:val="22"/>
                <w:lang w:val="en-US" w:eastAsia="zh-CN"/>
              </w:rPr>
              <w:t>3</w:t>
            </w:r>
            <w:r>
              <w:rPr>
                <w:rFonts w:hint="eastAsia" w:hAnsi="仿宋_GB2312" w:cs="仿宋_GB2312"/>
                <w:color w:val="auto"/>
                <w:spacing w:val="0"/>
                <w:kern w:val="0"/>
                <w:sz w:val="24"/>
                <w:szCs w:val="22"/>
              </w:rPr>
              <w:t>年预算</w:t>
            </w:r>
          </w:p>
          <w:p>
            <w:pPr>
              <w:spacing w:line="240" w:lineRule="auto"/>
              <w:ind w:firstLine="0" w:firstLineChars="0"/>
              <w:jc w:val="center"/>
              <w:rPr>
                <w:rFonts w:hAnsi="Calibri"/>
                <w:color w:val="auto"/>
                <w:spacing w:val="0"/>
                <w:kern w:val="2"/>
                <w:sz w:val="24"/>
                <w:szCs w:val="22"/>
              </w:rPr>
            </w:pPr>
            <w:r>
              <w:rPr>
                <w:rFonts w:hint="eastAsia" w:hAnsi="仿宋_GB2312" w:cs="仿宋_GB2312"/>
                <w:color w:val="auto"/>
                <w:spacing w:val="0"/>
                <w:kern w:val="0"/>
                <w:sz w:val="24"/>
                <w:szCs w:val="22"/>
              </w:rPr>
              <w:t>控制数（万元）</w:t>
            </w:r>
          </w:p>
        </w:tc>
        <w:tc>
          <w:tcPr>
            <w:tcW w:w="1701" w:type="dxa"/>
            <w:noWrap w:val="0"/>
            <w:vAlign w:val="center"/>
          </w:tcPr>
          <w:p>
            <w:pPr>
              <w:spacing w:line="240" w:lineRule="auto"/>
              <w:ind w:firstLine="0" w:firstLineChars="0"/>
              <w:jc w:val="center"/>
              <w:rPr>
                <w:rFonts w:hAnsi="仿宋_GB2312" w:cs="仿宋_GB2312"/>
                <w:color w:val="auto"/>
                <w:spacing w:val="0"/>
                <w:kern w:val="0"/>
                <w:sz w:val="24"/>
                <w:szCs w:val="22"/>
              </w:rPr>
            </w:pPr>
            <w:r>
              <w:rPr>
                <w:rFonts w:hint="eastAsia" w:hAnsi="仿宋_GB2312" w:cs="仿宋_GB2312"/>
                <w:color w:val="auto"/>
                <w:spacing w:val="0"/>
                <w:kern w:val="0"/>
                <w:sz w:val="24"/>
                <w:szCs w:val="22"/>
              </w:rPr>
              <w:t>202</w:t>
            </w:r>
            <w:r>
              <w:rPr>
                <w:rFonts w:hint="default" w:hAnsi="仿宋_GB2312" w:cs="仿宋_GB2312"/>
                <w:color w:val="auto"/>
                <w:spacing w:val="0"/>
                <w:kern w:val="0"/>
                <w:sz w:val="24"/>
                <w:szCs w:val="22"/>
              </w:rPr>
              <w:t>2</w:t>
            </w:r>
            <w:r>
              <w:rPr>
                <w:rFonts w:hint="eastAsia" w:hAnsi="仿宋_GB2312" w:cs="仿宋_GB2312"/>
                <w:color w:val="auto"/>
                <w:spacing w:val="0"/>
                <w:kern w:val="0"/>
                <w:sz w:val="24"/>
                <w:szCs w:val="22"/>
              </w:rPr>
              <w:t>年预算</w:t>
            </w:r>
          </w:p>
          <w:p>
            <w:pPr>
              <w:spacing w:line="240" w:lineRule="auto"/>
              <w:ind w:firstLine="0" w:firstLineChars="0"/>
              <w:jc w:val="center"/>
              <w:rPr>
                <w:rFonts w:hint="eastAsia" w:ascii="仿宋_GB2312" w:hAnsi="Calibri" w:eastAsia="仿宋_GB2312" w:cs="Times New Roman"/>
                <w:color w:val="auto"/>
                <w:spacing w:val="0"/>
                <w:kern w:val="2"/>
                <w:sz w:val="24"/>
                <w:szCs w:val="22"/>
                <w:lang w:val="en-US" w:eastAsia="zh-CN" w:bidi="ar-SA"/>
              </w:rPr>
            </w:pPr>
            <w:r>
              <w:rPr>
                <w:rFonts w:hint="eastAsia" w:hAnsi="仿宋_GB2312" w:cs="仿宋_GB2312"/>
                <w:color w:val="auto"/>
                <w:spacing w:val="0"/>
                <w:kern w:val="0"/>
                <w:sz w:val="24"/>
                <w:szCs w:val="22"/>
              </w:rPr>
              <w:t>控制数（万元）</w:t>
            </w:r>
          </w:p>
        </w:tc>
        <w:tc>
          <w:tcPr>
            <w:tcW w:w="983" w:type="dxa"/>
            <w:noWrap w:val="0"/>
            <w:vAlign w:val="center"/>
          </w:tcPr>
          <w:p>
            <w:pPr>
              <w:spacing w:line="240" w:lineRule="auto"/>
              <w:ind w:firstLine="0" w:firstLineChars="0"/>
              <w:jc w:val="center"/>
              <w:rPr>
                <w:rFonts w:hAnsi="仿宋_GB2312" w:cs="仿宋_GB2312"/>
                <w:color w:val="auto"/>
                <w:spacing w:val="0"/>
                <w:kern w:val="0"/>
                <w:sz w:val="24"/>
                <w:szCs w:val="22"/>
              </w:rPr>
            </w:pPr>
            <w:r>
              <w:rPr>
                <w:rFonts w:hint="eastAsia" w:hAnsi="仿宋_GB2312" w:cs="仿宋_GB2312"/>
                <w:color w:val="auto"/>
                <w:spacing w:val="0"/>
                <w:kern w:val="0"/>
                <w:sz w:val="24"/>
                <w:szCs w:val="22"/>
              </w:rPr>
              <w:t>增减幅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61" w:type="dxa"/>
            <w:noWrap w:val="0"/>
            <w:vAlign w:val="center"/>
          </w:tcPr>
          <w:p>
            <w:pPr>
              <w:spacing w:line="240" w:lineRule="auto"/>
              <w:ind w:firstLine="0" w:firstLineChars="0"/>
              <w:jc w:val="center"/>
              <w:rPr>
                <w:rFonts w:hAnsi="仿宋_GB2312" w:cs="仿宋_GB2312"/>
                <w:color w:val="auto"/>
                <w:spacing w:val="0"/>
                <w:kern w:val="0"/>
                <w:sz w:val="24"/>
                <w:szCs w:val="22"/>
              </w:rPr>
            </w:pPr>
            <w:r>
              <w:rPr>
                <w:rFonts w:hint="eastAsia" w:hAnsi="仿宋_GB2312" w:cs="仿宋_GB2312"/>
                <w:color w:val="auto"/>
                <w:spacing w:val="0"/>
                <w:kern w:val="0"/>
                <w:sz w:val="24"/>
                <w:szCs w:val="22"/>
              </w:rPr>
              <w:t>合   计</w:t>
            </w:r>
          </w:p>
        </w:tc>
        <w:tc>
          <w:tcPr>
            <w:tcW w:w="1701" w:type="dxa"/>
            <w:noWrap w:val="0"/>
            <w:vAlign w:val="center"/>
          </w:tcPr>
          <w:p>
            <w:pPr>
              <w:spacing w:line="240" w:lineRule="auto"/>
              <w:ind w:firstLine="0" w:firstLineChars="0"/>
              <w:jc w:val="center"/>
              <w:rPr>
                <w:rFonts w:hint="default" w:hAnsi="Calibri" w:eastAsia="仿宋_GB2312"/>
                <w:color w:val="auto"/>
                <w:spacing w:val="0"/>
                <w:kern w:val="2"/>
                <w:sz w:val="24"/>
                <w:szCs w:val="22"/>
                <w:lang w:val="en-US" w:eastAsia="zh-CN"/>
              </w:rPr>
            </w:pPr>
            <w:r>
              <w:rPr>
                <w:rFonts w:hint="eastAsia" w:hAnsi="Calibri"/>
                <w:color w:val="auto"/>
                <w:spacing w:val="0"/>
                <w:kern w:val="2"/>
                <w:sz w:val="24"/>
                <w:szCs w:val="22"/>
                <w:lang w:val="en-US" w:eastAsia="zh-CN"/>
              </w:rPr>
              <w:t>2,546</w:t>
            </w:r>
          </w:p>
        </w:tc>
        <w:tc>
          <w:tcPr>
            <w:tcW w:w="1701" w:type="dxa"/>
            <w:noWrap w:val="0"/>
            <w:vAlign w:val="center"/>
          </w:tcPr>
          <w:p>
            <w:pPr>
              <w:spacing w:line="240" w:lineRule="auto"/>
              <w:ind w:firstLine="0" w:firstLineChars="0"/>
              <w:jc w:val="center"/>
              <w:rPr>
                <w:rFonts w:hint="default" w:ascii="仿宋_GB2312" w:hAnsi="Calibri" w:eastAsia="仿宋_GB2312" w:cs="Times New Roman"/>
                <w:color w:val="auto"/>
                <w:spacing w:val="0"/>
                <w:kern w:val="2"/>
                <w:sz w:val="24"/>
                <w:szCs w:val="22"/>
                <w:lang w:val="en-US" w:eastAsia="zh-CN" w:bidi="ar-SA"/>
              </w:rPr>
            </w:pPr>
            <w:r>
              <w:rPr>
                <w:rFonts w:hint="default" w:hAnsi="仿宋_GB2312" w:cs="仿宋_GB2312"/>
                <w:color w:val="auto"/>
                <w:spacing w:val="0"/>
                <w:kern w:val="0"/>
                <w:sz w:val="24"/>
                <w:szCs w:val="22"/>
              </w:rPr>
              <w:t>1</w:t>
            </w:r>
            <w:r>
              <w:rPr>
                <w:rFonts w:hint="eastAsia" w:hAnsi="仿宋_GB2312" w:cs="仿宋_GB2312"/>
                <w:color w:val="auto"/>
                <w:spacing w:val="0"/>
                <w:kern w:val="0"/>
                <w:sz w:val="24"/>
                <w:szCs w:val="22"/>
              </w:rPr>
              <w:t>,</w:t>
            </w:r>
            <w:r>
              <w:rPr>
                <w:rFonts w:hint="default" w:hAnsi="仿宋_GB2312" w:cs="仿宋_GB2312"/>
                <w:color w:val="auto"/>
                <w:spacing w:val="0"/>
                <w:kern w:val="0"/>
                <w:sz w:val="24"/>
                <w:szCs w:val="22"/>
              </w:rPr>
              <w:t>687</w:t>
            </w:r>
          </w:p>
        </w:tc>
        <w:tc>
          <w:tcPr>
            <w:tcW w:w="983" w:type="dxa"/>
            <w:noWrap w:val="0"/>
            <w:vAlign w:val="center"/>
          </w:tcPr>
          <w:p>
            <w:pPr>
              <w:spacing w:line="240" w:lineRule="auto"/>
              <w:ind w:firstLine="0" w:firstLineChars="0"/>
              <w:jc w:val="center"/>
              <w:rPr>
                <w:rFonts w:hAnsi="仿宋_GB2312" w:cs="仿宋_GB2312"/>
                <w:color w:val="auto"/>
                <w:spacing w:val="0"/>
                <w:kern w:val="2"/>
                <w:sz w:val="24"/>
                <w:szCs w:val="22"/>
              </w:rPr>
            </w:pPr>
            <w:r>
              <w:rPr>
                <w:rFonts w:hint="eastAsia" w:hAnsi="仿宋_GB2312" w:cs="仿宋_GB2312"/>
                <w:color w:val="auto"/>
                <w:spacing w:val="0"/>
                <w:kern w:val="2"/>
                <w:sz w:val="24"/>
                <w:szCs w:val="22"/>
                <w:lang w:val="en-US" w:eastAsia="zh-CN"/>
              </w:rPr>
              <w:t>50</w:t>
            </w:r>
            <w:r>
              <w:rPr>
                <w:rFonts w:hint="default" w:hAnsi="仿宋_GB2312" w:cs="仿宋_GB2312"/>
                <w:color w:val="auto"/>
                <w:spacing w:val="0"/>
                <w:kern w:val="2"/>
                <w:sz w:val="24"/>
                <w:szCs w:val="22"/>
              </w:rPr>
              <w:t>.</w:t>
            </w:r>
            <w:r>
              <w:rPr>
                <w:rFonts w:hint="eastAsia" w:hAnsi="仿宋_GB2312" w:cs="仿宋_GB2312"/>
                <w:color w:val="auto"/>
                <w:spacing w:val="0"/>
                <w:kern w:val="2"/>
                <w:sz w:val="24"/>
                <w:szCs w:val="22"/>
                <w:lang w:val="en-US" w:eastAsia="zh-CN"/>
              </w:rPr>
              <w:t>9</w:t>
            </w:r>
            <w:r>
              <w:rPr>
                <w:rFonts w:hint="eastAsia" w:hAnsi="仿宋_GB2312" w:cs="仿宋_GB2312"/>
                <w:color w:val="auto"/>
                <w:spacing w:val="0"/>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3361" w:type="dxa"/>
            <w:noWrap w:val="0"/>
            <w:vAlign w:val="center"/>
          </w:tcPr>
          <w:p>
            <w:pPr>
              <w:spacing w:line="240" w:lineRule="auto"/>
              <w:ind w:firstLine="0" w:firstLineChars="0"/>
              <w:rPr>
                <w:rFonts w:hAnsi="仿宋_GB2312" w:cs="仿宋_GB2312"/>
                <w:color w:val="auto"/>
                <w:spacing w:val="0"/>
                <w:kern w:val="0"/>
                <w:sz w:val="24"/>
                <w:szCs w:val="22"/>
              </w:rPr>
            </w:pPr>
            <w:r>
              <w:rPr>
                <w:rFonts w:hint="eastAsia" w:hAnsi="仿宋_GB2312" w:cs="仿宋_GB2312"/>
                <w:color w:val="auto"/>
                <w:spacing w:val="0"/>
                <w:kern w:val="0"/>
                <w:sz w:val="24"/>
                <w:szCs w:val="22"/>
              </w:rPr>
              <w:t>1、因公出国（境）费</w:t>
            </w:r>
          </w:p>
        </w:tc>
        <w:tc>
          <w:tcPr>
            <w:tcW w:w="1701" w:type="dxa"/>
            <w:noWrap w:val="0"/>
            <w:vAlign w:val="center"/>
          </w:tcPr>
          <w:p>
            <w:pPr>
              <w:spacing w:line="240" w:lineRule="auto"/>
              <w:ind w:firstLine="0" w:firstLineChars="0"/>
              <w:jc w:val="center"/>
              <w:rPr>
                <w:rFonts w:hint="default" w:hAnsi="仿宋_GB2312" w:cs="仿宋_GB2312"/>
                <w:color w:val="auto"/>
                <w:spacing w:val="0"/>
                <w:kern w:val="0"/>
                <w:sz w:val="24"/>
                <w:szCs w:val="22"/>
              </w:rPr>
            </w:pPr>
            <w:r>
              <w:rPr>
                <w:rFonts w:hint="default" w:hAnsi="仿宋_GB2312" w:cs="仿宋_GB2312"/>
                <w:color w:val="auto"/>
                <w:spacing w:val="0"/>
                <w:kern w:val="0"/>
                <w:sz w:val="24"/>
                <w:szCs w:val="22"/>
              </w:rPr>
              <w:t>0</w:t>
            </w:r>
          </w:p>
        </w:tc>
        <w:tc>
          <w:tcPr>
            <w:tcW w:w="1701" w:type="dxa"/>
            <w:noWrap w:val="0"/>
            <w:vAlign w:val="center"/>
          </w:tcPr>
          <w:p>
            <w:pPr>
              <w:spacing w:line="240" w:lineRule="auto"/>
              <w:ind w:firstLine="0" w:firstLineChars="0"/>
              <w:jc w:val="center"/>
              <w:rPr>
                <w:rFonts w:hint="default" w:ascii="仿宋_GB2312" w:hAnsi="仿宋_GB2312" w:eastAsia="仿宋_GB2312" w:cs="仿宋_GB2312"/>
                <w:color w:val="auto"/>
                <w:spacing w:val="0"/>
                <w:kern w:val="0"/>
                <w:sz w:val="24"/>
                <w:szCs w:val="22"/>
                <w:lang w:val="en-US" w:eastAsia="zh-CN" w:bidi="ar-SA"/>
              </w:rPr>
            </w:pPr>
            <w:r>
              <w:rPr>
                <w:rFonts w:hint="default" w:hAnsi="仿宋_GB2312" w:cs="仿宋_GB2312"/>
                <w:color w:val="auto"/>
                <w:spacing w:val="0"/>
                <w:kern w:val="0"/>
                <w:sz w:val="24"/>
                <w:szCs w:val="22"/>
              </w:rPr>
              <w:t>0</w:t>
            </w:r>
          </w:p>
        </w:tc>
        <w:tc>
          <w:tcPr>
            <w:tcW w:w="983" w:type="dxa"/>
            <w:noWrap w:val="0"/>
            <w:vAlign w:val="center"/>
          </w:tcPr>
          <w:p>
            <w:pPr>
              <w:spacing w:line="240" w:lineRule="auto"/>
              <w:ind w:firstLine="0" w:firstLineChars="0"/>
              <w:jc w:val="center"/>
              <w:rPr>
                <w:rFonts w:hAnsi="仿宋_GB2312" w:cs="仿宋_GB2312"/>
                <w:color w:val="auto"/>
                <w:spacing w:val="0"/>
                <w:kern w:val="2"/>
                <w:sz w:val="24"/>
                <w:szCs w:val="22"/>
              </w:rPr>
            </w:pPr>
            <w:r>
              <w:rPr>
                <w:rFonts w:hint="eastAsia" w:hAnsi="仿宋_GB2312" w:cs="仿宋_GB2312"/>
                <w:color w:val="auto"/>
                <w:spacing w:val="0"/>
                <w:kern w:val="2"/>
                <w:sz w:val="24"/>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61" w:type="dxa"/>
            <w:noWrap w:val="0"/>
            <w:vAlign w:val="center"/>
          </w:tcPr>
          <w:p>
            <w:pPr>
              <w:spacing w:line="240" w:lineRule="auto"/>
              <w:ind w:firstLine="0" w:firstLineChars="0"/>
              <w:rPr>
                <w:rFonts w:hAnsi="仿宋_GB2312" w:cs="仿宋_GB2312"/>
                <w:color w:val="auto"/>
                <w:spacing w:val="0"/>
                <w:kern w:val="0"/>
                <w:sz w:val="24"/>
                <w:szCs w:val="22"/>
              </w:rPr>
            </w:pPr>
            <w:r>
              <w:rPr>
                <w:rFonts w:hint="eastAsia" w:hAnsi="仿宋_GB2312" w:cs="仿宋_GB2312"/>
                <w:color w:val="auto"/>
                <w:spacing w:val="0"/>
                <w:kern w:val="0"/>
                <w:sz w:val="24"/>
                <w:szCs w:val="22"/>
              </w:rPr>
              <w:t>2、公务接待费</w:t>
            </w:r>
          </w:p>
        </w:tc>
        <w:tc>
          <w:tcPr>
            <w:tcW w:w="1701" w:type="dxa"/>
            <w:noWrap w:val="0"/>
            <w:vAlign w:val="center"/>
          </w:tcPr>
          <w:p>
            <w:pPr>
              <w:spacing w:line="240" w:lineRule="auto"/>
              <w:ind w:firstLine="0" w:firstLineChars="0"/>
              <w:jc w:val="center"/>
              <w:rPr>
                <w:rFonts w:hint="default" w:hAnsi="仿宋_GB2312" w:eastAsia="仿宋_GB2312" w:cs="仿宋_GB2312"/>
                <w:color w:val="auto"/>
                <w:spacing w:val="0"/>
                <w:kern w:val="0"/>
                <w:sz w:val="24"/>
                <w:szCs w:val="22"/>
                <w:lang w:val="en-US" w:eastAsia="zh-CN"/>
              </w:rPr>
            </w:pPr>
            <w:r>
              <w:rPr>
                <w:rFonts w:hint="eastAsia" w:hAnsi="仿宋_GB2312" w:cs="仿宋_GB2312"/>
                <w:color w:val="auto"/>
                <w:spacing w:val="0"/>
                <w:kern w:val="0"/>
                <w:sz w:val="24"/>
                <w:szCs w:val="22"/>
                <w:lang w:val="en-US" w:eastAsia="zh-CN"/>
              </w:rPr>
              <w:t>54</w:t>
            </w:r>
          </w:p>
        </w:tc>
        <w:tc>
          <w:tcPr>
            <w:tcW w:w="1701" w:type="dxa"/>
            <w:noWrap w:val="0"/>
            <w:vAlign w:val="center"/>
          </w:tcPr>
          <w:p>
            <w:pPr>
              <w:spacing w:line="240" w:lineRule="auto"/>
              <w:ind w:firstLine="0" w:firstLineChars="0"/>
              <w:jc w:val="center"/>
              <w:rPr>
                <w:rFonts w:hint="default" w:ascii="仿宋_GB2312" w:hAnsi="仿宋_GB2312" w:eastAsia="仿宋_GB2312" w:cs="仿宋_GB2312"/>
                <w:color w:val="auto"/>
                <w:spacing w:val="0"/>
                <w:kern w:val="0"/>
                <w:sz w:val="24"/>
                <w:szCs w:val="22"/>
                <w:lang w:val="en-US" w:eastAsia="zh-CN" w:bidi="ar-SA"/>
              </w:rPr>
            </w:pPr>
            <w:r>
              <w:rPr>
                <w:rFonts w:hint="default" w:hAnsi="仿宋_GB2312" w:cs="仿宋_GB2312"/>
                <w:color w:val="auto"/>
                <w:spacing w:val="0"/>
                <w:kern w:val="0"/>
                <w:sz w:val="24"/>
                <w:szCs w:val="22"/>
              </w:rPr>
              <w:t>56</w:t>
            </w:r>
          </w:p>
        </w:tc>
        <w:tc>
          <w:tcPr>
            <w:tcW w:w="983" w:type="dxa"/>
            <w:noWrap w:val="0"/>
            <w:vAlign w:val="center"/>
          </w:tcPr>
          <w:p>
            <w:pPr>
              <w:spacing w:line="240" w:lineRule="auto"/>
              <w:ind w:firstLine="0" w:firstLineChars="0"/>
              <w:jc w:val="center"/>
              <w:rPr>
                <w:rFonts w:hAnsi="仿宋_GB2312" w:cs="仿宋_GB2312"/>
                <w:color w:val="auto"/>
                <w:spacing w:val="0"/>
                <w:kern w:val="2"/>
                <w:sz w:val="24"/>
                <w:szCs w:val="22"/>
              </w:rPr>
            </w:pPr>
            <w:r>
              <w:rPr>
                <w:rFonts w:hint="eastAsia" w:hAnsi="仿宋_GB2312" w:cs="仿宋_GB2312"/>
                <w:color w:val="auto"/>
                <w:spacing w:val="0"/>
                <w:kern w:val="2"/>
                <w:sz w:val="24"/>
                <w:szCs w:val="22"/>
              </w:rPr>
              <w:t>-</w:t>
            </w:r>
            <w:r>
              <w:rPr>
                <w:rFonts w:hint="eastAsia" w:hAnsi="仿宋_GB2312" w:cs="仿宋_GB2312"/>
                <w:color w:val="auto"/>
                <w:spacing w:val="0"/>
                <w:kern w:val="2"/>
                <w:sz w:val="24"/>
                <w:szCs w:val="22"/>
                <w:lang w:val="en-US" w:eastAsia="zh-CN"/>
              </w:rPr>
              <w:t>3</w:t>
            </w:r>
            <w:r>
              <w:rPr>
                <w:rFonts w:hint="default" w:hAnsi="仿宋_GB2312" w:cs="仿宋_GB2312"/>
                <w:color w:val="auto"/>
                <w:spacing w:val="0"/>
                <w:kern w:val="2"/>
                <w:sz w:val="24"/>
                <w:szCs w:val="22"/>
              </w:rPr>
              <w:t>.</w:t>
            </w:r>
            <w:r>
              <w:rPr>
                <w:rFonts w:hint="eastAsia" w:hAnsi="仿宋_GB2312" w:cs="仿宋_GB2312"/>
                <w:color w:val="auto"/>
                <w:spacing w:val="0"/>
                <w:kern w:val="2"/>
                <w:sz w:val="24"/>
                <w:szCs w:val="22"/>
                <w:lang w:val="en-US" w:eastAsia="zh-CN"/>
              </w:rPr>
              <w:t>6</w:t>
            </w:r>
            <w:r>
              <w:rPr>
                <w:rFonts w:hint="eastAsia" w:hAnsi="仿宋_GB2312" w:cs="仿宋_GB2312"/>
                <w:color w:val="auto"/>
                <w:spacing w:val="0"/>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61" w:type="dxa"/>
            <w:noWrap w:val="0"/>
            <w:vAlign w:val="center"/>
          </w:tcPr>
          <w:p>
            <w:pPr>
              <w:spacing w:line="240" w:lineRule="auto"/>
              <w:ind w:firstLine="0" w:firstLineChars="0"/>
              <w:rPr>
                <w:rFonts w:hAnsi="仿宋_GB2312" w:cs="仿宋_GB2312"/>
                <w:color w:val="auto"/>
                <w:spacing w:val="0"/>
                <w:kern w:val="0"/>
                <w:sz w:val="24"/>
                <w:szCs w:val="22"/>
              </w:rPr>
            </w:pPr>
            <w:r>
              <w:rPr>
                <w:rFonts w:hint="eastAsia" w:hAnsi="仿宋_GB2312" w:cs="仿宋_GB2312"/>
                <w:color w:val="auto"/>
                <w:spacing w:val="0"/>
                <w:kern w:val="0"/>
                <w:sz w:val="24"/>
                <w:szCs w:val="22"/>
              </w:rPr>
              <w:t>3、公务用车购置和运行维护费</w:t>
            </w:r>
          </w:p>
        </w:tc>
        <w:tc>
          <w:tcPr>
            <w:tcW w:w="1701" w:type="dxa"/>
            <w:noWrap w:val="0"/>
            <w:vAlign w:val="center"/>
          </w:tcPr>
          <w:p>
            <w:pPr>
              <w:spacing w:line="240" w:lineRule="auto"/>
              <w:ind w:firstLine="0" w:firstLineChars="0"/>
              <w:jc w:val="center"/>
              <w:rPr>
                <w:rFonts w:hint="default" w:hAnsi="仿宋_GB2312" w:eastAsia="仿宋_GB2312" w:cs="仿宋_GB2312"/>
                <w:color w:val="auto"/>
                <w:spacing w:val="0"/>
                <w:kern w:val="0"/>
                <w:sz w:val="24"/>
                <w:szCs w:val="22"/>
                <w:lang w:val="en-US" w:eastAsia="zh-CN"/>
              </w:rPr>
            </w:pPr>
            <w:r>
              <w:rPr>
                <w:rFonts w:hint="eastAsia" w:hAnsi="仿宋_GB2312" w:cs="仿宋_GB2312"/>
                <w:color w:val="auto"/>
                <w:spacing w:val="0"/>
                <w:kern w:val="0"/>
                <w:sz w:val="24"/>
                <w:szCs w:val="22"/>
                <w:lang w:val="en-US" w:eastAsia="zh-CN"/>
              </w:rPr>
              <w:t>2,492</w:t>
            </w:r>
          </w:p>
        </w:tc>
        <w:tc>
          <w:tcPr>
            <w:tcW w:w="1701" w:type="dxa"/>
            <w:noWrap w:val="0"/>
            <w:vAlign w:val="center"/>
          </w:tcPr>
          <w:p>
            <w:pPr>
              <w:spacing w:line="240" w:lineRule="auto"/>
              <w:ind w:firstLine="0" w:firstLineChars="0"/>
              <w:jc w:val="center"/>
              <w:rPr>
                <w:rFonts w:hint="default" w:ascii="仿宋_GB2312" w:hAnsi="仿宋_GB2312" w:eastAsia="仿宋_GB2312" w:cs="仿宋_GB2312"/>
                <w:color w:val="auto"/>
                <w:spacing w:val="0"/>
                <w:kern w:val="0"/>
                <w:sz w:val="24"/>
                <w:szCs w:val="22"/>
                <w:lang w:val="en-US" w:eastAsia="zh-CN" w:bidi="ar-SA"/>
              </w:rPr>
            </w:pPr>
            <w:r>
              <w:rPr>
                <w:rFonts w:hint="default" w:hAnsi="仿宋_GB2312" w:cs="仿宋_GB2312"/>
                <w:color w:val="auto"/>
                <w:spacing w:val="0"/>
                <w:kern w:val="0"/>
                <w:sz w:val="24"/>
                <w:szCs w:val="22"/>
              </w:rPr>
              <w:t>1</w:t>
            </w:r>
            <w:r>
              <w:rPr>
                <w:rFonts w:hint="eastAsia" w:hAnsi="仿宋_GB2312" w:cs="仿宋_GB2312"/>
                <w:color w:val="auto"/>
                <w:spacing w:val="0"/>
                <w:kern w:val="0"/>
                <w:sz w:val="24"/>
                <w:szCs w:val="22"/>
              </w:rPr>
              <w:t>,</w:t>
            </w:r>
            <w:r>
              <w:rPr>
                <w:rFonts w:hint="default" w:hAnsi="仿宋_GB2312" w:cs="仿宋_GB2312"/>
                <w:color w:val="auto"/>
                <w:spacing w:val="0"/>
                <w:kern w:val="0"/>
                <w:sz w:val="24"/>
                <w:szCs w:val="22"/>
              </w:rPr>
              <w:t>631</w:t>
            </w:r>
          </w:p>
        </w:tc>
        <w:tc>
          <w:tcPr>
            <w:tcW w:w="983" w:type="dxa"/>
            <w:noWrap w:val="0"/>
            <w:vAlign w:val="center"/>
          </w:tcPr>
          <w:p>
            <w:pPr>
              <w:spacing w:line="240" w:lineRule="auto"/>
              <w:ind w:firstLine="0" w:firstLineChars="0"/>
              <w:jc w:val="center"/>
              <w:rPr>
                <w:rFonts w:hAnsi="仿宋_GB2312" w:cs="仿宋_GB2312"/>
                <w:color w:val="auto"/>
                <w:spacing w:val="0"/>
                <w:kern w:val="2"/>
                <w:sz w:val="24"/>
                <w:szCs w:val="22"/>
              </w:rPr>
            </w:pPr>
            <w:r>
              <w:rPr>
                <w:rFonts w:hint="eastAsia" w:hAnsi="仿宋_GB2312" w:cs="仿宋_GB2312"/>
                <w:color w:val="auto"/>
                <w:spacing w:val="0"/>
                <w:kern w:val="2"/>
                <w:sz w:val="24"/>
                <w:szCs w:val="22"/>
                <w:lang w:val="en-US" w:eastAsia="zh-CN"/>
              </w:rPr>
              <w:t>52</w:t>
            </w:r>
            <w:r>
              <w:rPr>
                <w:rFonts w:hint="default" w:hAnsi="仿宋_GB2312" w:cs="仿宋_GB2312"/>
                <w:color w:val="auto"/>
                <w:spacing w:val="0"/>
                <w:kern w:val="2"/>
                <w:sz w:val="24"/>
                <w:szCs w:val="22"/>
              </w:rPr>
              <w:t>.</w:t>
            </w:r>
            <w:r>
              <w:rPr>
                <w:rFonts w:hint="eastAsia" w:hAnsi="仿宋_GB2312" w:cs="仿宋_GB2312"/>
                <w:color w:val="auto"/>
                <w:spacing w:val="0"/>
                <w:kern w:val="2"/>
                <w:sz w:val="24"/>
                <w:szCs w:val="22"/>
                <w:lang w:val="en-US" w:eastAsia="zh-CN"/>
              </w:rPr>
              <w:t>8</w:t>
            </w:r>
            <w:r>
              <w:rPr>
                <w:rFonts w:hint="eastAsia" w:hAnsi="仿宋_GB2312" w:cs="仿宋_GB2312"/>
                <w:color w:val="auto"/>
                <w:spacing w:val="0"/>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3361" w:type="dxa"/>
            <w:noWrap w:val="0"/>
            <w:vAlign w:val="center"/>
          </w:tcPr>
          <w:p>
            <w:pPr>
              <w:spacing w:line="240" w:lineRule="auto"/>
              <w:ind w:firstLine="360" w:firstLineChars="150"/>
              <w:rPr>
                <w:rFonts w:hAnsi="仿宋_GB2312" w:cs="仿宋_GB2312"/>
                <w:color w:val="auto"/>
                <w:spacing w:val="0"/>
                <w:kern w:val="0"/>
                <w:sz w:val="24"/>
                <w:szCs w:val="22"/>
              </w:rPr>
            </w:pPr>
            <w:r>
              <w:rPr>
                <w:rFonts w:hint="eastAsia" w:hAnsi="仿宋_GB2312" w:cs="仿宋_GB2312"/>
                <w:color w:val="auto"/>
                <w:spacing w:val="0"/>
                <w:kern w:val="0"/>
                <w:sz w:val="24"/>
                <w:szCs w:val="22"/>
              </w:rPr>
              <w:t>其中：公务用车运行维护费</w:t>
            </w:r>
          </w:p>
        </w:tc>
        <w:tc>
          <w:tcPr>
            <w:tcW w:w="1701" w:type="dxa"/>
            <w:noWrap w:val="0"/>
            <w:vAlign w:val="center"/>
          </w:tcPr>
          <w:p>
            <w:pPr>
              <w:spacing w:line="240" w:lineRule="auto"/>
              <w:ind w:firstLine="0" w:firstLineChars="0"/>
              <w:jc w:val="center"/>
              <w:rPr>
                <w:rFonts w:hint="default" w:hAnsi="仿宋_GB2312" w:eastAsia="仿宋_GB2312" w:cs="仿宋_GB2312"/>
                <w:color w:val="auto"/>
                <w:spacing w:val="0"/>
                <w:kern w:val="0"/>
                <w:sz w:val="24"/>
                <w:szCs w:val="22"/>
                <w:lang w:val="en-US" w:eastAsia="zh-CN"/>
              </w:rPr>
            </w:pPr>
            <w:r>
              <w:rPr>
                <w:rFonts w:hint="eastAsia" w:hAnsi="仿宋_GB2312" w:cs="仿宋_GB2312"/>
                <w:color w:val="auto"/>
                <w:spacing w:val="0"/>
                <w:kern w:val="0"/>
                <w:sz w:val="24"/>
                <w:szCs w:val="22"/>
                <w:lang w:val="en-US" w:eastAsia="zh-CN"/>
              </w:rPr>
              <w:t>1,577</w:t>
            </w:r>
          </w:p>
        </w:tc>
        <w:tc>
          <w:tcPr>
            <w:tcW w:w="1701" w:type="dxa"/>
            <w:noWrap w:val="0"/>
            <w:vAlign w:val="center"/>
          </w:tcPr>
          <w:p>
            <w:pPr>
              <w:spacing w:line="240" w:lineRule="auto"/>
              <w:ind w:firstLine="0" w:firstLineChars="0"/>
              <w:jc w:val="center"/>
              <w:rPr>
                <w:rFonts w:hint="eastAsia" w:ascii="仿宋_GB2312" w:hAnsi="仿宋_GB2312" w:eastAsia="仿宋_GB2312" w:cs="仿宋_GB2312"/>
                <w:color w:val="auto"/>
                <w:spacing w:val="0"/>
                <w:kern w:val="0"/>
                <w:sz w:val="24"/>
                <w:szCs w:val="22"/>
                <w:lang w:val="en-US" w:eastAsia="zh-CN" w:bidi="ar-SA"/>
              </w:rPr>
            </w:pPr>
            <w:r>
              <w:rPr>
                <w:rFonts w:hint="eastAsia" w:hAnsi="仿宋_GB2312" w:cs="仿宋_GB2312"/>
                <w:color w:val="auto"/>
                <w:spacing w:val="0"/>
                <w:kern w:val="0"/>
                <w:sz w:val="24"/>
                <w:szCs w:val="22"/>
              </w:rPr>
              <w:t>1,</w:t>
            </w:r>
            <w:r>
              <w:rPr>
                <w:rFonts w:hint="default" w:hAnsi="仿宋_GB2312" w:cs="仿宋_GB2312"/>
                <w:color w:val="auto"/>
                <w:spacing w:val="0"/>
                <w:kern w:val="0"/>
                <w:sz w:val="24"/>
                <w:szCs w:val="22"/>
              </w:rPr>
              <w:t>495</w:t>
            </w:r>
          </w:p>
        </w:tc>
        <w:tc>
          <w:tcPr>
            <w:tcW w:w="983" w:type="dxa"/>
            <w:noWrap w:val="0"/>
            <w:vAlign w:val="center"/>
          </w:tcPr>
          <w:p>
            <w:pPr>
              <w:spacing w:line="240" w:lineRule="auto"/>
              <w:ind w:firstLine="0" w:firstLineChars="0"/>
              <w:jc w:val="center"/>
              <w:rPr>
                <w:rFonts w:hAnsi="仿宋_GB2312" w:cs="仿宋_GB2312"/>
                <w:color w:val="auto"/>
                <w:spacing w:val="0"/>
                <w:kern w:val="2"/>
                <w:sz w:val="24"/>
                <w:szCs w:val="22"/>
              </w:rPr>
            </w:pPr>
            <w:r>
              <w:rPr>
                <w:rFonts w:hint="eastAsia" w:hAnsi="仿宋_GB2312" w:cs="仿宋_GB2312"/>
                <w:color w:val="auto"/>
                <w:spacing w:val="0"/>
                <w:kern w:val="2"/>
                <w:sz w:val="24"/>
                <w:szCs w:val="22"/>
                <w:lang w:val="en-US" w:eastAsia="zh-CN"/>
              </w:rPr>
              <w:t>5</w:t>
            </w:r>
            <w:r>
              <w:rPr>
                <w:rFonts w:hint="default" w:hAnsi="仿宋_GB2312" w:cs="仿宋_GB2312"/>
                <w:color w:val="auto"/>
                <w:spacing w:val="0"/>
                <w:kern w:val="2"/>
                <w:sz w:val="24"/>
                <w:szCs w:val="22"/>
              </w:rPr>
              <w:t>.</w:t>
            </w:r>
            <w:r>
              <w:rPr>
                <w:rFonts w:hint="eastAsia" w:hAnsi="仿宋_GB2312" w:cs="仿宋_GB2312"/>
                <w:color w:val="auto"/>
                <w:spacing w:val="0"/>
                <w:kern w:val="2"/>
                <w:sz w:val="24"/>
                <w:szCs w:val="22"/>
                <w:lang w:val="en-US" w:eastAsia="zh-CN"/>
              </w:rPr>
              <w:t>5</w:t>
            </w:r>
            <w:r>
              <w:rPr>
                <w:rFonts w:hint="eastAsia" w:hAnsi="仿宋_GB2312" w:cs="仿宋_GB2312"/>
                <w:color w:val="auto"/>
                <w:spacing w:val="0"/>
                <w:kern w:val="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61" w:type="dxa"/>
            <w:noWrap w:val="0"/>
            <w:vAlign w:val="center"/>
          </w:tcPr>
          <w:p>
            <w:pPr>
              <w:spacing w:line="240" w:lineRule="auto"/>
              <w:ind w:firstLine="1080" w:firstLineChars="450"/>
              <w:jc w:val="left"/>
              <w:rPr>
                <w:rFonts w:hAnsi="仿宋_GB2312" w:cs="仿宋_GB2312"/>
                <w:color w:val="auto"/>
                <w:spacing w:val="0"/>
                <w:kern w:val="0"/>
                <w:sz w:val="24"/>
                <w:szCs w:val="22"/>
              </w:rPr>
            </w:pPr>
            <w:r>
              <w:rPr>
                <w:rFonts w:hint="eastAsia" w:hAnsi="仿宋_GB2312" w:cs="仿宋_GB2312"/>
                <w:color w:val="auto"/>
                <w:spacing w:val="0"/>
                <w:kern w:val="0"/>
                <w:sz w:val="24"/>
                <w:szCs w:val="22"/>
              </w:rPr>
              <w:t>公务用车购置费</w:t>
            </w:r>
          </w:p>
        </w:tc>
        <w:tc>
          <w:tcPr>
            <w:tcW w:w="1701" w:type="dxa"/>
            <w:noWrap w:val="0"/>
            <w:vAlign w:val="center"/>
          </w:tcPr>
          <w:p>
            <w:pPr>
              <w:spacing w:line="240" w:lineRule="auto"/>
              <w:ind w:firstLine="436" w:firstLineChars="182"/>
              <w:jc w:val="left"/>
              <w:rPr>
                <w:rFonts w:hint="default" w:hAnsi="仿宋_GB2312" w:eastAsia="仿宋_GB2312" w:cs="仿宋_GB2312"/>
                <w:color w:val="auto"/>
                <w:spacing w:val="0"/>
                <w:kern w:val="0"/>
                <w:sz w:val="24"/>
                <w:szCs w:val="22"/>
                <w:lang w:val="en-US" w:eastAsia="zh-CN"/>
              </w:rPr>
            </w:pPr>
            <w:r>
              <w:rPr>
                <w:rFonts w:hint="eastAsia" w:hAnsi="仿宋_GB2312" w:cs="仿宋_GB2312"/>
                <w:color w:val="auto"/>
                <w:spacing w:val="0"/>
                <w:kern w:val="0"/>
                <w:sz w:val="24"/>
                <w:szCs w:val="22"/>
                <w:lang w:val="en-US" w:eastAsia="zh-CN"/>
              </w:rPr>
              <w:t>915</w:t>
            </w:r>
          </w:p>
        </w:tc>
        <w:tc>
          <w:tcPr>
            <w:tcW w:w="1701" w:type="dxa"/>
            <w:noWrap w:val="0"/>
            <w:vAlign w:val="center"/>
          </w:tcPr>
          <w:p>
            <w:pPr>
              <w:spacing w:line="240" w:lineRule="auto"/>
              <w:ind w:firstLine="436" w:firstLineChars="182"/>
              <w:jc w:val="left"/>
              <w:rPr>
                <w:rFonts w:hint="default" w:ascii="仿宋_GB2312" w:hAnsi="仿宋_GB2312" w:eastAsia="仿宋_GB2312" w:cs="仿宋_GB2312"/>
                <w:color w:val="auto"/>
                <w:spacing w:val="0"/>
                <w:kern w:val="0"/>
                <w:sz w:val="24"/>
                <w:szCs w:val="22"/>
                <w:lang w:val="en-US" w:eastAsia="zh-CN" w:bidi="ar-SA"/>
              </w:rPr>
            </w:pPr>
            <w:r>
              <w:rPr>
                <w:rFonts w:hint="default" w:hAnsi="仿宋_GB2312" w:cs="仿宋_GB2312"/>
                <w:color w:val="auto"/>
                <w:spacing w:val="0"/>
                <w:kern w:val="0"/>
                <w:sz w:val="24"/>
                <w:szCs w:val="22"/>
              </w:rPr>
              <w:t>136</w:t>
            </w:r>
          </w:p>
        </w:tc>
        <w:tc>
          <w:tcPr>
            <w:tcW w:w="983" w:type="dxa"/>
            <w:noWrap w:val="0"/>
            <w:vAlign w:val="center"/>
          </w:tcPr>
          <w:p>
            <w:pPr>
              <w:spacing w:line="240" w:lineRule="auto"/>
              <w:ind w:firstLine="0" w:firstLineChars="0"/>
              <w:jc w:val="left"/>
              <w:rPr>
                <w:rFonts w:hAnsi="仿宋_GB2312" w:cs="仿宋_GB2312"/>
                <w:color w:val="auto"/>
                <w:spacing w:val="0"/>
                <w:kern w:val="2"/>
                <w:sz w:val="24"/>
                <w:szCs w:val="22"/>
              </w:rPr>
            </w:pPr>
            <w:r>
              <w:rPr>
                <w:rFonts w:hint="eastAsia" w:hAnsi="仿宋_GB2312" w:cs="仿宋_GB2312"/>
                <w:color w:val="auto"/>
                <w:spacing w:val="0"/>
                <w:kern w:val="2"/>
                <w:sz w:val="24"/>
                <w:szCs w:val="22"/>
                <w:lang w:val="en-US" w:eastAsia="zh-CN"/>
              </w:rPr>
              <w:t>572</w:t>
            </w:r>
            <w:r>
              <w:rPr>
                <w:rFonts w:hint="default" w:hAnsi="仿宋_GB2312" w:cs="仿宋_GB2312"/>
                <w:color w:val="auto"/>
                <w:spacing w:val="0"/>
                <w:kern w:val="2"/>
                <w:sz w:val="24"/>
                <w:szCs w:val="22"/>
              </w:rPr>
              <w:t>.</w:t>
            </w:r>
            <w:r>
              <w:rPr>
                <w:rFonts w:hint="eastAsia" w:hAnsi="仿宋_GB2312" w:cs="仿宋_GB2312"/>
                <w:color w:val="auto"/>
                <w:spacing w:val="0"/>
                <w:kern w:val="2"/>
                <w:sz w:val="24"/>
                <w:szCs w:val="22"/>
                <w:lang w:val="en-US" w:eastAsia="zh-CN"/>
              </w:rPr>
              <w:t>8</w:t>
            </w:r>
            <w:r>
              <w:rPr>
                <w:rFonts w:hint="eastAsia" w:hAnsi="仿宋_GB2312" w:cs="仿宋_GB2312"/>
                <w:color w:val="auto"/>
                <w:spacing w:val="0"/>
                <w:kern w:val="2"/>
                <w:sz w:val="24"/>
                <w:szCs w:val="22"/>
              </w:rPr>
              <w:t>%</w:t>
            </w:r>
          </w:p>
        </w:tc>
      </w:tr>
    </w:tbl>
    <w:p>
      <w:pPr>
        <w:keepNext w:val="0"/>
        <w:keepLines w:val="0"/>
        <w:pageBreakBefore w:val="0"/>
        <w:widowControl w:val="0"/>
        <w:kinsoku/>
        <w:wordWrap/>
        <w:overflowPunct/>
        <w:topLinePunct w:val="0"/>
        <w:bidi w:val="0"/>
        <w:spacing w:line="560" w:lineRule="exact"/>
        <w:ind w:left="0" w:leftChars="0" w:firstLine="628" w:firstLineChars="200"/>
        <w:jc w:val="left"/>
        <w:textAlignment w:val="auto"/>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三、关于举借债务情况的说明</w:t>
      </w:r>
    </w:p>
    <w:p>
      <w:pPr>
        <w:keepNext w:val="0"/>
        <w:keepLines w:val="0"/>
        <w:pageBreakBefore w:val="0"/>
        <w:widowControl w:val="0"/>
        <w:kinsoku/>
        <w:wordWrap/>
        <w:overflowPunct/>
        <w:topLinePunct w:val="0"/>
        <w:bidi w:val="0"/>
        <w:spacing w:line="560" w:lineRule="exact"/>
        <w:ind w:firstLine="628"/>
        <w:jc w:val="both"/>
        <w:textAlignment w:val="auto"/>
        <w:rPr>
          <w:rFonts w:hint="default"/>
        </w:rPr>
      </w:pPr>
      <w:r>
        <w:rPr>
          <w:rFonts w:hint="eastAsia"/>
          <w:lang w:eastAsia="zh-CN"/>
        </w:rPr>
        <w:t>大鹏</w:t>
      </w:r>
      <w:r>
        <w:rPr>
          <w:rFonts w:hint="default"/>
        </w:rPr>
        <w:t>新区2020年首次发行地方政府专项债券，2020-2022年累计发行地方政府专项债券23.12亿元，其中投向水环境治理领域的债券资金共5.848亿元、产业园区基础设施领域的债券资金共6.89亿元、医疗设备购置领域的债券资金共3.445亿元、城乡冷链物流基础设施领域的债券资金共1.4亿元、保障性住房领域的债券资金5.537亿元。</w:t>
      </w:r>
    </w:p>
    <w:p>
      <w:pPr>
        <w:keepNext w:val="0"/>
        <w:keepLines w:val="0"/>
        <w:pageBreakBefore w:val="0"/>
        <w:widowControl w:val="0"/>
        <w:kinsoku/>
        <w:wordWrap/>
        <w:overflowPunct/>
        <w:topLinePunct w:val="0"/>
        <w:bidi w:val="0"/>
        <w:spacing w:line="560" w:lineRule="exact"/>
        <w:ind w:firstLine="628"/>
        <w:jc w:val="left"/>
        <w:textAlignment w:val="auto"/>
        <w:rPr>
          <w:rFonts w:hint="default"/>
        </w:rPr>
      </w:pPr>
      <w:r>
        <w:rPr>
          <w:rFonts w:hint="default"/>
        </w:rPr>
        <w:t>202</w:t>
      </w:r>
      <w:r>
        <w:rPr>
          <w:rFonts w:hint="eastAsia"/>
          <w:lang w:val="en-US" w:eastAsia="zh-CN"/>
        </w:rPr>
        <w:t>3</w:t>
      </w:r>
      <w:r>
        <w:rPr>
          <w:rFonts w:hint="default"/>
        </w:rPr>
        <w:t>年大鹏新区</w:t>
      </w:r>
      <w:r>
        <w:rPr>
          <w:rFonts w:hint="eastAsia"/>
          <w:lang w:eastAsia="zh-CN"/>
        </w:rPr>
        <w:t>收到市财政局提前告知</w:t>
      </w:r>
      <w:r>
        <w:rPr>
          <w:rFonts w:hint="default"/>
        </w:rPr>
        <w:t>地方政府专项债券</w:t>
      </w:r>
      <w:r>
        <w:rPr>
          <w:rFonts w:hint="eastAsia"/>
          <w:lang w:eastAsia="zh-CN"/>
        </w:rPr>
        <w:t>额度</w:t>
      </w:r>
      <w:r>
        <w:rPr>
          <w:rFonts w:hint="eastAsia"/>
          <w:lang w:val="en-US" w:eastAsia="zh-CN"/>
        </w:rPr>
        <w:t>4.9</w:t>
      </w:r>
      <w:r>
        <w:rPr>
          <w:rFonts w:hint="default"/>
        </w:rPr>
        <w:t>亿元，</w:t>
      </w:r>
      <w:r>
        <w:rPr>
          <w:rFonts w:hint="eastAsia"/>
          <w:lang w:eastAsia="zh-CN"/>
        </w:rPr>
        <w:t>后续将根据上级要求及新区项目情况发行。</w:t>
      </w:r>
    </w:p>
    <w:p>
      <w:pPr>
        <w:keepNext w:val="0"/>
        <w:keepLines w:val="0"/>
        <w:pageBreakBefore w:val="0"/>
        <w:widowControl w:val="0"/>
        <w:kinsoku/>
        <w:wordWrap/>
        <w:overflowPunct/>
        <w:topLinePunct w:val="0"/>
        <w:bidi w:val="0"/>
        <w:spacing w:line="560" w:lineRule="exact"/>
        <w:ind w:firstLine="628"/>
        <w:textAlignment w:val="auto"/>
        <w:rPr>
          <w:rFonts w:ascii="黑体" w:hAnsi="黑体" w:eastAsia="黑体" w:cs="黑体"/>
          <w:color w:val="000000" w:themeColor="text1"/>
          <w:szCs w:val="32"/>
          <w14:textFill>
            <w14:solidFill>
              <w14:schemeClr w14:val="tx1"/>
            </w14:solidFill>
          </w14:textFill>
        </w:rPr>
      </w:pPr>
      <w:r>
        <w:rPr>
          <w:rFonts w:ascii="黑体" w:hAnsi="黑体" w:eastAsia="黑体" w:cs="黑体"/>
          <w:color w:val="000000" w:themeColor="text1"/>
          <w:szCs w:val="32"/>
          <w14:textFill>
            <w14:solidFill>
              <w14:schemeClr w14:val="tx1"/>
            </w14:solidFill>
          </w14:textFill>
        </w:rPr>
        <w:t>四、</w:t>
      </w:r>
      <w:r>
        <w:rPr>
          <w:rFonts w:hint="eastAsia" w:ascii="黑体" w:eastAsia="黑体"/>
          <w:color w:val="000000" w:themeColor="text1"/>
          <w14:textFill>
            <w14:solidFill>
              <w14:schemeClr w14:val="tx1"/>
            </w14:solidFill>
          </w14:textFill>
        </w:rPr>
        <w:t>关于国有资本经营收益预算</w:t>
      </w:r>
    </w:p>
    <w:p>
      <w:pPr>
        <w:keepNext w:val="0"/>
        <w:keepLines w:val="0"/>
        <w:pageBreakBefore w:val="0"/>
        <w:widowControl w:val="0"/>
        <w:kinsoku/>
        <w:wordWrap/>
        <w:overflowPunct/>
        <w:topLinePunct w:val="0"/>
        <w:bidi w:val="0"/>
        <w:spacing w:line="560" w:lineRule="exact"/>
        <w:ind w:firstLine="628"/>
        <w:textAlignment w:val="auto"/>
        <w:rPr>
          <w:rFonts w:hAnsi="仿宋_GB2312" w:cs="仿宋_GB2312"/>
          <w:color w:val="000000" w:themeColor="text1"/>
          <w:kern w:val="0"/>
          <w:szCs w:val="32"/>
          <w14:textFill>
            <w14:solidFill>
              <w14:schemeClr w14:val="tx1"/>
            </w14:solidFill>
          </w14:textFill>
        </w:rPr>
      </w:pPr>
      <w:r>
        <w:rPr>
          <w:rFonts w:hAnsi="仿宋_GB2312" w:cs="仿宋_GB2312"/>
          <w:color w:val="000000" w:themeColor="text1"/>
          <w:kern w:val="0"/>
          <w:szCs w:val="32"/>
          <w14:textFill>
            <w14:solidFill>
              <w14:schemeClr w14:val="tx1"/>
            </w14:solidFill>
          </w14:textFill>
        </w:rPr>
        <w:t>大鹏新区</w:t>
      </w:r>
      <w:r>
        <w:rPr>
          <w:rFonts w:hint="eastAsia" w:hAnsi="仿宋_GB2312" w:cs="仿宋_GB2312"/>
          <w:color w:val="000000" w:themeColor="text1"/>
          <w:kern w:val="0"/>
          <w:szCs w:val="32"/>
          <w14:textFill>
            <w14:solidFill>
              <w14:schemeClr w14:val="tx1"/>
            </w14:solidFill>
          </w14:textFill>
        </w:rPr>
        <w:t>区属国有企业可上缴的企业净利润在弥补以前年度亏损和提取公积金后为负数，故净利润不进行国有资本收益上缴。</w:t>
      </w:r>
    </w:p>
    <w:p>
      <w:pPr>
        <w:keepNext w:val="0"/>
        <w:keepLines w:val="0"/>
        <w:pageBreakBefore w:val="0"/>
        <w:widowControl w:val="0"/>
        <w:kinsoku/>
        <w:wordWrap/>
        <w:overflowPunct/>
        <w:topLinePunct w:val="0"/>
        <w:bidi w:val="0"/>
        <w:spacing w:line="560" w:lineRule="exact"/>
        <w:ind w:firstLine="628"/>
        <w:jc w:val="left"/>
        <w:textAlignment w:val="auto"/>
        <w:rPr>
          <w:rFonts w:ascii="黑体" w:hAnsi="黑体" w:eastAsia="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五、</w:t>
      </w:r>
      <w:r>
        <w:rPr>
          <w:rFonts w:hint="eastAsia" w:ascii="黑体" w:hAnsi="黑体" w:eastAsia="黑体"/>
          <w:color w:val="000000" w:themeColor="text1"/>
          <w:szCs w:val="32"/>
          <w14:textFill>
            <w14:solidFill>
              <w14:schemeClr w14:val="tx1"/>
            </w14:solidFill>
          </w14:textFill>
        </w:rPr>
        <w:t>关于社会保险基金预算的说明</w:t>
      </w:r>
    </w:p>
    <w:p>
      <w:pPr>
        <w:keepNext w:val="0"/>
        <w:keepLines w:val="0"/>
        <w:pageBreakBefore w:val="0"/>
        <w:widowControl w:val="0"/>
        <w:kinsoku/>
        <w:wordWrap/>
        <w:overflowPunct/>
        <w:topLinePunct w:val="0"/>
        <w:bidi w:val="0"/>
        <w:spacing w:line="560" w:lineRule="exact"/>
        <w:ind w:firstLine="628"/>
        <w:jc w:val="both"/>
        <w:textAlignment w:val="auto"/>
        <w:rPr>
          <w:rFonts w:hAnsi="仿宋_GB2312" w:cs="仿宋_GB2312"/>
          <w:color w:val="000000" w:themeColor="text1"/>
          <w:kern w:val="0"/>
          <w:szCs w:val="32"/>
          <w14:textFill>
            <w14:solidFill>
              <w14:schemeClr w14:val="tx1"/>
            </w14:solidFill>
          </w14:textFill>
        </w:rPr>
      </w:pPr>
      <w:r>
        <w:rPr>
          <w:rFonts w:hint="eastAsia" w:hAnsi="仿宋_GB2312" w:cs="仿宋_GB2312"/>
          <w:color w:val="000000" w:themeColor="text1"/>
          <w:kern w:val="0"/>
          <w:szCs w:val="32"/>
          <w14:textFill>
            <w14:solidFill>
              <w14:schemeClr w14:val="tx1"/>
            </w14:solidFill>
          </w14:textFill>
        </w:rPr>
        <w:t>社会保险基金预算由市财政局统一编制，</w:t>
      </w:r>
      <w:r>
        <w:rPr>
          <w:rFonts w:hint="eastAsia" w:hAnsi="仿宋_GB2312" w:cs="仿宋_GB2312"/>
          <w:color w:val="000000" w:themeColor="text1"/>
          <w:kern w:val="0"/>
          <w:szCs w:val="32"/>
          <w:lang w:eastAsia="zh-CN"/>
          <w14:textFill>
            <w14:solidFill>
              <w14:schemeClr w14:val="tx1"/>
            </w14:solidFill>
          </w14:textFill>
        </w:rPr>
        <w:t>大鹏</w:t>
      </w:r>
      <w:r>
        <w:rPr>
          <w:rFonts w:hint="eastAsia" w:hAnsi="仿宋_GB2312" w:cs="仿宋_GB2312"/>
          <w:color w:val="000000" w:themeColor="text1"/>
          <w:kern w:val="0"/>
          <w:szCs w:val="32"/>
          <w14:textFill>
            <w14:solidFill>
              <w14:schemeClr w14:val="tx1"/>
            </w14:solidFill>
          </w14:textFill>
        </w:rPr>
        <w:t>新区按规定不需另行编制社会保险基金预算。</w:t>
      </w:r>
    </w:p>
    <w:p>
      <w:pPr>
        <w:keepNext w:val="0"/>
        <w:keepLines w:val="0"/>
        <w:pageBreakBefore w:val="0"/>
        <w:widowControl w:val="0"/>
        <w:kinsoku/>
        <w:wordWrap/>
        <w:overflowPunct/>
        <w:topLinePunct w:val="0"/>
        <w:bidi w:val="0"/>
        <w:spacing w:line="560" w:lineRule="exact"/>
        <w:ind w:firstLine="628"/>
        <w:jc w:val="left"/>
        <w:textAlignment w:val="auto"/>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六、</w:t>
      </w:r>
      <w:r>
        <w:rPr>
          <w:rFonts w:ascii="黑体" w:hAnsi="黑体" w:eastAsia="黑体" w:cs="黑体"/>
          <w:color w:val="000000" w:themeColor="text1"/>
          <w:szCs w:val="32"/>
          <w14:textFill>
            <w14:solidFill>
              <w14:schemeClr w14:val="tx1"/>
            </w14:solidFill>
          </w14:textFill>
        </w:rPr>
        <w:t>其他事项</w:t>
      </w:r>
      <w:r>
        <w:rPr>
          <w:rFonts w:hint="eastAsia" w:ascii="黑体" w:hAnsi="黑体" w:eastAsia="黑体" w:cs="黑体"/>
          <w:color w:val="000000" w:themeColor="text1"/>
          <w:szCs w:val="32"/>
          <w14:textFill>
            <w14:solidFill>
              <w14:schemeClr w14:val="tx1"/>
            </w14:solidFill>
          </w14:textFill>
        </w:rPr>
        <w:t>说</w:t>
      </w:r>
      <w:r>
        <w:rPr>
          <w:rFonts w:ascii="黑体" w:hAnsi="黑体" w:eastAsia="黑体" w:cs="黑体"/>
          <w:color w:val="000000" w:themeColor="text1"/>
          <w:szCs w:val="32"/>
          <w14:textFill>
            <w14:solidFill>
              <w14:schemeClr w14:val="tx1"/>
            </w14:solidFill>
          </w14:textFill>
        </w:rPr>
        <w:t>明</w:t>
      </w:r>
    </w:p>
    <w:p>
      <w:pPr>
        <w:keepNext w:val="0"/>
        <w:keepLines w:val="0"/>
        <w:pageBreakBefore w:val="0"/>
        <w:widowControl w:val="0"/>
        <w:kinsoku/>
        <w:wordWrap/>
        <w:overflowPunct/>
        <w:topLinePunct w:val="0"/>
        <w:bidi w:val="0"/>
        <w:spacing w:line="560" w:lineRule="exact"/>
        <w:ind w:firstLine="628"/>
        <w:jc w:val="both"/>
        <w:textAlignment w:val="auto"/>
        <w:rPr>
          <w:rFonts w:hAnsi="仿宋_GB2312" w:cs="仿宋_GB2312"/>
          <w:color w:val="000000" w:themeColor="text1"/>
          <w:kern w:val="0"/>
          <w:szCs w:val="32"/>
          <w14:textFill>
            <w14:solidFill>
              <w14:schemeClr w14:val="tx1"/>
            </w14:solidFill>
          </w14:textFill>
        </w:rPr>
      </w:pPr>
      <w:r>
        <w:rPr>
          <w:rFonts w:hAnsi="仿宋_GB2312" w:cs="仿宋_GB2312"/>
          <w:color w:val="000000" w:themeColor="text1"/>
          <w:kern w:val="0"/>
          <w:szCs w:val="32"/>
          <w14:textFill>
            <w14:solidFill>
              <w14:schemeClr w14:val="tx1"/>
            </w14:solidFill>
          </w14:textFill>
        </w:rPr>
        <w:t>为保障各</w:t>
      </w:r>
      <w:r>
        <w:rPr>
          <w:rFonts w:hint="eastAsia" w:hAnsi="仿宋_GB2312" w:cs="仿宋_GB2312"/>
          <w:color w:val="000000" w:themeColor="text1"/>
          <w:kern w:val="0"/>
          <w:szCs w:val="32"/>
          <w14:textFill>
            <w14:solidFill>
              <w14:schemeClr w14:val="tx1"/>
            </w14:solidFill>
          </w14:textFill>
        </w:rPr>
        <w:t>预算单位</w:t>
      </w:r>
      <w:r>
        <w:rPr>
          <w:rFonts w:hAnsi="仿宋_GB2312" w:cs="仿宋_GB2312"/>
          <w:color w:val="000000" w:themeColor="text1"/>
          <w:kern w:val="0"/>
          <w:szCs w:val="32"/>
          <w14:textFill>
            <w14:solidFill>
              <w14:schemeClr w14:val="tx1"/>
            </w14:solidFill>
          </w14:textFill>
        </w:rPr>
        <w:t>正常开展工作，根据《</w:t>
      </w:r>
      <w:r>
        <w:rPr>
          <w:rFonts w:hAnsi="仿宋_GB2312" w:cs="仿宋_GB2312"/>
          <w:color w:val="000000" w:themeColor="text1"/>
          <w:kern w:val="0"/>
          <w:szCs w:val="32"/>
          <w:lang w:val="en"/>
          <w14:textFill>
            <w14:solidFill>
              <w14:schemeClr w14:val="tx1"/>
            </w14:solidFill>
          </w14:textFill>
        </w:rPr>
        <w:t>中华人民共和国</w:t>
      </w:r>
      <w:r>
        <w:rPr>
          <w:rFonts w:hAnsi="仿宋_GB2312" w:cs="仿宋_GB2312"/>
          <w:color w:val="000000" w:themeColor="text1"/>
          <w:kern w:val="0"/>
          <w:szCs w:val="32"/>
          <w14:textFill>
            <w14:solidFill>
              <w14:schemeClr w14:val="tx1"/>
            </w14:solidFill>
          </w14:textFill>
        </w:rPr>
        <w:t>预算法》第五十四条规定，预算年度开始后，预算草案在人民代表大会批准前，可以安排下列支出：</w:t>
      </w:r>
    </w:p>
    <w:p>
      <w:pPr>
        <w:keepNext w:val="0"/>
        <w:keepLines w:val="0"/>
        <w:pageBreakBefore w:val="0"/>
        <w:widowControl w:val="0"/>
        <w:kinsoku/>
        <w:wordWrap/>
        <w:overflowPunct/>
        <w:topLinePunct w:val="0"/>
        <w:bidi w:val="0"/>
        <w:spacing w:line="560" w:lineRule="exact"/>
        <w:ind w:firstLine="628"/>
        <w:jc w:val="left"/>
        <w:textAlignment w:val="auto"/>
        <w:rPr>
          <w:rFonts w:hAnsi="仿宋_GB2312" w:cs="仿宋_GB2312"/>
          <w:color w:val="000000" w:themeColor="text1"/>
          <w:kern w:val="0"/>
          <w:szCs w:val="32"/>
          <w14:textFill>
            <w14:solidFill>
              <w14:schemeClr w14:val="tx1"/>
            </w14:solidFill>
          </w14:textFill>
        </w:rPr>
      </w:pPr>
      <w:r>
        <w:rPr>
          <w:rFonts w:hAnsi="仿宋_GB2312" w:cs="仿宋_GB2312"/>
          <w:color w:val="000000" w:themeColor="text1"/>
          <w:kern w:val="0"/>
          <w:szCs w:val="32"/>
          <w14:textFill>
            <w14:solidFill>
              <w14:schemeClr w14:val="tx1"/>
            </w14:solidFill>
          </w14:textFill>
        </w:rPr>
        <w:t>（一）上一年度结转的支出；</w:t>
      </w:r>
    </w:p>
    <w:p>
      <w:pPr>
        <w:keepNext w:val="0"/>
        <w:keepLines w:val="0"/>
        <w:pageBreakBefore w:val="0"/>
        <w:widowControl w:val="0"/>
        <w:kinsoku/>
        <w:wordWrap/>
        <w:overflowPunct/>
        <w:topLinePunct w:val="0"/>
        <w:bidi w:val="0"/>
        <w:spacing w:line="560" w:lineRule="exact"/>
        <w:ind w:firstLine="628"/>
        <w:jc w:val="left"/>
        <w:textAlignment w:val="auto"/>
        <w:rPr>
          <w:rFonts w:hAnsi="仿宋_GB2312" w:cs="仿宋_GB2312"/>
          <w:color w:val="000000" w:themeColor="text1"/>
          <w:kern w:val="0"/>
          <w:szCs w:val="32"/>
          <w14:textFill>
            <w14:solidFill>
              <w14:schemeClr w14:val="tx1"/>
            </w14:solidFill>
          </w14:textFill>
        </w:rPr>
      </w:pPr>
      <w:r>
        <w:rPr>
          <w:rFonts w:hAnsi="仿宋_GB2312" w:cs="仿宋_GB2312"/>
          <w:color w:val="000000" w:themeColor="text1"/>
          <w:kern w:val="0"/>
          <w:szCs w:val="32"/>
          <w14:textFill>
            <w14:solidFill>
              <w14:schemeClr w14:val="tx1"/>
            </w14:solidFill>
          </w14:textFill>
        </w:rPr>
        <w:t>（二）参照上一年同期的预算支出数额安排必须支付的本年度部门基本支出、项目支出；</w:t>
      </w:r>
    </w:p>
    <w:p>
      <w:pPr>
        <w:keepNext w:val="0"/>
        <w:keepLines w:val="0"/>
        <w:pageBreakBefore w:val="0"/>
        <w:widowControl w:val="0"/>
        <w:kinsoku/>
        <w:wordWrap/>
        <w:overflowPunct/>
        <w:topLinePunct w:val="0"/>
        <w:bidi w:val="0"/>
        <w:spacing w:line="560" w:lineRule="exact"/>
        <w:ind w:firstLine="628"/>
        <w:jc w:val="left"/>
        <w:textAlignment w:val="auto"/>
        <w:rPr>
          <w:rFonts w:hAnsi="仿宋_GB2312" w:cs="仿宋_GB2312"/>
          <w:color w:val="000000" w:themeColor="text1"/>
          <w:kern w:val="0"/>
          <w:szCs w:val="32"/>
          <w14:textFill>
            <w14:solidFill>
              <w14:schemeClr w14:val="tx1"/>
            </w14:solidFill>
          </w14:textFill>
        </w:rPr>
      </w:pPr>
      <w:r>
        <w:rPr>
          <w:rFonts w:hAnsi="仿宋_GB2312" w:cs="仿宋_GB2312"/>
          <w:color w:val="000000" w:themeColor="text1"/>
          <w:kern w:val="0"/>
          <w:szCs w:val="32"/>
          <w14:textFill>
            <w14:solidFill>
              <w14:schemeClr w14:val="tx1"/>
            </w14:solidFill>
          </w14:textFill>
        </w:rPr>
        <w:t>（三）法律规定必须履行支付义务的支出，以及用于自然灾害等突发事件处理的支出。</w:t>
      </w:r>
    </w:p>
    <w:sectPr>
      <w:headerReference r:id="rId5" w:type="default"/>
      <w:footerReference r:id="rId7" w:type="default"/>
      <w:headerReference r:id="rId6" w:type="even"/>
      <w:footerReference r:id="rId8" w:type="even"/>
      <w:pgSz w:w="11906" w:h="16838"/>
      <w:pgMar w:top="2098" w:right="1474" w:bottom="1985" w:left="1588" w:header="851" w:footer="1372" w:gutter="0"/>
      <w:pgNumType w:fmt="numberInDash"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28"/>
      </w:pPr>
      <w:r>
        <w:separator/>
      </w:r>
    </w:p>
  </w:endnote>
  <w:endnote w:type="continuationSeparator" w:id="1">
    <w:p>
      <w:pPr>
        <w:spacing w:line="240" w:lineRule="auto"/>
        <w:ind w:firstLine="62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文鼎小标宋简">
    <w:altName w:val="方正小标宋简体"/>
    <w:panose1 w:val="00000000000000000000"/>
    <w:charset w:val="86"/>
    <w:family w:val="modern"/>
    <w:pitch w:val="default"/>
    <w:sig w:usb0="00000000" w:usb1="00000000" w:usb2="0000001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Verdana">
    <w:altName w:val="Ubuntu Light"/>
    <w:panose1 w:val="020B0604030504040204"/>
    <w:charset w:val="00"/>
    <w:family w:val="swiss"/>
    <w:pitch w:val="default"/>
    <w:sig w:usb0="00000000" w:usb1="00000000" w:usb2="00000010" w:usb3="00000000" w:csb0="2000019F"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 w:name="Ubuntu Light">
    <w:panose1 w:val="020B0604030602030204"/>
    <w:charset w:val="00"/>
    <w:family w:val="auto"/>
    <w:pitch w:val="default"/>
    <w:sig w:usb0="E00002FF" w:usb1="5000205B" w:usb2="00000000" w:usb3="00000000" w:csb0="2000009F" w:csb1="5601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0910452"/>
    </w:sdtPr>
    <w:sdtEndPr>
      <w:rPr>
        <w:rFonts w:asciiTheme="majorEastAsia" w:hAnsiTheme="majorEastAsia" w:eastAsiaTheme="majorEastAsia"/>
        <w:sz w:val="28"/>
        <w:szCs w:val="28"/>
      </w:rPr>
    </w:sdtEndPr>
    <w:sdtContent>
      <w:p>
        <w:pPr>
          <w:pStyle w:val="11"/>
          <w:ind w:firstLine="560"/>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3 -</w:t>
        </w:r>
        <w:r>
          <w:rPr>
            <w:rFonts w:asciiTheme="majorEastAsia" w:hAnsiTheme="majorEastAsia" w:eastAsia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0455"/>
    </w:sdtPr>
    <w:sdtContent>
      <w:p>
        <w:pPr>
          <w:pStyle w:val="11"/>
          <w:ind w:firstLine="360"/>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4 -</w:t>
        </w:r>
        <w:r>
          <w:rPr>
            <w:rFonts w:asciiTheme="majorEastAsia" w:hAnsiTheme="majorEastAsia" w:eastAsiaTheme="maj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28"/>
      </w:pPr>
      <w:r>
        <w:separator/>
      </w:r>
    </w:p>
  </w:footnote>
  <w:footnote w:type="continuationSeparator" w:id="1">
    <w:p>
      <w:pPr>
        <w:spacing w:line="240" w:lineRule="auto"/>
        <w:ind w:firstLine="62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0" w:firstLineChars="0"/>
      <w:jc w:val="both"/>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4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660BF7"/>
    <w:multiLevelType w:val="singleLevel"/>
    <w:tmpl w:val="70660BF7"/>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HorizontalSpacing w:val="157"/>
  <w:drawingGridVerticalSpacing w:val="435"/>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5D4"/>
    <w:rsid w:val="000006F8"/>
    <w:rsid w:val="0000249C"/>
    <w:rsid w:val="00003096"/>
    <w:rsid w:val="0000309B"/>
    <w:rsid w:val="000051AA"/>
    <w:rsid w:val="0000560F"/>
    <w:rsid w:val="0000658D"/>
    <w:rsid w:val="000068A1"/>
    <w:rsid w:val="00006BBB"/>
    <w:rsid w:val="0000717B"/>
    <w:rsid w:val="000071BC"/>
    <w:rsid w:val="000073C1"/>
    <w:rsid w:val="000073FA"/>
    <w:rsid w:val="000074CD"/>
    <w:rsid w:val="00007C9B"/>
    <w:rsid w:val="00011E8D"/>
    <w:rsid w:val="0001200F"/>
    <w:rsid w:val="0001295E"/>
    <w:rsid w:val="00012A21"/>
    <w:rsid w:val="00013021"/>
    <w:rsid w:val="0001515A"/>
    <w:rsid w:val="00016312"/>
    <w:rsid w:val="00017BD1"/>
    <w:rsid w:val="00017CE8"/>
    <w:rsid w:val="000214F3"/>
    <w:rsid w:val="000216B4"/>
    <w:rsid w:val="00023250"/>
    <w:rsid w:val="0002673E"/>
    <w:rsid w:val="00026AAB"/>
    <w:rsid w:val="00026CA0"/>
    <w:rsid w:val="000271C2"/>
    <w:rsid w:val="0003085C"/>
    <w:rsid w:val="00030E38"/>
    <w:rsid w:val="00031246"/>
    <w:rsid w:val="00033B31"/>
    <w:rsid w:val="00033D06"/>
    <w:rsid w:val="00034762"/>
    <w:rsid w:val="00034F84"/>
    <w:rsid w:val="00035529"/>
    <w:rsid w:val="00035990"/>
    <w:rsid w:val="00035A47"/>
    <w:rsid w:val="00037697"/>
    <w:rsid w:val="00040588"/>
    <w:rsid w:val="0004107F"/>
    <w:rsid w:val="000410FB"/>
    <w:rsid w:val="00041DC0"/>
    <w:rsid w:val="00041F93"/>
    <w:rsid w:val="00042E3C"/>
    <w:rsid w:val="00043272"/>
    <w:rsid w:val="00044885"/>
    <w:rsid w:val="0004570D"/>
    <w:rsid w:val="0004578F"/>
    <w:rsid w:val="00045C9F"/>
    <w:rsid w:val="000517FE"/>
    <w:rsid w:val="0005308E"/>
    <w:rsid w:val="00053EA9"/>
    <w:rsid w:val="00055379"/>
    <w:rsid w:val="00056E28"/>
    <w:rsid w:val="0005753F"/>
    <w:rsid w:val="00060D8D"/>
    <w:rsid w:val="00061156"/>
    <w:rsid w:val="00061709"/>
    <w:rsid w:val="0006207F"/>
    <w:rsid w:val="000648B5"/>
    <w:rsid w:val="00066F23"/>
    <w:rsid w:val="000706CD"/>
    <w:rsid w:val="00072185"/>
    <w:rsid w:val="000725BF"/>
    <w:rsid w:val="00075585"/>
    <w:rsid w:val="000755CA"/>
    <w:rsid w:val="000756CE"/>
    <w:rsid w:val="00075B15"/>
    <w:rsid w:val="0007704B"/>
    <w:rsid w:val="00082AC0"/>
    <w:rsid w:val="0008347A"/>
    <w:rsid w:val="00083DE0"/>
    <w:rsid w:val="00085324"/>
    <w:rsid w:val="00085F95"/>
    <w:rsid w:val="00086E53"/>
    <w:rsid w:val="0009209E"/>
    <w:rsid w:val="000920AF"/>
    <w:rsid w:val="000922C5"/>
    <w:rsid w:val="0009290B"/>
    <w:rsid w:val="00093890"/>
    <w:rsid w:val="00094834"/>
    <w:rsid w:val="00094FA3"/>
    <w:rsid w:val="000954C6"/>
    <w:rsid w:val="000962F9"/>
    <w:rsid w:val="0009737E"/>
    <w:rsid w:val="000A0680"/>
    <w:rsid w:val="000A096B"/>
    <w:rsid w:val="000A0B05"/>
    <w:rsid w:val="000A11F2"/>
    <w:rsid w:val="000A1C85"/>
    <w:rsid w:val="000A34BD"/>
    <w:rsid w:val="000A3BE0"/>
    <w:rsid w:val="000A4521"/>
    <w:rsid w:val="000A4B28"/>
    <w:rsid w:val="000A6143"/>
    <w:rsid w:val="000A6800"/>
    <w:rsid w:val="000A6E11"/>
    <w:rsid w:val="000A705F"/>
    <w:rsid w:val="000A7C9C"/>
    <w:rsid w:val="000B16A4"/>
    <w:rsid w:val="000B27BB"/>
    <w:rsid w:val="000B36C9"/>
    <w:rsid w:val="000B53C5"/>
    <w:rsid w:val="000B7DD2"/>
    <w:rsid w:val="000C01E8"/>
    <w:rsid w:val="000C0503"/>
    <w:rsid w:val="000C2BA1"/>
    <w:rsid w:val="000C32B8"/>
    <w:rsid w:val="000C333E"/>
    <w:rsid w:val="000C3FB6"/>
    <w:rsid w:val="000C462D"/>
    <w:rsid w:val="000C6069"/>
    <w:rsid w:val="000C61D1"/>
    <w:rsid w:val="000C6B60"/>
    <w:rsid w:val="000D474C"/>
    <w:rsid w:val="000D53A5"/>
    <w:rsid w:val="000D560D"/>
    <w:rsid w:val="000D5A70"/>
    <w:rsid w:val="000D710B"/>
    <w:rsid w:val="000D7187"/>
    <w:rsid w:val="000D7C36"/>
    <w:rsid w:val="000D7E54"/>
    <w:rsid w:val="000E0DBB"/>
    <w:rsid w:val="000E17FC"/>
    <w:rsid w:val="000E1F80"/>
    <w:rsid w:val="000E2286"/>
    <w:rsid w:val="000E3D1B"/>
    <w:rsid w:val="000E3FB2"/>
    <w:rsid w:val="000E5016"/>
    <w:rsid w:val="000E51DD"/>
    <w:rsid w:val="000E531D"/>
    <w:rsid w:val="000E662C"/>
    <w:rsid w:val="000E68C2"/>
    <w:rsid w:val="000F0681"/>
    <w:rsid w:val="000F0BC4"/>
    <w:rsid w:val="000F0C4F"/>
    <w:rsid w:val="000F0C7E"/>
    <w:rsid w:val="000F193E"/>
    <w:rsid w:val="000F29EE"/>
    <w:rsid w:val="000F31AF"/>
    <w:rsid w:val="000F388C"/>
    <w:rsid w:val="000F3E58"/>
    <w:rsid w:val="000F5011"/>
    <w:rsid w:val="000F57B4"/>
    <w:rsid w:val="000F59B9"/>
    <w:rsid w:val="000F5E20"/>
    <w:rsid w:val="000F68D7"/>
    <w:rsid w:val="000F6B32"/>
    <w:rsid w:val="000F6C91"/>
    <w:rsid w:val="000F7B95"/>
    <w:rsid w:val="00100479"/>
    <w:rsid w:val="00100D4D"/>
    <w:rsid w:val="0010289D"/>
    <w:rsid w:val="00102C1D"/>
    <w:rsid w:val="00102DC3"/>
    <w:rsid w:val="0010345C"/>
    <w:rsid w:val="00103558"/>
    <w:rsid w:val="0010381F"/>
    <w:rsid w:val="00103CEA"/>
    <w:rsid w:val="00103D68"/>
    <w:rsid w:val="00104EDA"/>
    <w:rsid w:val="00105A7B"/>
    <w:rsid w:val="00105C5B"/>
    <w:rsid w:val="001064B5"/>
    <w:rsid w:val="00106606"/>
    <w:rsid w:val="00111E92"/>
    <w:rsid w:val="00112029"/>
    <w:rsid w:val="00112439"/>
    <w:rsid w:val="00112A84"/>
    <w:rsid w:val="00113ADB"/>
    <w:rsid w:val="00120129"/>
    <w:rsid w:val="00120571"/>
    <w:rsid w:val="00120D0A"/>
    <w:rsid w:val="00121170"/>
    <w:rsid w:val="0012316A"/>
    <w:rsid w:val="001249ED"/>
    <w:rsid w:val="00125252"/>
    <w:rsid w:val="001261D6"/>
    <w:rsid w:val="00126D94"/>
    <w:rsid w:val="001273D4"/>
    <w:rsid w:val="001300E8"/>
    <w:rsid w:val="00130B40"/>
    <w:rsid w:val="00131619"/>
    <w:rsid w:val="00133CE5"/>
    <w:rsid w:val="001353C1"/>
    <w:rsid w:val="00137949"/>
    <w:rsid w:val="001406B8"/>
    <w:rsid w:val="00140D1C"/>
    <w:rsid w:val="0014125F"/>
    <w:rsid w:val="001416C3"/>
    <w:rsid w:val="0014187E"/>
    <w:rsid w:val="001446D3"/>
    <w:rsid w:val="00144D78"/>
    <w:rsid w:val="00144EB4"/>
    <w:rsid w:val="001479D5"/>
    <w:rsid w:val="0015040E"/>
    <w:rsid w:val="00151431"/>
    <w:rsid w:val="00151F96"/>
    <w:rsid w:val="00154019"/>
    <w:rsid w:val="001541C5"/>
    <w:rsid w:val="0015451A"/>
    <w:rsid w:val="00156816"/>
    <w:rsid w:val="00157DE1"/>
    <w:rsid w:val="00160568"/>
    <w:rsid w:val="001606D3"/>
    <w:rsid w:val="00161991"/>
    <w:rsid w:val="00161AA6"/>
    <w:rsid w:val="001635B9"/>
    <w:rsid w:val="00163BAA"/>
    <w:rsid w:val="00164453"/>
    <w:rsid w:val="001649B6"/>
    <w:rsid w:val="0016558F"/>
    <w:rsid w:val="00165882"/>
    <w:rsid w:val="00165FDA"/>
    <w:rsid w:val="0016619F"/>
    <w:rsid w:val="00166466"/>
    <w:rsid w:val="001669E8"/>
    <w:rsid w:val="00166A93"/>
    <w:rsid w:val="001676A5"/>
    <w:rsid w:val="00170B53"/>
    <w:rsid w:val="00171084"/>
    <w:rsid w:val="001712C8"/>
    <w:rsid w:val="00171ED3"/>
    <w:rsid w:val="001727D7"/>
    <w:rsid w:val="00172AD4"/>
    <w:rsid w:val="00174254"/>
    <w:rsid w:val="00175206"/>
    <w:rsid w:val="00175BAF"/>
    <w:rsid w:val="001762AB"/>
    <w:rsid w:val="00176585"/>
    <w:rsid w:val="0018043F"/>
    <w:rsid w:val="00180D43"/>
    <w:rsid w:val="00181497"/>
    <w:rsid w:val="001815E8"/>
    <w:rsid w:val="00182BCB"/>
    <w:rsid w:val="00182FFC"/>
    <w:rsid w:val="00183901"/>
    <w:rsid w:val="001862BE"/>
    <w:rsid w:val="001865CB"/>
    <w:rsid w:val="00186ADC"/>
    <w:rsid w:val="00187D49"/>
    <w:rsid w:val="00187DC9"/>
    <w:rsid w:val="001905D6"/>
    <w:rsid w:val="00190BE7"/>
    <w:rsid w:val="001918BF"/>
    <w:rsid w:val="0019214B"/>
    <w:rsid w:val="00193C5D"/>
    <w:rsid w:val="00194B5D"/>
    <w:rsid w:val="0019504A"/>
    <w:rsid w:val="00195DFE"/>
    <w:rsid w:val="00196419"/>
    <w:rsid w:val="00197808"/>
    <w:rsid w:val="001A1038"/>
    <w:rsid w:val="001A1F30"/>
    <w:rsid w:val="001A2736"/>
    <w:rsid w:val="001A332E"/>
    <w:rsid w:val="001A5ACD"/>
    <w:rsid w:val="001A6208"/>
    <w:rsid w:val="001A6531"/>
    <w:rsid w:val="001A653E"/>
    <w:rsid w:val="001A6E15"/>
    <w:rsid w:val="001A7091"/>
    <w:rsid w:val="001B00F2"/>
    <w:rsid w:val="001B0E12"/>
    <w:rsid w:val="001B106A"/>
    <w:rsid w:val="001B10F7"/>
    <w:rsid w:val="001B1E20"/>
    <w:rsid w:val="001B25AF"/>
    <w:rsid w:val="001B29DC"/>
    <w:rsid w:val="001B2AEE"/>
    <w:rsid w:val="001B2E7E"/>
    <w:rsid w:val="001B6637"/>
    <w:rsid w:val="001B75E3"/>
    <w:rsid w:val="001C042D"/>
    <w:rsid w:val="001C110E"/>
    <w:rsid w:val="001C13E5"/>
    <w:rsid w:val="001C2E7C"/>
    <w:rsid w:val="001C2FE1"/>
    <w:rsid w:val="001C376C"/>
    <w:rsid w:val="001C3DEF"/>
    <w:rsid w:val="001C49D5"/>
    <w:rsid w:val="001C5838"/>
    <w:rsid w:val="001C5A21"/>
    <w:rsid w:val="001C782B"/>
    <w:rsid w:val="001D22AA"/>
    <w:rsid w:val="001D2559"/>
    <w:rsid w:val="001D2BF5"/>
    <w:rsid w:val="001D2F65"/>
    <w:rsid w:val="001D4181"/>
    <w:rsid w:val="001D4266"/>
    <w:rsid w:val="001D5429"/>
    <w:rsid w:val="001D578C"/>
    <w:rsid w:val="001D6AC4"/>
    <w:rsid w:val="001D73D2"/>
    <w:rsid w:val="001D7715"/>
    <w:rsid w:val="001E1A6C"/>
    <w:rsid w:val="001E20CC"/>
    <w:rsid w:val="001E3DA4"/>
    <w:rsid w:val="001E3E65"/>
    <w:rsid w:val="001E417D"/>
    <w:rsid w:val="001E438C"/>
    <w:rsid w:val="001E677E"/>
    <w:rsid w:val="001E69DD"/>
    <w:rsid w:val="001E7737"/>
    <w:rsid w:val="001E78B2"/>
    <w:rsid w:val="001F009B"/>
    <w:rsid w:val="001F03BA"/>
    <w:rsid w:val="001F0EB4"/>
    <w:rsid w:val="001F1FA3"/>
    <w:rsid w:val="001F29C0"/>
    <w:rsid w:val="001F2B71"/>
    <w:rsid w:val="001F39C9"/>
    <w:rsid w:val="001F4307"/>
    <w:rsid w:val="001F49B9"/>
    <w:rsid w:val="001F70C7"/>
    <w:rsid w:val="001F7ECA"/>
    <w:rsid w:val="00200E18"/>
    <w:rsid w:val="0020144A"/>
    <w:rsid w:val="0020269E"/>
    <w:rsid w:val="002031BA"/>
    <w:rsid w:val="0020452E"/>
    <w:rsid w:val="002046D1"/>
    <w:rsid w:val="0020720A"/>
    <w:rsid w:val="00207D61"/>
    <w:rsid w:val="00210677"/>
    <w:rsid w:val="002110E4"/>
    <w:rsid w:val="0021131E"/>
    <w:rsid w:val="00211AA5"/>
    <w:rsid w:val="00211B0C"/>
    <w:rsid w:val="00212025"/>
    <w:rsid w:val="00213F90"/>
    <w:rsid w:val="00214DED"/>
    <w:rsid w:val="002150BC"/>
    <w:rsid w:val="002153F8"/>
    <w:rsid w:val="002166C0"/>
    <w:rsid w:val="00216AF1"/>
    <w:rsid w:val="00217FF9"/>
    <w:rsid w:val="00221106"/>
    <w:rsid w:val="00221B30"/>
    <w:rsid w:val="00222692"/>
    <w:rsid w:val="00222C3C"/>
    <w:rsid w:val="00222E56"/>
    <w:rsid w:val="00224737"/>
    <w:rsid w:val="0022570B"/>
    <w:rsid w:val="002265B5"/>
    <w:rsid w:val="0023153E"/>
    <w:rsid w:val="00231F36"/>
    <w:rsid w:val="00233828"/>
    <w:rsid w:val="0023473C"/>
    <w:rsid w:val="00234C9B"/>
    <w:rsid w:val="002351EF"/>
    <w:rsid w:val="002357AD"/>
    <w:rsid w:val="0023713C"/>
    <w:rsid w:val="00237301"/>
    <w:rsid w:val="00237548"/>
    <w:rsid w:val="00237B32"/>
    <w:rsid w:val="00240ACA"/>
    <w:rsid w:val="00240F2C"/>
    <w:rsid w:val="00241071"/>
    <w:rsid w:val="002412BE"/>
    <w:rsid w:val="002427B7"/>
    <w:rsid w:val="002437A1"/>
    <w:rsid w:val="00243A5D"/>
    <w:rsid w:val="00243D03"/>
    <w:rsid w:val="0024482E"/>
    <w:rsid w:val="00245297"/>
    <w:rsid w:val="00245D12"/>
    <w:rsid w:val="00247676"/>
    <w:rsid w:val="002508DB"/>
    <w:rsid w:val="00251D52"/>
    <w:rsid w:val="0025329A"/>
    <w:rsid w:val="00254890"/>
    <w:rsid w:val="00255CA3"/>
    <w:rsid w:val="00256BE4"/>
    <w:rsid w:val="002577F2"/>
    <w:rsid w:val="00260312"/>
    <w:rsid w:val="00260FFC"/>
    <w:rsid w:val="00261949"/>
    <w:rsid w:val="00262985"/>
    <w:rsid w:val="00263470"/>
    <w:rsid w:val="002639C0"/>
    <w:rsid w:val="00263DF3"/>
    <w:rsid w:val="002649DB"/>
    <w:rsid w:val="0026569F"/>
    <w:rsid w:val="00265739"/>
    <w:rsid w:val="002709D4"/>
    <w:rsid w:val="0027112B"/>
    <w:rsid w:val="0027152B"/>
    <w:rsid w:val="00271A61"/>
    <w:rsid w:val="00271AE4"/>
    <w:rsid w:val="00275389"/>
    <w:rsid w:val="002756FE"/>
    <w:rsid w:val="00275BA9"/>
    <w:rsid w:val="00276659"/>
    <w:rsid w:val="00276A02"/>
    <w:rsid w:val="002779D2"/>
    <w:rsid w:val="00277BC7"/>
    <w:rsid w:val="00280026"/>
    <w:rsid w:val="0028111C"/>
    <w:rsid w:val="00281321"/>
    <w:rsid w:val="002813F8"/>
    <w:rsid w:val="002820B6"/>
    <w:rsid w:val="00282B31"/>
    <w:rsid w:val="002844F3"/>
    <w:rsid w:val="002847CD"/>
    <w:rsid w:val="00284E6D"/>
    <w:rsid w:val="002855D4"/>
    <w:rsid w:val="0028570F"/>
    <w:rsid w:val="00285C42"/>
    <w:rsid w:val="00286887"/>
    <w:rsid w:val="00287739"/>
    <w:rsid w:val="00290BB7"/>
    <w:rsid w:val="00290DE2"/>
    <w:rsid w:val="00290F9B"/>
    <w:rsid w:val="002920F6"/>
    <w:rsid w:val="002923B0"/>
    <w:rsid w:val="00292810"/>
    <w:rsid w:val="00292E1D"/>
    <w:rsid w:val="002942C5"/>
    <w:rsid w:val="00294470"/>
    <w:rsid w:val="00294820"/>
    <w:rsid w:val="00295148"/>
    <w:rsid w:val="00296E30"/>
    <w:rsid w:val="002971F3"/>
    <w:rsid w:val="002A156B"/>
    <w:rsid w:val="002A1F1A"/>
    <w:rsid w:val="002A1F9F"/>
    <w:rsid w:val="002A21FB"/>
    <w:rsid w:val="002A2E09"/>
    <w:rsid w:val="002A32B6"/>
    <w:rsid w:val="002A362C"/>
    <w:rsid w:val="002A52BC"/>
    <w:rsid w:val="002A5404"/>
    <w:rsid w:val="002A59ED"/>
    <w:rsid w:val="002A6DB1"/>
    <w:rsid w:val="002B0415"/>
    <w:rsid w:val="002B0D50"/>
    <w:rsid w:val="002B257D"/>
    <w:rsid w:val="002B31DB"/>
    <w:rsid w:val="002B4E6D"/>
    <w:rsid w:val="002B595B"/>
    <w:rsid w:val="002B6821"/>
    <w:rsid w:val="002B6A4A"/>
    <w:rsid w:val="002C0BFB"/>
    <w:rsid w:val="002C129A"/>
    <w:rsid w:val="002C1CE8"/>
    <w:rsid w:val="002C245E"/>
    <w:rsid w:val="002C265A"/>
    <w:rsid w:val="002C3C1C"/>
    <w:rsid w:val="002C49E2"/>
    <w:rsid w:val="002C518F"/>
    <w:rsid w:val="002C5A0D"/>
    <w:rsid w:val="002C7703"/>
    <w:rsid w:val="002D041E"/>
    <w:rsid w:val="002D08ED"/>
    <w:rsid w:val="002D0BB4"/>
    <w:rsid w:val="002D1885"/>
    <w:rsid w:val="002D18C5"/>
    <w:rsid w:val="002D1935"/>
    <w:rsid w:val="002D23FA"/>
    <w:rsid w:val="002D312F"/>
    <w:rsid w:val="002D3C00"/>
    <w:rsid w:val="002D4C0A"/>
    <w:rsid w:val="002D66F6"/>
    <w:rsid w:val="002E2630"/>
    <w:rsid w:val="002E270D"/>
    <w:rsid w:val="002E3646"/>
    <w:rsid w:val="002E44AE"/>
    <w:rsid w:val="002E592E"/>
    <w:rsid w:val="002E6A6A"/>
    <w:rsid w:val="002E6E8A"/>
    <w:rsid w:val="002E7251"/>
    <w:rsid w:val="002E7D29"/>
    <w:rsid w:val="002F0D59"/>
    <w:rsid w:val="002F1A5F"/>
    <w:rsid w:val="002F2A1C"/>
    <w:rsid w:val="002F30C8"/>
    <w:rsid w:val="002F3642"/>
    <w:rsid w:val="002F4EA1"/>
    <w:rsid w:val="002F595E"/>
    <w:rsid w:val="002F5CCC"/>
    <w:rsid w:val="002F6181"/>
    <w:rsid w:val="002F7B0F"/>
    <w:rsid w:val="002F7FA0"/>
    <w:rsid w:val="00300504"/>
    <w:rsid w:val="00300635"/>
    <w:rsid w:val="003011CF"/>
    <w:rsid w:val="003021D9"/>
    <w:rsid w:val="00302482"/>
    <w:rsid w:val="00302F2D"/>
    <w:rsid w:val="00303222"/>
    <w:rsid w:val="00303A2A"/>
    <w:rsid w:val="00304C3D"/>
    <w:rsid w:val="00304F41"/>
    <w:rsid w:val="00305866"/>
    <w:rsid w:val="00305E29"/>
    <w:rsid w:val="00305FA7"/>
    <w:rsid w:val="003070B3"/>
    <w:rsid w:val="0030793E"/>
    <w:rsid w:val="003107CB"/>
    <w:rsid w:val="00311D00"/>
    <w:rsid w:val="0031328C"/>
    <w:rsid w:val="003142D8"/>
    <w:rsid w:val="003144AB"/>
    <w:rsid w:val="00315D7B"/>
    <w:rsid w:val="00316E05"/>
    <w:rsid w:val="00320B64"/>
    <w:rsid w:val="00320CFB"/>
    <w:rsid w:val="00320FD4"/>
    <w:rsid w:val="00321165"/>
    <w:rsid w:val="003217E1"/>
    <w:rsid w:val="0032283B"/>
    <w:rsid w:val="00322AC0"/>
    <w:rsid w:val="003236F8"/>
    <w:rsid w:val="00323B60"/>
    <w:rsid w:val="003240BA"/>
    <w:rsid w:val="00326744"/>
    <w:rsid w:val="00326F0D"/>
    <w:rsid w:val="003331EB"/>
    <w:rsid w:val="0033383A"/>
    <w:rsid w:val="003339F1"/>
    <w:rsid w:val="0033445C"/>
    <w:rsid w:val="00336DB8"/>
    <w:rsid w:val="0033715C"/>
    <w:rsid w:val="003372B5"/>
    <w:rsid w:val="00340C06"/>
    <w:rsid w:val="00341783"/>
    <w:rsid w:val="003428D7"/>
    <w:rsid w:val="00342B6C"/>
    <w:rsid w:val="00342D15"/>
    <w:rsid w:val="00344D58"/>
    <w:rsid w:val="0034614A"/>
    <w:rsid w:val="0034617A"/>
    <w:rsid w:val="00346FA5"/>
    <w:rsid w:val="00347330"/>
    <w:rsid w:val="00347462"/>
    <w:rsid w:val="00347730"/>
    <w:rsid w:val="00350183"/>
    <w:rsid w:val="003503D3"/>
    <w:rsid w:val="00350D41"/>
    <w:rsid w:val="003522B0"/>
    <w:rsid w:val="003523EC"/>
    <w:rsid w:val="00353C39"/>
    <w:rsid w:val="003540B1"/>
    <w:rsid w:val="00354AD7"/>
    <w:rsid w:val="0035524D"/>
    <w:rsid w:val="00355D41"/>
    <w:rsid w:val="00357D3F"/>
    <w:rsid w:val="00360043"/>
    <w:rsid w:val="00361011"/>
    <w:rsid w:val="0036133C"/>
    <w:rsid w:val="003617BE"/>
    <w:rsid w:val="00361F7E"/>
    <w:rsid w:val="00362C13"/>
    <w:rsid w:val="00363C06"/>
    <w:rsid w:val="0036613C"/>
    <w:rsid w:val="0036672E"/>
    <w:rsid w:val="00370C04"/>
    <w:rsid w:val="00371B64"/>
    <w:rsid w:val="00372A46"/>
    <w:rsid w:val="00372BD0"/>
    <w:rsid w:val="0037493C"/>
    <w:rsid w:val="0037644D"/>
    <w:rsid w:val="00376C63"/>
    <w:rsid w:val="00377AAA"/>
    <w:rsid w:val="00377E06"/>
    <w:rsid w:val="00382D46"/>
    <w:rsid w:val="00382D88"/>
    <w:rsid w:val="003841A3"/>
    <w:rsid w:val="00384277"/>
    <w:rsid w:val="0038497D"/>
    <w:rsid w:val="00384A8E"/>
    <w:rsid w:val="0038534A"/>
    <w:rsid w:val="003859C9"/>
    <w:rsid w:val="00385A05"/>
    <w:rsid w:val="00391446"/>
    <w:rsid w:val="003919AE"/>
    <w:rsid w:val="003944A2"/>
    <w:rsid w:val="00394B93"/>
    <w:rsid w:val="00394CDC"/>
    <w:rsid w:val="00395942"/>
    <w:rsid w:val="00395D7D"/>
    <w:rsid w:val="0039621B"/>
    <w:rsid w:val="00397B38"/>
    <w:rsid w:val="003A0125"/>
    <w:rsid w:val="003A4D8F"/>
    <w:rsid w:val="003A536D"/>
    <w:rsid w:val="003A5A0E"/>
    <w:rsid w:val="003A6985"/>
    <w:rsid w:val="003A69B7"/>
    <w:rsid w:val="003B0E50"/>
    <w:rsid w:val="003B2B58"/>
    <w:rsid w:val="003B36B0"/>
    <w:rsid w:val="003B405E"/>
    <w:rsid w:val="003B62D7"/>
    <w:rsid w:val="003B7335"/>
    <w:rsid w:val="003B771D"/>
    <w:rsid w:val="003B779D"/>
    <w:rsid w:val="003B77CD"/>
    <w:rsid w:val="003B7C3F"/>
    <w:rsid w:val="003B7CB1"/>
    <w:rsid w:val="003C0AF7"/>
    <w:rsid w:val="003C0C4C"/>
    <w:rsid w:val="003C1B1E"/>
    <w:rsid w:val="003C2A8B"/>
    <w:rsid w:val="003C3313"/>
    <w:rsid w:val="003C4D68"/>
    <w:rsid w:val="003C561A"/>
    <w:rsid w:val="003C6009"/>
    <w:rsid w:val="003C6259"/>
    <w:rsid w:val="003C6DC6"/>
    <w:rsid w:val="003C6DD0"/>
    <w:rsid w:val="003C73BD"/>
    <w:rsid w:val="003C7548"/>
    <w:rsid w:val="003D0D7B"/>
    <w:rsid w:val="003D1077"/>
    <w:rsid w:val="003D1D52"/>
    <w:rsid w:val="003D2230"/>
    <w:rsid w:val="003D3BD4"/>
    <w:rsid w:val="003D4208"/>
    <w:rsid w:val="003D6548"/>
    <w:rsid w:val="003D7152"/>
    <w:rsid w:val="003E0AAF"/>
    <w:rsid w:val="003E24AE"/>
    <w:rsid w:val="003E28EE"/>
    <w:rsid w:val="003E2A31"/>
    <w:rsid w:val="003E3997"/>
    <w:rsid w:val="003E3BA4"/>
    <w:rsid w:val="003E48EA"/>
    <w:rsid w:val="003E496C"/>
    <w:rsid w:val="003E4A84"/>
    <w:rsid w:val="003E50E3"/>
    <w:rsid w:val="003E5220"/>
    <w:rsid w:val="003E682A"/>
    <w:rsid w:val="003E6FF3"/>
    <w:rsid w:val="003E7D78"/>
    <w:rsid w:val="003F0197"/>
    <w:rsid w:val="003F04A1"/>
    <w:rsid w:val="003F2541"/>
    <w:rsid w:val="003F2EC6"/>
    <w:rsid w:val="003F3519"/>
    <w:rsid w:val="003F3D19"/>
    <w:rsid w:val="003F41FF"/>
    <w:rsid w:val="003F4AAD"/>
    <w:rsid w:val="003F4BB9"/>
    <w:rsid w:val="003F5FF0"/>
    <w:rsid w:val="003F64CA"/>
    <w:rsid w:val="003F6EF8"/>
    <w:rsid w:val="003F7F0A"/>
    <w:rsid w:val="00400787"/>
    <w:rsid w:val="00401AA3"/>
    <w:rsid w:val="00402317"/>
    <w:rsid w:val="004025EB"/>
    <w:rsid w:val="00402830"/>
    <w:rsid w:val="00402B28"/>
    <w:rsid w:val="00403059"/>
    <w:rsid w:val="00404C97"/>
    <w:rsid w:val="00404E41"/>
    <w:rsid w:val="004055E3"/>
    <w:rsid w:val="00405F23"/>
    <w:rsid w:val="004073D5"/>
    <w:rsid w:val="0040758F"/>
    <w:rsid w:val="00411D9E"/>
    <w:rsid w:val="00411E92"/>
    <w:rsid w:val="00412D21"/>
    <w:rsid w:val="00413106"/>
    <w:rsid w:val="00413319"/>
    <w:rsid w:val="00414ACC"/>
    <w:rsid w:val="00414F72"/>
    <w:rsid w:val="004155FF"/>
    <w:rsid w:val="00415D62"/>
    <w:rsid w:val="0041689C"/>
    <w:rsid w:val="00416C09"/>
    <w:rsid w:val="00416E7A"/>
    <w:rsid w:val="00417467"/>
    <w:rsid w:val="00420353"/>
    <w:rsid w:val="00420E75"/>
    <w:rsid w:val="0042231A"/>
    <w:rsid w:val="004225EF"/>
    <w:rsid w:val="00424349"/>
    <w:rsid w:val="00425462"/>
    <w:rsid w:val="00425BB0"/>
    <w:rsid w:val="00426BC3"/>
    <w:rsid w:val="0042788F"/>
    <w:rsid w:val="0043071B"/>
    <w:rsid w:val="00430BAB"/>
    <w:rsid w:val="00430E39"/>
    <w:rsid w:val="00431C99"/>
    <w:rsid w:val="00431E44"/>
    <w:rsid w:val="00432160"/>
    <w:rsid w:val="0043331D"/>
    <w:rsid w:val="004347C7"/>
    <w:rsid w:val="004354AC"/>
    <w:rsid w:val="00435B48"/>
    <w:rsid w:val="00435B65"/>
    <w:rsid w:val="00440236"/>
    <w:rsid w:val="004416FA"/>
    <w:rsid w:val="004429F6"/>
    <w:rsid w:val="00443814"/>
    <w:rsid w:val="004439B0"/>
    <w:rsid w:val="00445227"/>
    <w:rsid w:val="0044538A"/>
    <w:rsid w:val="004466EE"/>
    <w:rsid w:val="004469BB"/>
    <w:rsid w:val="004471CB"/>
    <w:rsid w:val="00451F6E"/>
    <w:rsid w:val="004520DD"/>
    <w:rsid w:val="0045263C"/>
    <w:rsid w:val="00452781"/>
    <w:rsid w:val="004538A4"/>
    <w:rsid w:val="00454C4C"/>
    <w:rsid w:val="00455E71"/>
    <w:rsid w:val="00456A43"/>
    <w:rsid w:val="00457DAA"/>
    <w:rsid w:val="004601DE"/>
    <w:rsid w:val="004603D1"/>
    <w:rsid w:val="004604CA"/>
    <w:rsid w:val="00460DF1"/>
    <w:rsid w:val="00460EE6"/>
    <w:rsid w:val="004614A4"/>
    <w:rsid w:val="0046203D"/>
    <w:rsid w:val="00462B03"/>
    <w:rsid w:val="0046446A"/>
    <w:rsid w:val="00465477"/>
    <w:rsid w:val="00465588"/>
    <w:rsid w:val="004658AB"/>
    <w:rsid w:val="00467BA5"/>
    <w:rsid w:val="00471631"/>
    <w:rsid w:val="00472869"/>
    <w:rsid w:val="004744F0"/>
    <w:rsid w:val="0047638E"/>
    <w:rsid w:val="0047767C"/>
    <w:rsid w:val="00477C32"/>
    <w:rsid w:val="00480AC3"/>
    <w:rsid w:val="004815D8"/>
    <w:rsid w:val="00481A89"/>
    <w:rsid w:val="004835F3"/>
    <w:rsid w:val="0048367A"/>
    <w:rsid w:val="004840D5"/>
    <w:rsid w:val="00487B85"/>
    <w:rsid w:val="004909C1"/>
    <w:rsid w:val="00491F64"/>
    <w:rsid w:val="00492615"/>
    <w:rsid w:val="0049333E"/>
    <w:rsid w:val="00493670"/>
    <w:rsid w:val="00494006"/>
    <w:rsid w:val="0049418E"/>
    <w:rsid w:val="004958E1"/>
    <w:rsid w:val="0049642A"/>
    <w:rsid w:val="00497798"/>
    <w:rsid w:val="00497DEB"/>
    <w:rsid w:val="004A0962"/>
    <w:rsid w:val="004A0B96"/>
    <w:rsid w:val="004A192B"/>
    <w:rsid w:val="004A19F0"/>
    <w:rsid w:val="004A1A61"/>
    <w:rsid w:val="004A1BDF"/>
    <w:rsid w:val="004A1FFF"/>
    <w:rsid w:val="004A2BCF"/>
    <w:rsid w:val="004A48F9"/>
    <w:rsid w:val="004A4A2A"/>
    <w:rsid w:val="004A4E34"/>
    <w:rsid w:val="004A5058"/>
    <w:rsid w:val="004A5519"/>
    <w:rsid w:val="004A55D7"/>
    <w:rsid w:val="004A55EF"/>
    <w:rsid w:val="004A62DF"/>
    <w:rsid w:val="004A687C"/>
    <w:rsid w:val="004A6BD3"/>
    <w:rsid w:val="004A731B"/>
    <w:rsid w:val="004A793D"/>
    <w:rsid w:val="004B0D7F"/>
    <w:rsid w:val="004B1CA0"/>
    <w:rsid w:val="004B223E"/>
    <w:rsid w:val="004B323B"/>
    <w:rsid w:val="004B5213"/>
    <w:rsid w:val="004B6551"/>
    <w:rsid w:val="004B6731"/>
    <w:rsid w:val="004B6874"/>
    <w:rsid w:val="004B69D8"/>
    <w:rsid w:val="004B6A1F"/>
    <w:rsid w:val="004B6A8F"/>
    <w:rsid w:val="004B741C"/>
    <w:rsid w:val="004B7AB3"/>
    <w:rsid w:val="004C0998"/>
    <w:rsid w:val="004C1430"/>
    <w:rsid w:val="004C1AB6"/>
    <w:rsid w:val="004C3110"/>
    <w:rsid w:val="004C3859"/>
    <w:rsid w:val="004C4271"/>
    <w:rsid w:val="004C54F5"/>
    <w:rsid w:val="004C55F5"/>
    <w:rsid w:val="004C5F81"/>
    <w:rsid w:val="004C6031"/>
    <w:rsid w:val="004C6709"/>
    <w:rsid w:val="004D0538"/>
    <w:rsid w:val="004D1196"/>
    <w:rsid w:val="004D1E2C"/>
    <w:rsid w:val="004D20DC"/>
    <w:rsid w:val="004D4231"/>
    <w:rsid w:val="004D4F0A"/>
    <w:rsid w:val="004D59F0"/>
    <w:rsid w:val="004D7DA9"/>
    <w:rsid w:val="004E0F26"/>
    <w:rsid w:val="004E1987"/>
    <w:rsid w:val="004E2CE3"/>
    <w:rsid w:val="004E3926"/>
    <w:rsid w:val="004E3CB1"/>
    <w:rsid w:val="004E4D3C"/>
    <w:rsid w:val="004E5A8C"/>
    <w:rsid w:val="004E60EB"/>
    <w:rsid w:val="004E62CF"/>
    <w:rsid w:val="004E66BC"/>
    <w:rsid w:val="004E7A69"/>
    <w:rsid w:val="004F0BBA"/>
    <w:rsid w:val="004F0CD9"/>
    <w:rsid w:val="004F15A6"/>
    <w:rsid w:val="004F23DC"/>
    <w:rsid w:val="004F2CDF"/>
    <w:rsid w:val="004F5636"/>
    <w:rsid w:val="004F590D"/>
    <w:rsid w:val="004F77A0"/>
    <w:rsid w:val="0050110E"/>
    <w:rsid w:val="00501834"/>
    <w:rsid w:val="0050204E"/>
    <w:rsid w:val="005040AC"/>
    <w:rsid w:val="00504D18"/>
    <w:rsid w:val="00505E90"/>
    <w:rsid w:val="00505F40"/>
    <w:rsid w:val="0050673A"/>
    <w:rsid w:val="00506ADC"/>
    <w:rsid w:val="00507379"/>
    <w:rsid w:val="005074F5"/>
    <w:rsid w:val="00507DCB"/>
    <w:rsid w:val="00507EF2"/>
    <w:rsid w:val="00510079"/>
    <w:rsid w:val="005108A0"/>
    <w:rsid w:val="00510B24"/>
    <w:rsid w:val="00510CF3"/>
    <w:rsid w:val="005111B6"/>
    <w:rsid w:val="00511834"/>
    <w:rsid w:val="005119F4"/>
    <w:rsid w:val="00512DA2"/>
    <w:rsid w:val="00512EBC"/>
    <w:rsid w:val="00513B58"/>
    <w:rsid w:val="00513B7A"/>
    <w:rsid w:val="005147B8"/>
    <w:rsid w:val="00514C4D"/>
    <w:rsid w:val="0051517A"/>
    <w:rsid w:val="00515E2A"/>
    <w:rsid w:val="00517737"/>
    <w:rsid w:val="005179B3"/>
    <w:rsid w:val="00517D0A"/>
    <w:rsid w:val="00520F36"/>
    <w:rsid w:val="005221DF"/>
    <w:rsid w:val="005222A3"/>
    <w:rsid w:val="00522A1F"/>
    <w:rsid w:val="00522B2A"/>
    <w:rsid w:val="00523A30"/>
    <w:rsid w:val="00523F24"/>
    <w:rsid w:val="00524248"/>
    <w:rsid w:val="0052436C"/>
    <w:rsid w:val="0052460E"/>
    <w:rsid w:val="0053001B"/>
    <w:rsid w:val="005301A9"/>
    <w:rsid w:val="00530888"/>
    <w:rsid w:val="00532172"/>
    <w:rsid w:val="00532935"/>
    <w:rsid w:val="00533725"/>
    <w:rsid w:val="00534BDD"/>
    <w:rsid w:val="00534ED2"/>
    <w:rsid w:val="005354F5"/>
    <w:rsid w:val="00536C7F"/>
    <w:rsid w:val="00536FB8"/>
    <w:rsid w:val="00537691"/>
    <w:rsid w:val="00537929"/>
    <w:rsid w:val="00540396"/>
    <w:rsid w:val="00540E13"/>
    <w:rsid w:val="00541CEC"/>
    <w:rsid w:val="00544782"/>
    <w:rsid w:val="005451A7"/>
    <w:rsid w:val="00545719"/>
    <w:rsid w:val="00546273"/>
    <w:rsid w:val="005469A3"/>
    <w:rsid w:val="0054757D"/>
    <w:rsid w:val="00547B04"/>
    <w:rsid w:val="00547D77"/>
    <w:rsid w:val="0055134B"/>
    <w:rsid w:val="00552820"/>
    <w:rsid w:val="00554029"/>
    <w:rsid w:val="00554F2F"/>
    <w:rsid w:val="00563B84"/>
    <w:rsid w:val="005648C5"/>
    <w:rsid w:val="00564D45"/>
    <w:rsid w:val="00565D94"/>
    <w:rsid w:val="005664BF"/>
    <w:rsid w:val="00566692"/>
    <w:rsid w:val="00567A92"/>
    <w:rsid w:val="00570130"/>
    <w:rsid w:val="00570567"/>
    <w:rsid w:val="00571510"/>
    <w:rsid w:val="005728FC"/>
    <w:rsid w:val="00576214"/>
    <w:rsid w:val="00580A04"/>
    <w:rsid w:val="00581724"/>
    <w:rsid w:val="0058216E"/>
    <w:rsid w:val="00582A6C"/>
    <w:rsid w:val="005836F5"/>
    <w:rsid w:val="00583BA1"/>
    <w:rsid w:val="00584467"/>
    <w:rsid w:val="00585A68"/>
    <w:rsid w:val="00585BC8"/>
    <w:rsid w:val="00585DF1"/>
    <w:rsid w:val="00586F8A"/>
    <w:rsid w:val="00587198"/>
    <w:rsid w:val="00587742"/>
    <w:rsid w:val="00587A8E"/>
    <w:rsid w:val="00587C81"/>
    <w:rsid w:val="005905BB"/>
    <w:rsid w:val="005907AF"/>
    <w:rsid w:val="0059132F"/>
    <w:rsid w:val="00591747"/>
    <w:rsid w:val="00593A6A"/>
    <w:rsid w:val="00593E88"/>
    <w:rsid w:val="00595273"/>
    <w:rsid w:val="00595C32"/>
    <w:rsid w:val="00595D54"/>
    <w:rsid w:val="0059621C"/>
    <w:rsid w:val="005964B1"/>
    <w:rsid w:val="00596C6B"/>
    <w:rsid w:val="00597054"/>
    <w:rsid w:val="0059707E"/>
    <w:rsid w:val="005A03E7"/>
    <w:rsid w:val="005A04B8"/>
    <w:rsid w:val="005A0B00"/>
    <w:rsid w:val="005A19BD"/>
    <w:rsid w:val="005A4629"/>
    <w:rsid w:val="005A4C9E"/>
    <w:rsid w:val="005A4E3F"/>
    <w:rsid w:val="005A5CB9"/>
    <w:rsid w:val="005B1A84"/>
    <w:rsid w:val="005B21A5"/>
    <w:rsid w:val="005B3AAB"/>
    <w:rsid w:val="005B3D9C"/>
    <w:rsid w:val="005B4214"/>
    <w:rsid w:val="005B431B"/>
    <w:rsid w:val="005B4373"/>
    <w:rsid w:val="005B44DA"/>
    <w:rsid w:val="005B510C"/>
    <w:rsid w:val="005B7963"/>
    <w:rsid w:val="005B7A7B"/>
    <w:rsid w:val="005C0351"/>
    <w:rsid w:val="005C2644"/>
    <w:rsid w:val="005C3B48"/>
    <w:rsid w:val="005C4B32"/>
    <w:rsid w:val="005C69AC"/>
    <w:rsid w:val="005C6AF7"/>
    <w:rsid w:val="005C6D78"/>
    <w:rsid w:val="005C7613"/>
    <w:rsid w:val="005D2001"/>
    <w:rsid w:val="005D22F1"/>
    <w:rsid w:val="005D2585"/>
    <w:rsid w:val="005D4538"/>
    <w:rsid w:val="005D75EF"/>
    <w:rsid w:val="005E04C1"/>
    <w:rsid w:val="005E0D2E"/>
    <w:rsid w:val="005E1B23"/>
    <w:rsid w:val="005E2695"/>
    <w:rsid w:val="005E2E53"/>
    <w:rsid w:val="005E2EE6"/>
    <w:rsid w:val="005E3817"/>
    <w:rsid w:val="005E3C7C"/>
    <w:rsid w:val="005E5A57"/>
    <w:rsid w:val="005E5B15"/>
    <w:rsid w:val="005E6877"/>
    <w:rsid w:val="005E7728"/>
    <w:rsid w:val="005F0B5F"/>
    <w:rsid w:val="005F218B"/>
    <w:rsid w:val="005F23E1"/>
    <w:rsid w:val="005F313D"/>
    <w:rsid w:val="005F3325"/>
    <w:rsid w:val="005F40BC"/>
    <w:rsid w:val="005F4892"/>
    <w:rsid w:val="005F5A04"/>
    <w:rsid w:val="005F7437"/>
    <w:rsid w:val="005F76AD"/>
    <w:rsid w:val="00601A2E"/>
    <w:rsid w:val="006028F9"/>
    <w:rsid w:val="0060577F"/>
    <w:rsid w:val="00606EC8"/>
    <w:rsid w:val="00607756"/>
    <w:rsid w:val="00607A3B"/>
    <w:rsid w:val="00607B3C"/>
    <w:rsid w:val="00607DCA"/>
    <w:rsid w:val="006110EF"/>
    <w:rsid w:val="0061170E"/>
    <w:rsid w:val="00611738"/>
    <w:rsid w:val="00611A12"/>
    <w:rsid w:val="00611C78"/>
    <w:rsid w:val="00611F00"/>
    <w:rsid w:val="00614635"/>
    <w:rsid w:val="006147DA"/>
    <w:rsid w:val="00614B35"/>
    <w:rsid w:val="0061601F"/>
    <w:rsid w:val="00616437"/>
    <w:rsid w:val="00617755"/>
    <w:rsid w:val="00621E56"/>
    <w:rsid w:val="00622E95"/>
    <w:rsid w:val="00623874"/>
    <w:rsid w:val="00624C15"/>
    <w:rsid w:val="00624C8B"/>
    <w:rsid w:val="006255D1"/>
    <w:rsid w:val="006258D5"/>
    <w:rsid w:val="00625FCF"/>
    <w:rsid w:val="006266FF"/>
    <w:rsid w:val="00627B6C"/>
    <w:rsid w:val="00630164"/>
    <w:rsid w:val="00630D78"/>
    <w:rsid w:val="00630EED"/>
    <w:rsid w:val="00631CF0"/>
    <w:rsid w:val="00631DC7"/>
    <w:rsid w:val="00631F6F"/>
    <w:rsid w:val="00632B9C"/>
    <w:rsid w:val="00632BF0"/>
    <w:rsid w:val="00632C74"/>
    <w:rsid w:val="00633B66"/>
    <w:rsid w:val="00634090"/>
    <w:rsid w:val="006352DF"/>
    <w:rsid w:val="0063783C"/>
    <w:rsid w:val="00640A46"/>
    <w:rsid w:val="00641EE0"/>
    <w:rsid w:val="0064269A"/>
    <w:rsid w:val="00642E51"/>
    <w:rsid w:val="00643D85"/>
    <w:rsid w:val="00644562"/>
    <w:rsid w:val="006459DB"/>
    <w:rsid w:val="00645D78"/>
    <w:rsid w:val="00647493"/>
    <w:rsid w:val="00647B54"/>
    <w:rsid w:val="00647DB4"/>
    <w:rsid w:val="00647E92"/>
    <w:rsid w:val="00650231"/>
    <w:rsid w:val="006504E5"/>
    <w:rsid w:val="00651651"/>
    <w:rsid w:val="0065168E"/>
    <w:rsid w:val="00652199"/>
    <w:rsid w:val="00652C9C"/>
    <w:rsid w:val="00652EC3"/>
    <w:rsid w:val="0065309F"/>
    <w:rsid w:val="00653565"/>
    <w:rsid w:val="00653711"/>
    <w:rsid w:val="006545B6"/>
    <w:rsid w:val="006550D1"/>
    <w:rsid w:val="00655138"/>
    <w:rsid w:val="00655D0D"/>
    <w:rsid w:val="00655F5A"/>
    <w:rsid w:val="0065605C"/>
    <w:rsid w:val="00656489"/>
    <w:rsid w:val="006564E0"/>
    <w:rsid w:val="006564E3"/>
    <w:rsid w:val="00656DF7"/>
    <w:rsid w:val="006577C8"/>
    <w:rsid w:val="00662E26"/>
    <w:rsid w:val="00664CFF"/>
    <w:rsid w:val="006650F9"/>
    <w:rsid w:val="00665D90"/>
    <w:rsid w:val="00666182"/>
    <w:rsid w:val="00666603"/>
    <w:rsid w:val="00670526"/>
    <w:rsid w:val="00670700"/>
    <w:rsid w:val="00670CC4"/>
    <w:rsid w:val="006726DB"/>
    <w:rsid w:val="00672999"/>
    <w:rsid w:val="00673BCB"/>
    <w:rsid w:val="00673D0C"/>
    <w:rsid w:val="00673DA9"/>
    <w:rsid w:val="006740FF"/>
    <w:rsid w:val="006747B2"/>
    <w:rsid w:val="00675C67"/>
    <w:rsid w:val="00675D8D"/>
    <w:rsid w:val="00675E1D"/>
    <w:rsid w:val="00676518"/>
    <w:rsid w:val="00676570"/>
    <w:rsid w:val="00676A0B"/>
    <w:rsid w:val="00677346"/>
    <w:rsid w:val="006774FD"/>
    <w:rsid w:val="00677CEE"/>
    <w:rsid w:val="00677D23"/>
    <w:rsid w:val="0068075F"/>
    <w:rsid w:val="00681195"/>
    <w:rsid w:val="006819A8"/>
    <w:rsid w:val="006826E6"/>
    <w:rsid w:val="006829E7"/>
    <w:rsid w:val="006837CD"/>
    <w:rsid w:val="00683AA3"/>
    <w:rsid w:val="00685074"/>
    <w:rsid w:val="00686C82"/>
    <w:rsid w:val="00687E54"/>
    <w:rsid w:val="00691E0C"/>
    <w:rsid w:val="00691E42"/>
    <w:rsid w:val="006934E1"/>
    <w:rsid w:val="00695066"/>
    <w:rsid w:val="00696C44"/>
    <w:rsid w:val="00696D1F"/>
    <w:rsid w:val="006974F3"/>
    <w:rsid w:val="006A0422"/>
    <w:rsid w:val="006A0556"/>
    <w:rsid w:val="006A0CA8"/>
    <w:rsid w:val="006A0CD4"/>
    <w:rsid w:val="006A109F"/>
    <w:rsid w:val="006A1F45"/>
    <w:rsid w:val="006A317B"/>
    <w:rsid w:val="006A39EC"/>
    <w:rsid w:val="006A512F"/>
    <w:rsid w:val="006A57E7"/>
    <w:rsid w:val="006A5A3A"/>
    <w:rsid w:val="006A5B46"/>
    <w:rsid w:val="006A5D19"/>
    <w:rsid w:val="006A6E9E"/>
    <w:rsid w:val="006A7297"/>
    <w:rsid w:val="006A72F0"/>
    <w:rsid w:val="006B0557"/>
    <w:rsid w:val="006B0808"/>
    <w:rsid w:val="006B1FEE"/>
    <w:rsid w:val="006B480C"/>
    <w:rsid w:val="006B4967"/>
    <w:rsid w:val="006B4F54"/>
    <w:rsid w:val="006B538F"/>
    <w:rsid w:val="006B6A52"/>
    <w:rsid w:val="006C21BD"/>
    <w:rsid w:val="006C33E9"/>
    <w:rsid w:val="006C3F81"/>
    <w:rsid w:val="006D004D"/>
    <w:rsid w:val="006D10A5"/>
    <w:rsid w:val="006D1B5F"/>
    <w:rsid w:val="006D2142"/>
    <w:rsid w:val="006D4CC1"/>
    <w:rsid w:val="006D604F"/>
    <w:rsid w:val="006D69B8"/>
    <w:rsid w:val="006E0AB7"/>
    <w:rsid w:val="006E12AB"/>
    <w:rsid w:val="006E1340"/>
    <w:rsid w:val="006E228C"/>
    <w:rsid w:val="006E23D1"/>
    <w:rsid w:val="006E2DB0"/>
    <w:rsid w:val="006E3637"/>
    <w:rsid w:val="006E4879"/>
    <w:rsid w:val="006E585D"/>
    <w:rsid w:val="006E5BB2"/>
    <w:rsid w:val="006E676D"/>
    <w:rsid w:val="006E6D4F"/>
    <w:rsid w:val="006E753A"/>
    <w:rsid w:val="006E7706"/>
    <w:rsid w:val="006E77B6"/>
    <w:rsid w:val="006E7AD4"/>
    <w:rsid w:val="006F0451"/>
    <w:rsid w:val="006F0465"/>
    <w:rsid w:val="006F1164"/>
    <w:rsid w:val="006F1C18"/>
    <w:rsid w:val="006F2605"/>
    <w:rsid w:val="006F2CBD"/>
    <w:rsid w:val="006F453E"/>
    <w:rsid w:val="006F4CC2"/>
    <w:rsid w:val="006F55DE"/>
    <w:rsid w:val="006F5A0B"/>
    <w:rsid w:val="006F6C33"/>
    <w:rsid w:val="006F74C0"/>
    <w:rsid w:val="006F78EC"/>
    <w:rsid w:val="006F7A85"/>
    <w:rsid w:val="00700151"/>
    <w:rsid w:val="00701266"/>
    <w:rsid w:val="007013D0"/>
    <w:rsid w:val="00701FBA"/>
    <w:rsid w:val="0070260C"/>
    <w:rsid w:val="00702744"/>
    <w:rsid w:val="00702976"/>
    <w:rsid w:val="00703554"/>
    <w:rsid w:val="00703576"/>
    <w:rsid w:val="00703886"/>
    <w:rsid w:val="00704145"/>
    <w:rsid w:val="007049C6"/>
    <w:rsid w:val="007053CC"/>
    <w:rsid w:val="00706B5A"/>
    <w:rsid w:val="00707E7B"/>
    <w:rsid w:val="0071049C"/>
    <w:rsid w:val="00710941"/>
    <w:rsid w:val="00711B98"/>
    <w:rsid w:val="00711E8B"/>
    <w:rsid w:val="00712D0F"/>
    <w:rsid w:val="007132B0"/>
    <w:rsid w:val="00715293"/>
    <w:rsid w:val="00715570"/>
    <w:rsid w:val="007159A9"/>
    <w:rsid w:val="00715A39"/>
    <w:rsid w:val="00716367"/>
    <w:rsid w:val="00716474"/>
    <w:rsid w:val="00716659"/>
    <w:rsid w:val="00717E2B"/>
    <w:rsid w:val="00721C8A"/>
    <w:rsid w:val="00722FCB"/>
    <w:rsid w:val="007235E7"/>
    <w:rsid w:val="00723D36"/>
    <w:rsid w:val="00724BBF"/>
    <w:rsid w:val="00726D04"/>
    <w:rsid w:val="00727359"/>
    <w:rsid w:val="00727929"/>
    <w:rsid w:val="00727EB2"/>
    <w:rsid w:val="00731D74"/>
    <w:rsid w:val="007357BB"/>
    <w:rsid w:val="007365B3"/>
    <w:rsid w:val="00737F3C"/>
    <w:rsid w:val="00740A7C"/>
    <w:rsid w:val="00741683"/>
    <w:rsid w:val="0074199C"/>
    <w:rsid w:val="007423BC"/>
    <w:rsid w:val="00742AF6"/>
    <w:rsid w:val="00744051"/>
    <w:rsid w:val="0074606C"/>
    <w:rsid w:val="00747161"/>
    <w:rsid w:val="00747329"/>
    <w:rsid w:val="0074778C"/>
    <w:rsid w:val="0075292E"/>
    <w:rsid w:val="00753595"/>
    <w:rsid w:val="007535EE"/>
    <w:rsid w:val="00754289"/>
    <w:rsid w:val="0075635B"/>
    <w:rsid w:val="00757482"/>
    <w:rsid w:val="0075754B"/>
    <w:rsid w:val="00760CB8"/>
    <w:rsid w:val="00761CC5"/>
    <w:rsid w:val="007625D2"/>
    <w:rsid w:val="00763C9B"/>
    <w:rsid w:val="00765713"/>
    <w:rsid w:val="0076799A"/>
    <w:rsid w:val="00767AC5"/>
    <w:rsid w:val="00770395"/>
    <w:rsid w:val="00771377"/>
    <w:rsid w:val="00773050"/>
    <w:rsid w:val="0077336B"/>
    <w:rsid w:val="00773513"/>
    <w:rsid w:val="00774A77"/>
    <w:rsid w:val="00774ABE"/>
    <w:rsid w:val="0077535F"/>
    <w:rsid w:val="007801CB"/>
    <w:rsid w:val="0078082A"/>
    <w:rsid w:val="00786461"/>
    <w:rsid w:val="007878AC"/>
    <w:rsid w:val="00790479"/>
    <w:rsid w:val="0079081D"/>
    <w:rsid w:val="0079156C"/>
    <w:rsid w:val="00791D02"/>
    <w:rsid w:val="00793645"/>
    <w:rsid w:val="007936F0"/>
    <w:rsid w:val="00794228"/>
    <w:rsid w:val="007946BB"/>
    <w:rsid w:val="00795B56"/>
    <w:rsid w:val="00796FE6"/>
    <w:rsid w:val="007A0035"/>
    <w:rsid w:val="007A1302"/>
    <w:rsid w:val="007A1541"/>
    <w:rsid w:val="007A15D5"/>
    <w:rsid w:val="007A1CE3"/>
    <w:rsid w:val="007A232A"/>
    <w:rsid w:val="007A3505"/>
    <w:rsid w:val="007A5466"/>
    <w:rsid w:val="007A563C"/>
    <w:rsid w:val="007A67C9"/>
    <w:rsid w:val="007A70C2"/>
    <w:rsid w:val="007B00BC"/>
    <w:rsid w:val="007B0A7B"/>
    <w:rsid w:val="007B27E4"/>
    <w:rsid w:val="007B3911"/>
    <w:rsid w:val="007B3CE5"/>
    <w:rsid w:val="007B45BE"/>
    <w:rsid w:val="007B59FC"/>
    <w:rsid w:val="007B7BC8"/>
    <w:rsid w:val="007C04D3"/>
    <w:rsid w:val="007C1CD8"/>
    <w:rsid w:val="007C2968"/>
    <w:rsid w:val="007C2A17"/>
    <w:rsid w:val="007C2A40"/>
    <w:rsid w:val="007C37B0"/>
    <w:rsid w:val="007C3B48"/>
    <w:rsid w:val="007C3FB8"/>
    <w:rsid w:val="007C4742"/>
    <w:rsid w:val="007C50ED"/>
    <w:rsid w:val="007C6A1C"/>
    <w:rsid w:val="007C6BEC"/>
    <w:rsid w:val="007C6CD5"/>
    <w:rsid w:val="007D09A2"/>
    <w:rsid w:val="007D5547"/>
    <w:rsid w:val="007D55CD"/>
    <w:rsid w:val="007D5679"/>
    <w:rsid w:val="007D6153"/>
    <w:rsid w:val="007D6CB3"/>
    <w:rsid w:val="007D7C49"/>
    <w:rsid w:val="007E0807"/>
    <w:rsid w:val="007E16C6"/>
    <w:rsid w:val="007E1A9F"/>
    <w:rsid w:val="007E20E7"/>
    <w:rsid w:val="007E21AF"/>
    <w:rsid w:val="007E2D2B"/>
    <w:rsid w:val="007E35C4"/>
    <w:rsid w:val="007E3BEC"/>
    <w:rsid w:val="007E42C0"/>
    <w:rsid w:val="007E42E2"/>
    <w:rsid w:val="007E4FD2"/>
    <w:rsid w:val="007E58D7"/>
    <w:rsid w:val="007E5D50"/>
    <w:rsid w:val="007E5F33"/>
    <w:rsid w:val="007E6D44"/>
    <w:rsid w:val="007E728A"/>
    <w:rsid w:val="007E72A3"/>
    <w:rsid w:val="007E7837"/>
    <w:rsid w:val="007E7984"/>
    <w:rsid w:val="007F26BE"/>
    <w:rsid w:val="007F27DB"/>
    <w:rsid w:val="007F31D4"/>
    <w:rsid w:val="007F3B2A"/>
    <w:rsid w:val="007F4A3B"/>
    <w:rsid w:val="007F52EF"/>
    <w:rsid w:val="007F5DB2"/>
    <w:rsid w:val="007F60D4"/>
    <w:rsid w:val="007F7328"/>
    <w:rsid w:val="007F7CEC"/>
    <w:rsid w:val="0080046D"/>
    <w:rsid w:val="00801BE5"/>
    <w:rsid w:val="00803424"/>
    <w:rsid w:val="00803D2C"/>
    <w:rsid w:val="00803FB9"/>
    <w:rsid w:val="008044DC"/>
    <w:rsid w:val="00804592"/>
    <w:rsid w:val="008045C8"/>
    <w:rsid w:val="00807019"/>
    <w:rsid w:val="00812A10"/>
    <w:rsid w:val="008139F2"/>
    <w:rsid w:val="008141B2"/>
    <w:rsid w:val="00814B05"/>
    <w:rsid w:val="0081534A"/>
    <w:rsid w:val="008153A0"/>
    <w:rsid w:val="00815CDF"/>
    <w:rsid w:val="00815D64"/>
    <w:rsid w:val="00817177"/>
    <w:rsid w:val="00817561"/>
    <w:rsid w:val="00820245"/>
    <w:rsid w:val="008204F7"/>
    <w:rsid w:val="00820CA8"/>
    <w:rsid w:val="00820E66"/>
    <w:rsid w:val="0082250D"/>
    <w:rsid w:val="00822514"/>
    <w:rsid w:val="00823CF8"/>
    <w:rsid w:val="0082448A"/>
    <w:rsid w:val="00824710"/>
    <w:rsid w:val="00824926"/>
    <w:rsid w:val="008249EF"/>
    <w:rsid w:val="00824A1F"/>
    <w:rsid w:val="00824A4A"/>
    <w:rsid w:val="00825092"/>
    <w:rsid w:val="00825251"/>
    <w:rsid w:val="00825324"/>
    <w:rsid w:val="008259F7"/>
    <w:rsid w:val="00826086"/>
    <w:rsid w:val="00826480"/>
    <w:rsid w:val="00826794"/>
    <w:rsid w:val="00826974"/>
    <w:rsid w:val="00826E21"/>
    <w:rsid w:val="00827BCC"/>
    <w:rsid w:val="0083048B"/>
    <w:rsid w:val="008304F3"/>
    <w:rsid w:val="0083160C"/>
    <w:rsid w:val="008319A0"/>
    <w:rsid w:val="00831F48"/>
    <w:rsid w:val="0083253E"/>
    <w:rsid w:val="008328D8"/>
    <w:rsid w:val="008333F4"/>
    <w:rsid w:val="00833592"/>
    <w:rsid w:val="00833644"/>
    <w:rsid w:val="00834B43"/>
    <w:rsid w:val="00834E34"/>
    <w:rsid w:val="00835DF3"/>
    <w:rsid w:val="008361CD"/>
    <w:rsid w:val="00836E45"/>
    <w:rsid w:val="00842F19"/>
    <w:rsid w:val="00843534"/>
    <w:rsid w:val="0084481E"/>
    <w:rsid w:val="00844CA3"/>
    <w:rsid w:val="00844DFE"/>
    <w:rsid w:val="00846338"/>
    <w:rsid w:val="00846682"/>
    <w:rsid w:val="00850546"/>
    <w:rsid w:val="0085059B"/>
    <w:rsid w:val="00851F67"/>
    <w:rsid w:val="008530DA"/>
    <w:rsid w:val="0085396F"/>
    <w:rsid w:val="00853B9D"/>
    <w:rsid w:val="008541C6"/>
    <w:rsid w:val="008608C3"/>
    <w:rsid w:val="00860E75"/>
    <w:rsid w:val="008612B0"/>
    <w:rsid w:val="00862017"/>
    <w:rsid w:val="00862272"/>
    <w:rsid w:val="00862EA9"/>
    <w:rsid w:val="00864666"/>
    <w:rsid w:val="00864D6B"/>
    <w:rsid w:val="008655BA"/>
    <w:rsid w:val="00866A3A"/>
    <w:rsid w:val="008706BB"/>
    <w:rsid w:val="00871719"/>
    <w:rsid w:val="00871AB4"/>
    <w:rsid w:val="00871EB1"/>
    <w:rsid w:val="00872BE8"/>
    <w:rsid w:val="0087325E"/>
    <w:rsid w:val="00873B69"/>
    <w:rsid w:val="00873D3A"/>
    <w:rsid w:val="00875E57"/>
    <w:rsid w:val="00875E95"/>
    <w:rsid w:val="00876638"/>
    <w:rsid w:val="008779E0"/>
    <w:rsid w:val="008819F6"/>
    <w:rsid w:val="00882346"/>
    <w:rsid w:val="008844A5"/>
    <w:rsid w:val="008848B6"/>
    <w:rsid w:val="00884CB4"/>
    <w:rsid w:val="0088570B"/>
    <w:rsid w:val="00886F0B"/>
    <w:rsid w:val="0088738E"/>
    <w:rsid w:val="00887B92"/>
    <w:rsid w:val="00887C9E"/>
    <w:rsid w:val="00887EF8"/>
    <w:rsid w:val="00891252"/>
    <w:rsid w:val="008914E7"/>
    <w:rsid w:val="0089280D"/>
    <w:rsid w:val="0089358B"/>
    <w:rsid w:val="008937A2"/>
    <w:rsid w:val="008937FF"/>
    <w:rsid w:val="00895192"/>
    <w:rsid w:val="00895968"/>
    <w:rsid w:val="00895B49"/>
    <w:rsid w:val="00895CE2"/>
    <w:rsid w:val="008964B7"/>
    <w:rsid w:val="008975E0"/>
    <w:rsid w:val="0089786E"/>
    <w:rsid w:val="008A058B"/>
    <w:rsid w:val="008A0BED"/>
    <w:rsid w:val="008A0F22"/>
    <w:rsid w:val="008A22A2"/>
    <w:rsid w:val="008A4331"/>
    <w:rsid w:val="008A4787"/>
    <w:rsid w:val="008A4DF7"/>
    <w:rsid w:val="008A51B6"/>
    <w:rsid w:val="008B10EF"/>
    <w:rsid w:val="008B1DA6"/>
    <w:rsid w:val="008B2BA9"/>
    <w:rsid w:val="008B4E4C"/>
    <w:rsid w:val="008B50DD"/>
    <w:rsid w:val="008B6636"/>
    <w:rsid w:val="008B68DD"/>
    <w:rsid w:val="008B7189"/>
    <w:rsid w:val="008B7458"/>
    <w:rsid w:val="008B7FDF"/>
    <w:rsid w:val="008C0124"/>
    <w:rsid w:val="008C083A"/>
    <w:rsid w:val="008C0C0A"/>
    <w:rsid w:val="008C0C5D"/>
    <w:rsid w:val="008C2386"/>
    <w:rsid w:val="008C2D81"/>
    <w:rsid w:val="008C3298"/>
    <w:rsid w:val="008C366A"/>
    <w:rsid w:val="008C3A6E"/>
    <w:rsid w:val="008C4F60"/>
    <w:rsid w:val="008C5BDE"/>
    <w:rsid w:val="008C6374"/>
    <w:rsid w:val="008C7CA5"/>
    <w:rsid w:val="008D0CDD"/>
    <w:rsid w:val="008D18FB"/>
    <w:rsid w:val="008D1C0A"/>
    <w:rsid w:val="008D2A8F"/>
    <w:rsid w:val="008D3C5D"/>
    <w:rsid w:val="008D4757"/>
    <w:rsid w:val="008D52F3"/>
    <w:rsid w:val="008D5A4D"/>
    <w:rsid w:val="008D5E00"/>
    <w:rsid w:val="008D67DE"/>
    <w:rsid w:val="008D7383"/>
    <w:rsid w:val="008D74BD"/>
    <w:rsid w:val="008D7777"/>
    <w:rsid w:val="008D7798"/>
    <w:rsid w:val="008D7ABA"/>
    <w:rsid w:val="008E0062"/>
    <w:rsid w:val="008E6719"/>
    <w:rsid w:val="008E722F"/>
    <w:rsid w:val="008E72AB"/>
    <w:rsid w:val="008E79B4"/>
    <w:rsid w:val="008F1413"/>
    <w:rsid w:val="008F143E"/>
    <w:rsid w:val="008F1956"/>
    <w:rsid w:val="008F4042"/>
    <w:rsid w:val="008F47B8"/>
    <w:rsid w:val="008F5623"/>
    <w:rsid w:val="008F5DBF"/>
    <w:rsid w:val="008F5ED7"/>
    <w:rsid w:val="008F6AB8"/>
    <w:rsid w:val="008F7269"/>
    <w:rsid w:val="008F7EEB"/>
    <w:rsid w:val="009013D0"/>
    <w:rsid w:val="00901760"/>
    <w:rsid w:val="009017E2"/>
    <w:rsid w:val="00901F11"/>
    <w:rsid w:val="00902301"/>
    <w:rsid w:val="009026D8"/>
    <w:rsid w:val="00902C32"/>
    <w:rsid w:val="00902C8E"/>
    <w:rsid w:val="00903830"/>
    <w:rsid w:val="00904695"/>
    <w:rsid w:val="0090535F"/>
    <w:rsid w:val="00905C0D"/>
    <w:rsid w:val="00905F73"/>
    <w:rsid w:val="00906791"/>
    <w:rsid w:val="00906DB3"/>
    <w:rsid w:val="00910303"/>
    <w:rsid w:val="00912033"/>
    <w:rsid w:val="00912588"/>
    <w:rsid w:val="009125CD"/>
    <w:rsid w:val="0091459D"/>
    <w:rsid w:val="00915D1E"/>
    <w:rsid w:val="009161D3"/>
    <w:rsid w:val="00916C22"/>
    <w:rsid w:val="00916CFC"/>
    <w:rsid w:val="00917D63"/>
    <w:rsid w:val="00917FA3"/>
    <w:rsid w:val="0092003E"/>
    <w:rsid w:val="00920077"/>
    <w:rsid w:val="00920A73"/>
    <w:rsid w:val="0092229F"/>
    <w:rsid w:val="00924B53"/>
    <w:rsid w:val="00924E7B"/>
    <w:rsid w:val="009261EC"/>
    <w:rsid w:val="009265C1"/>
    <w:rsid w:val="0092767D"/>
    <w:rsid w:val="00930B0B"/>
    <w:rsid w:val="00930F84"/>
    <w:rsid w:val="0093111A"/>
    <w:rsid w:val="009314E8"/>
    <w:rsid w:val="00931588"/>
    <w:rsid w:val="00932272"/>
    <w:rsid w:val="00932E4E"/>
    <w:rsid w:val="00933FB7"/>
    <w:rsid w:val="0093640B"/>
    <w:rsid w:val="00936BC2"/>
    <w:rsid w:val="009404E8"/>
    <w:rsid w:val="009407C7"/>
    <w:rsid w:val="00940CC1"/>
    <w:rsid w:val="00941100"/>
    <w:rsid w:val="00941384"/>
    <w:rsid w:val="009426B4"/>
    <w:rsid w:val="00942A7E"/>
    <w:rsid w:val="00943533"/>
    <w:rsid w:val="00943CB9"/>
    <w:rsid w:val="00943D5A"/>
    <w:rsid w:val="00943FC0"/>
    <w:rsid w:val="00944CF0"/>
    <w:rsid w:val="00945E91"/>
    <w:rsid w:val="00946F4D"/>
    <w:rsid w:val="0094775D"/>
    <w:rsid w:val="009506B0"/>
    <w:rsid w:val="00951577"/>
    <w:rsid w:val="00951F3B"/>
    <w:rsid w:val="0095247A"/>
    <w:rsid w:val="009527AF"/>
    <w:rsid w:val="00955DDB"/>
    <w:rsid w:val="00956F1B"/>
    <w:rsid w:val="0095783C"/>
    <w:rsid w:val="00957A1D"/>
    <w:rsid w:val="00957F78"/>
    <w:rsid w:val="0096310E"/>
    <w:rsid w:val="00964BE0"/>
    <w:rsid w:val="00966212"/>
    <w:rsid w:val="009662C5"/>
    <w:rsid w:val="0096693A"/>
    <w:rsid w:val="00966E1B"/>
    <w:rsid w:val="00966F41"/>
    <w:rsid w:val="009670E8"/>
    <w:rsid w:val="0096756F"/>
    <w:rsid w:val="0096786F"/>
    <w:rsid w:val="009706BC"/>
    <w:rsid w:val="009735BA"/>
    <w:rsid w:val="0097399D"/>
    <w:rsid w:val="009747A8"/>
    <w:rsid w:val="009754D5"/>
    <w:rsid w:val="00976B81"/>
    <w:rsid w:val="0097720C"/>
    <w:rsid w:val="0097763E"/>
    <w:rsid w:val="00977F65"/>
    <w:rsid w:val="009804C2"/>
    <w:rsid w:val="0098057F"/>
    <w:rsid w:val="009809FF"/>
    <w:rsid w:val="009842D1"/>
    <w:rsid w:val="00984376"/>
    <w:rsid w:val="009845D2"/>
    <w:rsid w:val="00984E58"/>
    <w:rsid w:val="00985DAE"/>
    <w:rsid w:val="009869E0"/>
    <w:rsid w:val="00986A9A"/>
    <w:rsid w:val="009915A1"/>
    <w:rsid w:val="00991B2E"/>
    <w:rsid w:val="00991E0C"/>
    <w:rsid w:val="0099376F"/>
    <w:rsid w:val="00993FBC"/>
    <w:rsid w:val="009954EA"/>
    <w:rsid w:val="00995B64"/>
    <w:rsid w:val="0099745A"/>
    <w:rsid w:val="00997897"/>
    <w:rsid w:val="009A042E"/>
    <w:rsid w:val="009A04D7"/>
    <w:rsid w:val="009A1B05"/>
    <w:rsid w:val="009A4071"/>
    <w:rsid w:val="009A67F1"/>
    <w:rsid w:val="009A70CD"/>
    <w:rsid w:val="009A7FC2"/>
    <w:rsid w:val="009B0C24"/>
    <w:rsid w:val="009B1750"/>
    <w:rsid w:val="009B213A"/>
    <w:rsid w:val="009B47AF"/>
    <w:rsid w:val="009B54E9"/>
    <w:rsid w:val="009B5A89"/>
    <w:rsid w:val="009B5AB9"/>
    <w:rsid w:val="009B7875"/>
    <w:rsid w:val="009C0052"/>
    <w:rsid w:val="009C0F84"/>
    <w:rsid w:val="009C1846"/>
    <w:rsid w:val="009C1EA0"/>
    <w:rsid w:val="009C2692"/>
    <w:rsid w:val="009C41E6"/>
    <w:rsid w:val="009C5CED"/>
    <w:rsid w:val="009C60ED"/>
    <w:rsid w:val="009C66FB"/>
    <w:rsid w:val="009C6E40"/>
    <w:rsid w:val="009C70CC"/>
    <w:rsid w:val="009D056C"/>
    <w:rsid w:val="009D0B7A"/>
    <w:rsid w:val="009D0C05"/>
    <w:rsid w:val="009D16F9"/>
    <w:rsid w:val="009D1F44"/>
    <w:rsid w:val="009D2039"/>
    <w:rsid w:val="009D37EF"/>
    <w:rsid w:val="009D39B5"/>
    <w:rsid w:val="009D3B6E"/>
    <w:rsid w:val="009D4E11"/>
    <w:rsid w:val="009D5728"/>
    <w:rsid w:val="009D5B65"/>
    <w:rsid w:val="009D6B8E"/>
    <w:rsid w:val="009D6CDB"/>
    <w:rsid w:val="009D70B4"/>
    <w:rsid w:val="009E0634"/>
    <w:rsid w:val="009E2C74"/>
    <w:rsid w:val="009E4312"/>
    <w:rsid w:val="009E46B5"/>
    <w:rsid w:val="009E76AC"/>
    <w:rsid w:val="009F051B"/>
    <w:rsid w:val="009F06AC"/>
    <w:rsid w:val="009F0D99"/>
    <w:rsid w:val="009F134F"/>
    <w:rsid w:val="009F1455"/>
    <w:rsid w:val="009F1E1E"/>
    <w:rsid w:val="009F2CA7"/>
    <w:rsid w:val="009F31F9"/>
    <w:rsid w:val="009F328A"/>
    <w:rsid w:val="009F3BA5"/>
    <w:rsid w:val="009F4945"/>
    <w:rsid w:val="009F6949"/>
    <w:rsid w:val="009F724B"/>
    <w:rsid w:val="009F7377"/>
    <w:rsid w:val="00A00678"/>
    <w:rsid w:val="00A01A2A"/>
    <w:rsid w:val="00A02D2F"/>
    <w:rsid w:val="00A0345A"/>
    <w:rsid w:val="00A0393A"/>
    <w:rsid w:val="00A048BB"/>
    <w:rsid w:val="00A04D87"/>
    <w:rsid w:val="00A04F31"/>
    <w:rsid w:val="00A05486"/>
    <w:rsid w:val="00A077D8"/>
    <w:rsid w:val="00A103F4"/>
    <w:rsid w:val="00A1216F"/>
    <w:rsid w:val="00A12D08"/>
    <w:rsid w:val="00A1343A"/>
    <w:rsid w:val="00A135C2"/>
    <w:rsid w:val="00A142B9"/>
    <w:rsid w:val="00A1516D"/>
    <w:rsid w:val="00A1598E"/>
    <w:rsid w:val="00A167AE"/>
    <w:rsid w:val="00A16FF3"/>
    <w:rsid w:val="00A17617"/>
    <w:rsid w:val="00A2096C"/>
    <w:rsid w:val="00A20DAD"/>
    <w:rsid w:val="00A2112B"/>
    <w:rsid w:val="00A219C0"/>
    <w:rsid w:val="00A21C8A"/>
    <w:rsid w:val="00A220EB"/>
    <w:rsid w:val="00A22DAB"/>
    <w:rsid w:val="00A240A2"/>
    <w:rsid w:val="00A24138"/>
    <w:rsid w:val="00A246DF"/>
    <w:rsid w:val="00A25230"/>
    <w:rsid w:val="00A261F7"/>
    <w:rsid w:val="00A26C40"/>
    <w:rsid w:val="00A27976"/>
    <w:rsid w:val="00A27D04"/>
    <w:rsid w:val="00A30CC7"/>
    <w:rsid w:val="00A31CF7"/>
    <w:rsid w:val="00A341C2"/>
    <w:rsid w:val="00A341DA"/>
    <w:rsid w:val="00A35BC1"/>
    <w:rsid w:val="00A3605A"/>
    <w:rsid w:val="00A37494"/>
    <w:rsid w:val="00A42D35"/>
    <w:rsid w:val="00A42D7D"/>
    <w:rsid w:val="00A437A7"/>
    <w:rsid w:val="00A43D42"/>
    <w:rsid w:val="00A457D1"/>
    <w:rsid w:val="00A45CDF"/>
    <w:rsid w:val="00A46B89"/>
    <w:rsid w:val="00A46B8E"/>
    <w:rsid w:val="00A50ABA"/>
    <w:rsid w:val="00A52D05"/>
    <w:rsid w:val="00A52E45"/>
    <w:rsid w:val="00A5315B"/>
    <w:rsid w:val="00A53716"/>
    <w:rsid w:val="00A5371A"/>
    <w:rsid w:val="00A5378B"/>
    <w:rsid w:val="00A53B30"/>
    <w:rsid w:val="00A53E30"/>
    <w:rsid w:val="00A54D8F"/>
    <w:rsid w:val="00A554E5"/>
    <w:rsid w:val="00A55E54"/>
    <w:rsid w:val="00A57CC3"/>
    <w:rsid w:val="00A60F85"/>
    <w:rsid w:val="00A6129C"/>
    <w:rsid w:val="00A618BF"/>
    <w:rsid w:val="00A64F10"/>
    <w:rsid w:val="00A6539F"/>
    <w:rsid w:val="00A67087"/>
    <w:rsid w:val="00A6756E"/>
    <w:rsid w:val="00A67876"/>
    <w:rsid w:val="00A67897"/>
    <w:rsid w:val="00A67BC7"/>
    <w:rsid w:val="00A67DC7"/>
    <w:rsid w:val="00A74A9B"/>
    <w:rsid w:val="00A74AB8"/>
    <w:rsid w:val="00A75588"/>
    <w:rsid w:val="00A75E7E"/>
    <w:rsid w:val="00A7600B"/>
    <w:rsid w:val="00A7671C"/>
    <w:rsid w:val="00A776D4"/>
    <w:rsid w:val="00A77B3B"/>
    <w:rsid w:val="00A80E5A"/>
    <w:rsid w:val="00A81E48"/>
    <w:rsid w:val="00A828FD"/>
    <w:rsid w:val="00A82B65"/>
    <w:rsid w:val="00A82B6F"/>
    <w:rsid w:val="00A830CE"/>
    <w:rsid w:val="00A84944"/>
    <w:rsid w:val="00A85519"/>
    <w:rsid w:val="00A85DD0"/>
    <w:rsid w:val="00A8642F"/>
    <w:rsid w:val="00A86E6C"/>
    <w:rsid w:val="00A86E78"/>
    <w:rsid w:val="00A9074E"/>
    <w:rsid w:val="00A908D5"/>
    <w:rsid w:val="00A91269"/>
    <w:rsid w:val="00A92445"/>
    <w:rsid w:val="00A92C29"/>
    <w:rsid w:val="00A93643"/>
    <w:rsid w:val="00A93CBC"/>
    <w:rsid w:val="00A94F5D"/>
    <w:rsid w:val="00A95A2F"/>
    <w:rsid w:val="00A95AD6"/>
    <w:rsid w:val="00AA0944"/>
    <w:rsid w:val="00AA0B27"/>
    <w:rsid w:val="00AA1C7D"/>
    <w:rsid w:val="00AA200D"/>
    <w:rsid w:val="00AA2DE6"/>
    <w:rsid w:val="00AA3EF5"/>
    <w:rsid w:val="00AA47A3"/>
    <w:rsid w:val="00AA5E8B"/>
    <w:rsid w:val="00AA7133"/>
    <w:rsid w:val="00AA78CC"/>
    <w:rsid w:val="00AA7CE6"/>
    <w:rsid w:val="00AB0435"/>
    <w:rsid w:val="00AB0E78"/>
    <w:rsid w:val="00AB140A"/>
    <w:rsid w:val="00AB2C85"/>
    <w:rsid w:val="00AB33BD"/>
    <w:rsid w:val="00AB38F0"/>
    <w:rsid w:val="00AB3AB9"/>
    <w:rsid w:val="00AB4077"/>
    <w:rsid w:val="00AB4223"/>
    <w:rsid w:val="00AB497E"/>
    <w:rsid w:val="00AB55A1"/>
    <w:rsid w:val="00AB5656"/>
    <w:rsid w:val="00AB5B21"/>
    <w:rsid w:val="00AB6357"/>
    <w:rsid w:val="00AB6A4A"/>
    <w:rsid w:val="00AB7554"/>
    <w:rsid w:val="00AB7A75"/>
    <w:rsid w:val="00AB7DD8"/>
    <w:rsid w:val="00AC1BFA"/>
    <w:rsid w:val="00AC293C"/>
    <w:rsid w:val="00AC2BF1"/>
    <w:rsid w:val="00AC4303"/>
    <w:rsid w:val="00AC5C58"/>
    <w:rsid w:val="00AC5D20"/>
    <w:rsid w:val="00AC5D2A"/>
    <w:rsid w:val="00AC63E4"/>
    <w:rsid w:val="00AC65CF"/>
    <w:rsid w:val="00AC77B9"/>
    <w:rsid w:val="00AC7ED3"/>
    <w:rsid w:val="00AD029B"/>
    <w:rsid w:val="00AD0A26"/>
    <w:rsid w:val="00AD1D41"/>
    <w:rsid w:val="00AD21BB"/>
    <w:rsid w:val="00AD2FA6"/>
    <w:rsid w:val="00AD433B"/>
    <w:rsid w:val="00AD78FF"/>
    <w:rsid w:val="00AE347C"/>
    <w:rsid w:val="00AE5FF4"/>
    <w:rsid w:val="00AE720D"/>
    <w:rsid w:val="00AE74FA"/>
    <w:rsid w:val="00AF06E7"/>
    <w:rsid w:val="00AF219D"/>
    <w:rsid w:val="00AF282A"/>
    <w:rsid w:val="00AF2B3A"/>
    <w:rsid w:val="00AF301E"/>
    <w:rsid w:val="00AF459C"/>
    <w:rsid w:val="00AF4896"/>
    <w:rsid w:val="00AF49E8"/>
    <w:rsid w:val="00AF5C4E"/>
    <w:rsid w:val="00AF7AEE"/>
    <w:rsid w:val="00AF7B75"/>
    <w:rsid w:val="00AF7D1C"/>
    <w:rsid w:val="00B00640"/>
    <w:rsid w:val="00B01C9B"/>
    <w:rsid w:val="00B028DD"/>
    <w:rsid w:val="00B02A8A"/>
    <w:rsid w:val="00B02A8C"/>
    <w:rsid w:val="00B03326"/>
    <w:rsid w:val="00B04656"/>
    <w:rsid w:val="00B04E1F"/>
    <w:rsid w:val="00B0500C"/>
    <w:rsid w:val="00B10360"/>
    <w:rsid w:val="00B1061E"/>
    <w:rsid w:val="00B10CF9"/>
    <w:rsid w:val="00B10CFD"/>
    <w:rsid w:val="00B11EB4"/>
    <w:rsid w:val="00B136DD"/>
    <w:rsid w:val="00B13FB6"/>
    <w:rsid w:val="00B14C4D"/>
    <w:rsid w:val="00B15356"/>
    <w:rsid w:val="00B15885"/>
    <w:rsid w:val="00B15E51"/>
    <w:rsid w:val="00B178B1"/>
    <w:rsid w:val="00B17A8D"/>
    <w:rsid w:val="00B2191F"/>
    <w:rsid w:val="00B23D1D"/>
    <w:rsid w:val="00B23DED"/>
    <w:rsid w:val="00B242AC"/>
    <w:rsid w:val="00B24B5D"/>
    <w:rsid w:val="00B251EF"/>
    <w:rsid w:val="00B265FA"/>
    <w:rsid w:val="00B2751A"/>
    <w:rsid w:val="00B32B94"/>
    <w:rsid w:val="00B33386"/>
    <w:rsid w:val="00B34305"/>
    <w:rsid w:val="00B34612"/>
    <w:rsid w:val="00B3489E"/>
    <w:rsid w:val="00B3707B"/>
    <w:rsid w:val="00B37D5D"/>
    <w:rsid w:val="00B37DF4"/>
    <w:rsid w:val="00B406CE"/>
    <w:rsid w:val="00B40D60"/>
    <w:rsid w:val="00B414FB"/>
    <w:rsid w:val="00B417B1"/>
    <w:rsid w:val="00B41D1D"/>
    <w:rsid w:val="00B424C7"/>
    <w:rsid w:val="00B4264B"/>
    <w:rsid w:val="00B44336"/>
    <w:rsid w:val="00B44672"/>
    <w:rsid w:val="00B45E2A"/>
    <w:rsid w:val="00B47BA1"/>
    <w:rsid w:val="00B51844"/>
    <w:rsid w:val="00B5287F"/>
    <w:rsid w:val="00B531D9"/>
    <w:rsid w:val="00B538D8"/>
    <w:rsid w:val="00B54454"/>
    <w:rsid w:val="00B548AD"/>
    <w:rsid w:val="00B55420"/>
    <w:rsid w:val="00B554AA"/>
    <w:rsid w:val="00B55752"/>
    <w:rsid w:val="00B5617D"/>
    <w:rsid w:val="00B570BF"/>
    <w:rsid w:val="00B60E5C"/>
    <w:rsid w:val="00B624C3"/>
    <w:rsid w:val="00B6274E"/>
    <w:rsid w:val="00B62EAF"/>
    <w:rsid w:val="00B63AD2"/>
    <w:rsid w:val="00B6440D"/>
    <w:rsid w:val="00B65A62"/>
    <w:rsid w:val="00B66354"/>
    <w:rsid w:val="00B66367"/>
    <w:rsid w:val="00B666A8"/>
    <w:rsid w:val="00B67037"/>
    <w:rsid w:val="00B7019A"/>
    <w:rsid w:val="00B7037D"/>
    <w:rsid w:val="00B70BE7"/>
    <w:rsid w:val="00B71123"/>
    <w:rsid w:val="00B7155C"/>
    <w:rsid w:val="00B72D8F"/>
    <w:rsid w:val="00B73913"/>
    <w:rsid w:val="00B73928"/>
    <w:rsid w:val="00B73A70"/>
    <w:rsid w:val="00B73C95"/>
    <w:rsid w:val="00B74283"/>
    <w:rsid w:val="00B745A8"/>
    <w:rsid w:val="00B749B0"/>
    <w:rsid w:val="00B75193"/>
    <w:rsid w:val="00B75E12"/>
    <w:rsid w:val="00B76B28"/>
    <w:rsid w:val="00B80C67"/>
    <w:rsid w:val="00B82480"/>
    <w:rsid w:val="00B82EBE"/>
    <w:rsid w:val="00B82EDA"/>
    <w:rsid w:val="00B83D02"/>
    <w:rsid w:val="00B84443"/>
    <w:rsid w:val="00B851F0"/>
    <w:rsid w:val="00B85FE6"/>
    <w:rsid w:val="00B909AE"/>
    <w:rsid w:val="00B914DA"/>
    <w:rsid w:val="00B92996"/>
    <w:rsid w:val="00B94F38"/>
    <w:rsid w:val="00B9794D"/>
    <w:rsid w:val="00BA02F7"/>
    <w:rsid w:val="00BA0C60"/>
    <w:rsid w:val="00BA0F06"/>
    <w:rsid w:val="00BA11EC"/>
    <w:rsid w:val="00BA1461"/>
    <w:rsid w:val="00BA20EA"/>
    <w:rsid w:val="00BA2561"/>
    <w:rsid w:val="00BA284F"/>
    <w:rsid w:val="00BA29A7"/>
    <w:rsid w:val="00BA2C15"/>
    <w:rsid w:val="00BA2EF7"/>
    <w:rsid w:val="00BA3252"/>
    <w:rsid w:val="00BA3B45"/>
    <w:rsid w:val="00BA401E"/>
    <w:rsid w:val="00BA4EDD"/>
    <w:rsid w:val="00BA5808"/>
    <w:rsid w:val="00BA6A39"/>
    <w:rsid w:val="00BA7B04"/>
    <w:rsid w:val="00BB00EF"/>
    <w:rsid w:val="00BB1374"/>
    <w:rsid w:val="00BB140A"/>
    <w:rsid w:val="00BB1EC4"/>
    <w:rsid w:val="00BB45A0"/>
    <w:rsid w:val="00BB473E"/>
    <w:rsid w:val="00BB49FC"/>
    <w:rsid w:val="00BB5143"/>
    <w:rsid w:val="00BB5B3C"/>
    <w:rsid w:val="00BB5C08"/>
    <w:rsid w:val="00BB5FD5"/>
    <w:rsid w:val="00BB637B"/>
    <w:rsid w:val="00BB6763"/>
    <w:rsid w:val="00BB79A6"/>
    <w:rsid w:val="00BB7AC1"/>
    <w:rsid w:val="00BB7C78"/>
    <w:rsid w:val="00BC03D4"/>
    <w:rsid w:val="00BC06B9"/>
    <w:rsid w:val="00BC1208"/>
    <w:rsid w:val="00BC1807"/>
    <w:rsid w:val="00BC23F9"/>
    <w:rsid w:val="00BC26B9"/>
    <w:rsid w:val="00BC28AD"/>
    <w:rsid w:val="00BC3262"/>
    <w:rsid w:val="00BC35AA"/>
    <w:rsid w:val="00BC37DD"/>
    <w:rsid w:val="00BC3C27"/>
    <w:rsid w:val="00BC3DFF"/>
    <w:rsid w:val="00BC4559"/>
    <w:rsid w:val="00BC4879"/>
    <w:rsid w:val="00BC4C4D"/>
    <w:rsid w:val="00BC5659"/>
    <w:rsid w:val="00BC6C05"/>
    <w:rsid w:val="00BC755E"/>
    <w:rsid w:val="00BD1183"/>
    <w:rsid w:val="00BD1A7F"/>
    <w:rsid w:val="00BD2352"/>
    <w:rsid w:val="00BD2471"/>
    <w:rsid w:val="00BD368D"/>
    <w:rsid w:val="00BD39AE"/>
    <w:rsid w:val="00BD480D"/>
    <w:rsid w:val="00BD7C84"/>
    <w:rsid w:val="00BE110E"/>
    <w:rsid w:val="00BE1FE9"/>
    <w:rsid w:val="00BE239F"/>
    <w:rsid w:val="00BE27DC"/>
    <w:rsid w:val="00BE29C8"/>
    <w:rsid w:val="00BE465B"/>
    <w:rsid w:val="00BE4E08"/>
    <w:rsid w:val="00BE587B"/>
    <w:rsid w:val="00BE6C75"/>
    <w:rsid w:val="00BE6F83"/>
    <w:rsid w:val="00BE7762"/>
    <w:rsid w:val="00BE7B8A"/>
    <w:rsid w:val="00BE7D18"/>
    <w:rsid w:val="00BE7FF8"/>
    <w:rsid w:val="00BF035F"/>
    <w:rsid w:val="00BF0A0D"/>
    <w:rsid w:val="00BF2A00"/>
    <w:rsid w:val="00BF3029"/>
    <w:rsid w:val="00BF32EA"/>
    <w:rsid w:val="00BF3862"/>
    <w:rsid w:val="00BF4DBA"/>
    <w:rsid w:val="00BF5931"/>
    <w:rsid w:val="00BF6A01"/>
    <w:rsid w:val="00BF6D84"/>
    <w:rsid w:val="00C03AD5"/>
    <w:rsid w:val="00C03FBF"/>
    <w:rsid w:val="00C04466"/>
    <w:rsid w:val="00C05572"/>
    <w:rsid w:val="00C06928"/>
    <w:rsid w:val="00C06C1C"/>
    <w:rsid w:val="00C077EC"/>
    <w:rsid w:val="00C07E38"/>
    <w:rsid w:val="00C11038"/>
    <w:rsid w:val="00C12319"/>
    <w:rsid w:val="00C131DD"/>
    <w:rsid w:val="00C13959"/>
    <w:rsid w:val="00C139F5"/>
    <w:rsid w:val="00C13FE0"/>
    <w:rsid w:val="00C15DCC"/>
    <w:rsid w:val="00C17EC3"/>
    <w:rsid w:val="00C20616"/>
    <w:rsid w:val="00C20CDB"/>
    <w:rsid w:val="00C216B6"/>
    <w:rsid w:val="00C218A4"/>
    <w:rsid w:val="00C22A48"/>
    <w:rsid w:val="00C23007"/>
    <w:rsid w:val="00C244ED"/>
    <w:rsid w:val="00C24F94"/>
    <w:rsid w:val="00C268E1"/>
    <w:rsid w:val="00C26A92"/>
    <w:rsid w:val="00C3025B"/>
    <w:rsid w:val="00C317AA"/>
    <w:rsid w:val="00C31C42"/>
    <w:rsid w:val="00C3242C"/>
    <w:rsid w:val="00C329B4"/>
    <w:rsid w:val="00C32DD0"/>
    <w:rsid w:val="00C34C52"/>
    <w:rsid w:val="00C36CEE"/>
    <w:rsid w:val="00C370CD"/>
    <w:rsid w:val="00C371FF"/>
    <w:rsid w:val="00C37593"/>
    <w:rsid w:val="00C403F7"/>
    <w:rsid w:val="00C40797"/>
    <w:rsid w:val="00C40A64"/>
    <w:rsid w:val="00C40B37"/>
    <w:rsid w:val="00C40C46"/>
    <w:rsid w:val="00C40F23"/>
    <w:rsid w:val="00C41240"/>
    <w:rsid w:val="00C41510"/>
    <w:rsid w:val="00C42639"/>
    <w:rsid w:val="00C42BFB"/>
    <w:rsid w:val="00C43991"/>
    <w:rsid w:val="00C43DB6"/>
    <w:rsid w:val="00C43DC3"/>
    <w:rsid w:val="00C44566"/>
    <w:rsid w:val="00C45C9D"/>
    <w:rsid w:val="00C46188"/>
    <w:rsid w:val="00C46CE5"/>
    <w:rsid w:val="00C46D89"/>
    <w:rsid w:val="00C47132"/>
    <w:rsid w:val="00C5064F"/>
    <w:rsid w:val="00C508C6"/>
    <w:rsid w:val="00C50FBA"/>
    <w:rsid w:val="00C51218"/>
    <w:rsid w:val="00C51464"/>
    <w:rsid w:val="00C51F55"/>
    <w:rsid w:val="00C52788"/>
    <w:rsid w:val="00C529A0"/>
    <w:rsid w:val="00C533AC"/>
    <w:rsid w:val="00C53D62"/>
    <w:rsid w:val="00C54EAA"/>
    <w:rsid w:val="00C550EC"/>
    <w:rsid w:val="00C55404"/>
    <w:rsid w:val="00C55619"/>
    <w:rsid w:val="00C571DF"/>
    <w:rsid w:val="00C61B21"/>
    <w:rsid w:val="00C6400B"/>
    <w:rsid w:val="00C6425E"/>
    <w:rsid w:val="00C647F0"/>
    <w:rsid w:val="00C64E4C"/>
    <w:rsid w:val="00C657EF"/>
    <w:rsid w:val="00C70CCE"/>
    <w:rsid w:val="00C72504"/>
    <w:rsid w:val="00C72BCF"/>
    <w:rsid w:val="00C732AF"/>
    <w:rsid w:val="00C7483F"/>
    <w:rsid w:val="00C75B12"/>
    <w:rsid w:val="00C77CEB"/>
    <w:rsid w:val="00C80272"/>
    <w:rsid w:val="00C815B1"/>
    <w:rsid w:val="00C84B8F"/>
    <w:rsid w:val="00C87ABD"/>
    <w:rsid w:val="00C87D15"/>
    <w:rsid w:val="00C91595"/>
    <w:rsid w:val="00C9263E"/>
    <w:rsid w:val="00C92B52"/>
    <w:rsid w:val="00C95808"/>
    <w:rsid w:val="00C96138"/>
    <w:rsid w:val="00C96F88"/>
    <w:rsid w:val="00C9722D"/>
    <w:rsid w:val="00C974E3"/>
    <w:rsid w:val="00C97A23"/>
    <w:rsid w:val="00C97E6A"/>
    <w:rsid w:val="00CA076C"/>
    <w:rsid w:val="00CA22AE"/>
    <w:rsid w:val="00CA234D"/>
    <w:rsid w:val="00CA24EE"/>
    <w:rsid w:val="00CA40C7"/>
    <w:rsid w:val="00CA46BC"/>
    <w:rsid w:val="00CA5236"/>
    <w:rsid w:val="00CA5D76"/>
    <w:rsid w:val="00CA6C99"/>
    <w:rsid w:val="00CA7375"/>
    <w:rsid w:val="00CB1169"/>
    <w:rsid w:val="00CB132A"/>
    <w:rsid w:val="00CB1DD8"/>
    <w:rsid w:val="00CB1DDB"/>
    <w:rsid w:val="00CB45D4"/>
    <w:rsid w:val="00CB5F31"/>
    <w:rsid w:val="00CB6BBC"/>
    <w:rsid w:val="00CB7A59"/>
    <w:rsid w:val="00CC0B07"/>
    <w:rsid w:val="00CC12EA"/>
    <w:rsid w:val="00CC2A11"/>
    <w:rsid w:val="00CC4139"/>
    <w:rsid w:val="00CC4A37"/>
    <w:rsid w:val="00CC4FEF"/>
    <w:rsid w:val="00CC5695"/>
    <w:rsid w:val="00CC5825"/>
    <w:rsid w:val="00CC7E97"/>
    <w:rsid w:val="00CD4303"/>
    <w:rsid w:val="00CD4CAA"/>
    <w:rsid w:val="00CD5085"/>
    <w:rsid w:val="00CD5451"/>
    <w:rsid w:val="00CE0159"/>
    <w:rsid w:val="00CE0185"/>
    <w:rsid w:val="00CE1814"/>
    <w:rsid w:val="00CE378C"/>
    <w:rsid w:val="00CE51ED"/>
    <w:rsid w:val="00CE53C3"/>
    <w:rsid w:val="00CE6195"/>
    <w:rsid w:val="00CE6263"/>
    <w:rsid w:val="00CE6362"/>
    <w:rsid w:val="00CF18FE"/>
    <w:rsid w:val="00CF33AF"/>
    <w:rsid w:val="00CF366E"/>
    <w:rsid w:val="00CF426D"/>
    <w:rsid w:val="00CF5D43"/>
    <w:rsid w:val="00CF64D2"/>
    <w:rsid w:val="00D0110F"/>
    <w:rsid w:val="00D0285A"/>
    <w:rsid w:val="00D0287F"/>
    <w:rsid w:val="00D0371A"/>
    <w:rsid w:val="00D03BE0"/>
    <w:rsid w:val="00D041EA"/>
    <w:rsid w:val="00D04993"/>
    <w:rsid w:val="00D04A26"/>
    <w:rsid w:val="00D04F80"/>
    <w:rsid w:val="00D05018"/>
    <w:rsid w:val="00D051BC"/>
    <w:rsid w:val="00D05B8D"/>
    <w:rsid w:val="00D0633A"/>
    <w:rsid w:val="00D0790A"/>
    <w:rsid w:val="00D07A60"/>
    <w:rsid w:val="00D10373"/>
    <w:rsid w:val="00D107AE"/>
    <w:rsid w:val="00D10972"/>
    <w:rsid w:val="00D13F6A"/>
    <w:rsid w:val="00D147C2"/>
    <w:rsid w:val="00D14C80"/>
    <w:rsid w:val="00D14E35"/>
    <w:rsid w:val="00D15F81"/>
    <w:rsid w:val="00D1693E"/>
    <w:rsid w:val="00D17650"/>
    <w:rsid w:val="00D22195"/>
    <w:rsid w:val="00D22218"/>
    <w:rsid w:val="00D22753"/>
    <w:rsid w:val="00D237D6"/>
    <w:rsid w:val="00D23FDB"/>
    <w:rsid w:val="00D25DF5"/>
    <w:rsid w:val="00D310CF"/>
    <w:rsid w:val="00D31762"/>
    <w:rsid w:val="00D332FC"/>
    <w:rsid w:val="00D338D7"/>
    <w:rsid w:val="00D33BFC"/>
    <w:rsid w:val="00D33C41"/>
    <w:rsid w:val="00D33CF9"/>
    <w:rsid w:val="00D36337"/>
    <w:rsid w:val="00D36C76"/>
    <w:rsid w:val="00D40B9F"/>
    <w:rsid w:val="00D41D4F"/>
    <w:rsid w:val="00D42222"/>
    <w:rsid w:val="00D42E2C"/>
    <w:rsid w:val="00D4360B"/>
    <w:rsid w:val="00D4372B"/>
    <w:rsid w:val="00D438B3"/>
    <w:rsid w:val="00D448A5"/>
    <w:rsid w:val="00D44C34"/>
    <w:rsid w:val="00D45FB4"/>
    <w:rsid w:val="00D467A7"/>
    <w:rsid w:val="00D47DBE"/>
    <w:rsid w:val="00D50DA9"/>
    <w:rsid w:val="00D51BBA"/>
    <w:rsid w:val="00D521B4"/>
    <w:rsid w:val="00D53E5B"/>
    <w:rsid w:val="00D5446F"/>
    <w:rsid w:val="00D550FF"/>
    <w:rsid w:val="00D55167"/>
    <w:rsid w:val="00D57820"/>
    <w:rsid w:val="00D6078E"/>
    <w:rsid w:val="00D608B5"/>
    <w:rsid w:val="00D617CB"/>
    <w:rsid w:val="00D617CE"/>
    <w:rsid w:val="00D619AD"/>
    <w:rsid w:val="00D62606"/>
    <w:rsid w:val="00D62854"/>
    <w:rsid w:val="00D6355A"/>
    <w:rsid w:val="00D637D5"/>
    <w:rsid w:val="00D63810"/>
    <w:rsid w:val="00D63BEF"/>
    <w:rsid w:val="00D6538C"/>
    <w:rsid w:val="00D654BC"/>
    <w:rsid w:val="00D67943"/>
    <w:rsid w:val="00D70A8D"/>
    <w:rsid w:val="00D70FC9"/>
    <w:rsid w:val="00D72012"/>
    <w:rsid w:val="00D725A3"/>
    <w:rsid w:val="00D72875"/>
    <w:rsid w:val="00D73000"/>
    <w:rsid w:val="00D73778"/>
    <w:rsid w:val="00D74463"/>
    <w:rsid w:val="00D748A4"/>
    <w:rsid w:val="00D7516D"/>
    <w:rsid w:val="00D75605"/>
    <w:rsid w:val="00D75D9D"/>
    <w:rsid w:val="00D7622D"/>
    <w:rsid w:val="00D770F4"/>
    <w:rsid w:val="00D77966"/>
    <w:rsid w:val="00D7798E"/>
    <w:rsid w:val="00D77A75"/>
    <w:rsid w:val="00D77B14"/>
    <w:rsid w:val="00D77C2B"/>
    <w:rsid w:val="00D80A8E"/>
    <w:rsid w:val="00D80B4E"/>
    <w:rsid w:val="00D8216A"/>
    <w:rsid w:val="00D82BEE"/>
    <w:rsid w:val="00D8589E"/>
    <w:rsid w:val="00D8596D"/>
    <w:rsid w:val="00D86339"/>
    <w:rsid w:val="00D86FFE"/>
    <w:rsid w:val="00D87290"/>
    <w:rsid w:val="00D874D4"/>
    <w:rsid w:val="00D87F5E"/>
    <w:rsid w:val="00D9230A"/>
    <w:rsid w:val="00D9240F"/>
    <w:rsid w:val="00D9424B"/>
    <w:rsid w:val="00D94419"/>
    <w:rsid w:val="00D946A7"/>
    <w:rsid w:val="00D95675"/>
    <w:rsid w:val="00DA2358"/>
    <w:rsid w:val="00DA24DE"/>
    <w:rsid w:val="00DA2946"/>
    <w:rsid w:val="00DA2AC2"/>
    <w:rsid w:val="00DA2FF0"/>
    <w:rsid w:val="00DA4B3E"/>
    <w:rsid w:val="00DA4CBE"/>
    <w:rsid w:val="00DA70DD"/>
    <w:rsid w:val="00DA729B"/>
    <w:rsid w:val="00DB24A8"/>
    <w:rsid w:val="00DB4A9C"/>
    <w:rsid w:val="00DB4E7E"/>
    <w:rsid w:val="00DB5B83"/>
    <w:rsid w:val="00DB5C32"/>
    <w:rsid w:val="00DB6037"/>
    <w:rsid w:val="00DB6741"/>
    <w:rsid w:val="00DB7146"/>
    <w:rsid w:val="00DB7908"/>
    <w:rsid w:val="00DB7E20"/>
    <w:rsid w:val="00DC0EA8"/>
    <w:rsid w:val="00DC1308"/>
    <w:rsid w:val="00DC183E"/>
    <w:rsid w:val="00DC3088"/>
    <w:rsid w:val="00DC3B87"/>
    <w:rsid w:val="00DC3EDB"/>
    <w:rsid w:val="00DC706C"/>
    <w:rsid w:val="00DC76F9"/>
    <w:rsid w:val="00DC799C"/>
    <w:rsid w:val="00DC7B53"/>
    <w:rsid w:val="00DD1811"/>
    <w:rsid w:val="00DD1CB1"/>
    <w:rsid w:val="00DD2072"/>
    <w:rsid w:val="00DD3049"/>
    <w:rsid w:val="00DD39D7"/>
    <w:rsid w:val="00DD52B5"/>
    <w:rsid w:val="00DD57A0"/>
    <w:rsid w:val="00DD594B"/>
    <w:rsid w:val="00DD6031"/>
    <w:rsid w:val="00DD6C0A"/>
    <w:rsid w:val="00DD6EC1"/>
    <w:rsid w:val="00DD7A1F"/>
    <w:rsid w:val="00DE060D"/>
    <w:rsid w:val="00DE07A3"/>
    <w:rsid w:val="00DE10D0"/>
    <w:rsid w:val="00DE315D"/>
    <w:rsid w:val="00DE4DAB"/>
    <w:rsid w:val="00DE550D"/>
    <w:rsid w:val="00DE552F"/>
    <w:rsid w:val="00DE5C80"/>
    <w:rsid w:val="00DE7A2B"/>
    <w:rsid w:val="00DF0E36"/>
    <w:rsid w:val="00DF1638"/>
    <w:rsid w:val="00DF1865"/>
    <w:rsid w:val="00DF2498"/>
    <w:rsid w:val="00DF24DC"/>
    <w:rsid w:val="00DF2AD6"/>
    <w:rsid w:val="00DF3A93"/>
    <w:rsid w:val="00DF53D9"/>
    <w:rsid w:val="00DF57D3"/>
    <w:rsid w:val="00DF5DA0"/>
    <w:rsid w:val="00DF64D4"/>
    <w:rsid w:val="00DF6708"/>
    <w:rsid w:val="00DF7174"/>
    <w:rsid w:val="00DF781C"/>
    <w:rsid w:val="00DF7AB0"/>
    <w:rsid w:val="00DF7E27"/>
    <w:rsid w:val="00DF7E47"/>
    <w:rsid w:val="00E01078"/>
    <w:rsid w:val="00E02634"/>
    <w:rsid w:val="00E02780"/>
    <w:rsid w:val="00E02A91"/>
    <w:rsid w:val="00E03DBD"/>
    <w:rsid w:val="00E055C8"/>
    <w:rsid w:val="00E05794"/>
    <w:rsid w:val="00E0589D"/>
    <w:rsid w:val="00E05FD1"/>
    <w:rsid w:val="00E11CD0"/>
    <w:rsid w:val="00E121C7"/>
    <w:rsid w:val="00E136BD"/>
    <w:rsid w:val="00E14635"/>
    <w:rsid w:val="00E167CD"/>
    <w:rsid w:val="00E17A37"/>
    <w:rsid w:val="00E206CB"/>
    <w:rsid w:val="00E210DD"/>
    <w:rsid w:val="00E21340"/>
    <w:rsid w:val="00E22632"/>
    <w:rsid w:val="00E241B7"/>
    <w:rsid w:val="00E2604D"/>
    <w:rsid w:val="00E27093"/>
    <w:rsid w:val="00E279C8"/>
    <w:rsid w:val="00E27FB4"/>
    <w:rsid w:val="00E3161D"/>
    <w:rsid w:val="00E317BF"/>
    <w:rsid w:val="00E32666"/>
    <w:rsid w:val="00E33A5C"/>
    <w:rsid w:val="00E33CAD"/>
    <w:rsid w:val="00E33FD3"/>
    <w:rsid w:val="00E3405F"/>
    <w:rsid w:val="00E35A88"/>
    <w:rsid w:val="00E35D96"/>
    <w:rsid w:val="00E36FD9"/>
    <w:rsid w:val="00E375A1"/>
    <w:rsid w:val="00E37A4D"/>
    <w:rsid w:val="00E40BBF"/>
    <w:rsid w:val="00E41377"/>
    <w:rsid w:val="00E41DFF"/>
    <w:rsid w:val="00E42334"/>
    <w:rsid w:val="00E42D51"/>
    <w:rsid w:val="00E432E6"/>
    <w:rsid w:val="00E44CC8"/>
    <w:rsid w:val="00E44ED6"/>
    <w:rsid w:val="00E45824"/>
    <w:rsid w:val="00E45D70"/>
    <w:rsid w:val="00E461CA"/>
    <w:rsid w:val="00E46638"/>
    <w:rsid w:val="00E4711D"/>
    <w:rsid w:val="00E4774E"/>
    <w:rsid w:val="00E4793B"/>
    <w:rsid w:val="00E47C30"/>
    <w:rsid w:val="00E50456"/>
    <w:rsid w:val="00E507B2"/>
    <w:rsid w:val="00E51783"/>
    <w:rsid w:val="00E519E8"/>
    <w:rsid w:val="00E528B5"/>
    <w:rsid w:val="00E533F3"/>
    <w:rsid w:val="00E5373A"/>
    <w:rsid w:val="00E53835"/>
    <w:rsid w:val="00E540A9"/>
    <w:rsid w:val="00E54ACD"/>
    <w:rsid w:val="00E55306"/>
    <w:rsid w:val="00E553EF"/>
    <w:rsid w:val="00E5568D"/>
    <w:rsid w:val="00E561A1"/>
    <w:rsid w:val="00E60375"/>
    <w:rsid w:val="00E603DD"/>
    <w:rsid w:val="00E6052B"/>
    <w:rsid w:val="00E61A30"/>
    <w:rsid w:val="00E62936"/>
    <w:rsid w:val="00E63149"/>
    <w:rsid w:val="00E63E5C"/>
    <w:rsid w:val="00E64EAB"/>
    <w:rsid w:val="00E663E7"/>
    <w:rsid w:val="00E665EF"/>
    <w:rsid w:val="00E66C2C"/>
    <w:rsid w:val="00E672D4"/>
    <w:rsid w:val="00E67E92"/>
    <w:rsid w:val="00E67EDD"/>
    <w:rsid w:val="00E70231"/>
    <w:rsid w:val="00E7048D"/>
    <w:rsid w:val="00E70524"/>
    <w:rsid w:val="00E70B78"/>
    <w:rsid w:val="00E7195F"/>
    <w:rsid w:val="00E72067"/>
    <w:rsid w:val="00E72EE4"/>
    <w:rsid w:val="00E74256"/>
    <w:rsid w:val="00E74A5C"/>
    <w:rsid w:val="00E755A3"/>
    <w:rsid w:val="00E77475"/>
    <w:rsid w:val="00E77E38"/>
    <w:rsid w:val="00E8034D"/>
    <w:rsid w:val="00E80FA3"/>
    <w:rsid w:val="00E820AF"/>
    <w:rsid w:val="00E83A01"/>
    <w:rsid w:val="00E84510"/>
    <w:rsid w:val="00E85823"/>
    <w:rsid w:val="00E870CC"/>
    <w:rsid w:val="00E87277"/>
    <w:rsid w:val="00E87648"/>
    <w:rsid w:val="00E87966"/>
    <w:rsid w:val="00E87CAA"/>
    <w:rsid w:val="00E9046C"/>
    <w:rsid w:val="00E90D6F"/>
    <w:rsid w:val="00E914D9"/>
    <w:rsid w:val="00E925A6"/>
    <w:rsid w:val="00E93668"/>
    <w:rsid w:val="00E940AA"/>
    <w:rsid w:val="00E940C2"/>
    <w:rsid w:val="00E96637"/>
    <w:rsid w:val="00E96FF1"/>
    <w:rsid w:val="00E975DE"/>
    <w:rsid w:val="00E976A6"/>
    <w:rsid w:val="00E97F63"/>
    <w:rsid w:val="00EA1866"/>
    <w:rsid w:val="00EA1FF8"/>
    <w:rsid w:val="00EA2078"/>
    <w:rsid w:val="00EA2365"/>
    <w:rsid w:val="00EA290F"/>
    <w:rsid w:val="00EA2F95"/>
    <w:rsid w:val="00EA31E7"/>
    <w:rsid w:val="00EA3CED"/>
    <w:rsid w:val="00EA4239"/>
    <w:rsid w:val="00EA47AB"/>
    <w:rsid w:val="00EA548C"/>
    <w:rsid w:val="00EA5AA5"/>
    <w:rsid w:val="00EA60A4"/>
    <w:rsid w:val="00EA7340"/>
    <w:rsid w:val="00EB04F4"/>
    <w:rsid w:val="00EB08D4"/>
    <w:rsid w:val="00EB13EA"/>
    <w:rsid w:val="00EB254E"/>
    <w:rsid w:val="00EB2CC0"/>
    <w:rsid w:val="00EB2E6F"/>
    <w:rsid w:val="00EB3352"/>
    <w:rsid w:val="00EB4303"/>
    <w:rsid w:val="00EB568D"/>
    <w:rsid w:val="00EB5F10"/>
    <w:rsid w:val="00EB662D"/>
    <w:rsid w:val="00EB6654"/>
    <w:rsid w:val="00EB677D"/>
    <w:rsid w:val="00EB6E61"/>
    <w:rsid w:val="00EB7306"/>
    <w:rsid w:val="00EC0033"/>
    <w:rsid w:val="00EC0244"/>
    <w:rsid w:val="00EC122A"/>
    <w:rsid w:val="00EC16B0"/>
    <w:rsid w:val="00EC243F"/>
    <w:rsid w:val="00EC2669"/>
    <w:rsid w:val="00EC2BE5"/>
    <w:rsid w:val="00EC3C14"/>
    <w:rsid w:val="00EC5BEC"/>
    <w:rsid w:val="00EC5F9A"/>
    <w:rsid w:val="00EC6166"/>
    <w:rsid w:val="00EC64CA"/>
    <w:rsid w:val="00ED069A"/>
    <w:rsid w:val="00ED0B2F"/>
    <w:rsid w:val="00ED0F2E"/>
    <w:rsid w:val="00ED23EE"/>
    <w:rsid w:val="00ED4EB6"/>
    <w:rsid w:val="00ED5463"/>
    <w:rsid w:val="00ED5576"/>
    <w:rsid w:val="00ED784D"/>
    <w:rsid w:val="00ED7D97"/>
    <w:rsid w:val="00EE0B0B"/>
    <w:rsid w:val="00EE19C0"/>
    <w:rsid w:val="00EE1A4F"/>
    <w:rsid w:val="00EE1C0E"/>
    <w:rsid w:val="00EE204C"/>
    <w:rsid w:val="00EE222B"/>
    <w:rsid w:val="00EE29F1"/>
    <w:rsid w:val="00EE4EBE"/>
    <w:rsid w:val="00EE5174"/>
    <w:rsid w:val="00EE5219"/>
    <w:rsid w:val="00EE6FAC"/>
    <w:rsid w:val="00EE7CD2"/>
    <w:rsid w:val="00EF139E"/>
    <w:rsid w:val="00EF16E7"/>
    <w:rsid w:val="00EF1D14"/>
    <w:rsid w:val="00EF1F9A"/>
    <w:rsid w:val="00EF2318"/>
    <w:rsid w:val="00EF2472"/>
    <w:rsid w:val="00EF2D27"/>
    <w:rsid w:val="00EF2F0A"/>
    <w:rsid w:val="00EF3B0A"/>
    <w:rsid w:val="00EF45AE"/>
    <w:rsid w:val="00EF69B8"/>
    <w:rsid w:val="00F00BD4"/>
    <w:rsid w:val="00F00F2B"/>
    <w:rsid w:val="00F0129D"/>
    <w:rsid w:val="00F019F2"/>
    <w:rsid w:val="00F022C5"/>
    <w:rsid w:val="00F02A04"/>
    <w:rsid w:val="00F03500"/>
    <w:rsid w:val="00F03DA0"/>
    <w:rsid w:val="00F041EC"/>
    <w:rsid w:val="00F044A4"/>
    <w:rsid w:val="00F04E52"/>
    <w:rsid w:val="00F04F7F"/>
    <w:rsid w:val="00F0502E"/>
    <w:rsid w:val="00F051D8"/>
    <w:rsid w:val="00F05870"/>
    <w:rsid w:val="00F05E13"/>
    <w:rsid w:val="00F07C28"/>
    <w:rsid w:val="00F10326"/>
    <w:rsid w:val="00F1058F"/>
    <w:rsid w:val="00F113D8"/>
    <w:rsid w:val="00F13028"/>
    <w:rsid w:val="00F1412D"/>
    <w:rsid w:val="00F1615C"/>
    <w:rsid w:val="00F16C78"/>
    <w:rsid w:val="00F209CD"/>
    <w:rsid w:val="00F20A5A"/>
    <w:rsid w:val="00F20AD9"/>
    <w:rsid w:val="00F21662"/>
    <w:rsid w:val="00F226FB"/>
    <w:rsid w:val="00F227C7"/>
    <w:rsid w:val="00F22C4B"/>
    <w:rsid w:val="00F23F56"/>
    <w:rsid w:val="00F2464F"/>
    <w:rsid w:val="00F24BC4"/>
    <w:rsid w:val="00F25D6A"/>
    <w:rsid w:val="00F26343"/>
    <w:rsid w:val="00F27143"/>
    <w:rsid w:val="00F3134B"/>
    <w:rsid w:val="00F32374"/>
    <w:rsid w:val="00F32616"/>
    <w:rsid w:val="00F32A7A"/>
    <w:rsid w:val="00F33250"/>
    <w:rsid w:val="00F34784"/>
    <w:rsid w:val="00F36B09"/>
    <w:rsid w:val="00F371C5"/>
    <w:rsid w:val="00F375B5"/>
    <w:rsid w:val="00F377F6"/>
    <w:rsid w:val="00F37952"/>
    <w:rsid w:val="00F37A25"/>
    <w:rsid w:val="00F37D0E"/>
    <w:rsid w:val="00F37DD3"/>
    <w:rsid w:val="00F4057C"/>
    <w:rsid w:val="00F40959"/>
    <w:rsid w:val="00F417AB"/>
    <w:rsid w:val="00F4194B"/>
    <w:rsid w:val="00F41D5E"/>
    <w:rsid w:val="00F42223"/>
    <w:rsid w:val="00F42B2A"/>
    <w:rsid w:val="00F42DAF"/>
    <w:rsid w:val="00F42E34"/>
    <w:rsid w:val="00F4306F"/>
    <w:rsid w:val="00F434D9"/>
    <w:rsid w:val="00F438C3"/>
    <w:rsid w:val="00F43AC2"/>
    <w:rsid w:val="00F45180"/>
    <w:rsid w:val="00F45B5E"/>
    <w:rsid w:val="00F45EB6"/>
    <w:rsid w:val="00F464AF"/>
    <w:rsid w:val="00F46942"/>
    <w:rsid w:val="00F50155"/>
    <w:rsid w:val="00F50D5F"/>
    <w:rsid w:val="00F5169B"/>
    <w:rsid w:val="00F51A47"/>
    <w:rsid w:val="00F54374"/>
    <w:rsid w:val="00F54C03"/>
    <w:rsid w:val="00F55DA6"/>
    <w:rsid w:val="00F55EA5"/>
    <w:rsid w:val="00F5651F"/>
    <w:rsid w:val="00F60190"/>
    <w:rsid w:val="00F60A39"/>
    <w:rsid w:val="00F62F5D"/>
    <w:rsid w:val="00F64132"/>
    <w:rsid w:val="00F6451C"/>
    <w:rsid w:val="00F64EE9"/>
    <w:rsid w:val="00F65066"/>
    <w:rsid w:val="00F67779"/>
    <w:rsid w:val="00F72E8F"/>
    <w:rsid w:val="00F72E9E"/>
    <w:rsid w:val="00F73238"/>
    <w:rsid w:val="00F7406E"/>
    <w:rsid w:val="00F74667"/>
    <w:rsid w:val="00F74A4A"/>
    <w:rsid w:val="00F74A98"/>
    <w:rsid w:val="00F762E2"/>
    <w:rsid w:val="00F7665B"/>
    <w:rsid w:val="00F76AF9"/>
    <w:rsid w:val="00F76F72"/>
    <w:rsid w:val="00F8138B"/>
    <w:rsid w:val="00F82631"/>
    <w:rsid w:val="00F84366"/>
    <w:rsid w:val="00F84DE9"/>
    <w:rsid w:val="00F85A88"/>
    <w:rsid w:val="00F90144"/>
    <w:rsid w:val="00F90275"/>
    <w:rsid w:val="00F910B9"/>
    <w:rsid w:val="00F91E2E"/>
    <w:rsid w:val="00F922D5"/>
    <w:rsid w:val="00F92939"/>
    <w:rsid w:val="00F933F1"/>
    <w:rsid w:val="00F93CC5"/>
    <w:rsid w:val="00F95D43"/>
    <w:rsid w:val="00F95ECF"/>
    <w:rsid w:val="00F95F57"/>
    <w:rsid w:val="00F9668A"/>
    <w:rsid w:val="00F973CD"/>
    <w:rsid w:val="00F97966"/>
    <w:rsid w:val="00FA0A68"/>
    <w:rsid w:val="00FA16EE"/>
    <w:rsid w:val="00FA1762"/>
    <w:rsid w:val="00FA17A6"/>
    <w:rsid w:val="00FA1A9B"/>
    <w:rsid w:val="00FA2691"/>
    <w:rsid w:val="00FA32A1"/>
    <w:rsid w:val="00FA3827"/>
    <w:rsid w:val="00FA3E28"/>
    <w:rsid w:val="00FA49E2"/>
    <w:rsid w:val="00FA4F3B"/>
    <w:rsid w:val="00FA5097"/>
    <w:rsid w:val="00FA5190"/>
    <w:rsid w:val="00FA5498"/>
    <w:rsid w:val="00FA59C3"/>
    <w:rsid w:val="00FA6FD3"/>
    <w:rsid w:val="00FA7C5F"/>
    <w:rsid w:val="00FB0018"/>
    <w:rsid w:val="00FB02AC"/>
    <w:rsid w:val="00FB083C"/>
    <w:rsid w:val="00FB09C3"/>
    <w:rsid w:val="00FB0B73"/>
    <w:rsid w:val="00FB1E37"/>
    <w:rsid w:val="00FB1E68"/>
    <w:rsid w:val="00FB2658"/>
    <w:rsid w:val="00FB2BBB"/>
    <w:rsid w:val="00FB3936"/>
    <w:rsid w:val="00FB3DD3"/>
    <w:rsid w:val="00FB51DD"/>
    <w:rsid w:val="00FB6102"/>
    <w:rsid w:val="00FB79BB"/>
    <w:rsid w:val="00FC01C0"/>
    <w:rsid w:val="00FC0240"/>
    <w:rsid w:val="00FC0DC8"/>
    <w:rsid w:val="00FC14F4"/>
    <w:rsid w:val="00FC2083"/>
    <w:rsid w:val="00FC2BF7"/>
    <w:rsid w:val="00FC4335"/>
    <w:rsid w:val="00FC4D1B"/>
    <w:rsid w:val="00FC582B"/>
    <w:rsid w:val="00FC60D7"/>
    <w:rsid w:val="00FC60FC"/>
    <w:rsid w:val="00FC6CB0"/>
    <w:rsid w:val="00FD00D1"/>
    <w:rsid w:val="00FD0629"/>
    <w:rsid w:val="00FD1EC2"/>
    <w:rsid w:val="00FD259E"/>
    <w:rsid w:val="00FD29DB"/>
    <w:rsid w:val="00FD2F6D"/>
    <w:rsid w:val="00FD3A0A"/>
    <w:rsid w:val="00FD3C02"/>
    <w:rsid w:val="00FD45A5"/>
    <w:rsid w:val="00FD4738"/>
    <w:rsid w:val="00FD4BCE"/>
    <w:rsid w:val="00FD64C2"/>
    <w:rsid w:val="00FD6596"/>
    <w:rsid w:val="00FD70F7"/>
    <w:rsid w:val="00FD725F"/>
    <w:rsid w:val="00FD7465"/>
    <w:rsid w:val="00FD758A"/>
    <w:rsid w:val="00FE0C8F"/>
    <w:rsid w:val="00FE28EE"/>
    <w:rsid w:val="00FE2D1C"/>
    <w:rsid w:val="00FE3AC0"/>
    <w:rsid w:val="00FE4236"/>
    <w:rsid w:val="00FE4E0B"/>
    <w:rsid w:val="00FE50B3"/>
    <w:rsid w:val="00FE5C5D"/>
    <w:rsid w:val="00FE60F5"/>
    <w:rsid w:val="00FE69DC"/>
    <w:rsid w:val="00FE7141"/>
    <w:rsid w:val="00FE7995"/>
    <w:rsid w:val="00FF0502"/>
    <w:rsid w:val="00FF0595"/>
    <w:rsid w:val="00FF2998"/>
    <w:rsid w:val="00FF3D55"/>
    <w:rsid w:val="00FF4A14"/>
    <w:rsid w:val="00FF4B50"/>
    <w:rsid w:val="00FF61C4"/>
    <w:rsid w:val="00FF6D61"/>
    <w:rsid w:val="02BF41B9"/>
    <w:rsid w:val="02FC4695"/>
    <w:rsid w:val="030E2C52"/>
    <w:rsid w:val="03FB437B"/>
    <w:rsid w:val="04173C15"/>
    <w:rsid w:val="047F0AB8"/>
    <w:rsid w:val="04FA630F"/>
    <w:rsid w:val="053630CF"/>
    <w:rsid w:val="05483D35"/>
    <w:rsid w:val="05E26896"/>
    <w:rsid w:val="06280E47"/>
    <w:rsid w:val="0705076E"/>
    <w:rsid w:val="0772EACB"/>
    <w:rsid w:val="080E3CE6"/>
    <w:rsid w:val="08461BD8"/>
    <w:rsid w:val="0970575E"/>
    <w:rsid w:val="09AA3B97"/>
    <w:rsid w:val="0A275200"/>
    <w:rsid w:val="0A300C32"/>
    <w:rsid w:val="0A3856D8"/>
    <w:rsid w:val="0A3B4E77"/>
    <w:rsid w:val="0AF136BA"/>
    <w:rsid w:val="0B5D32FA"/>
    <w:rsid w:val="0B6A456D"/>
    <w:rsid w:val="0B878A74"/>
    <w:rsid w:val="0C07036C"/>
    <w:rsid w:val="0C292109"/>
    <w:rsid w:val="0CC8433F"/>
    <w:rsid w:val="0D790A02"/>
    <w:rsid w:val="0D9E2912"/>
    <w:rsid w:val="0E0E0A3F"/>
    <w:rsid w:val="0EC77624"/>
    <w:rsid w:val="0F567C2D"/>
    <w:rsid w:val="1051519C"/>
    <w:rsid w:val="105A2DB2"/>
    <w:rsid w:val="10EB38BD"/>
    <w:rsid w:val="10FD5DA3"/>
    <w:rsid w:val="124F2134"/>
    <w:rsid w:val="12551DFB"/>
    <w:rsid w:val="12656560"/>
    <w:rsid w:val="12AB0C12"/>
    <w:rsid w:val="12B75A95"/>
    <w:rsid w:val="12ED27AD"/>
    <w:rsid w:val="133D6436"/>
    <w:rsid w:val="134C3338"/>
    <w:rsid w:val="13CD114C"/>
    <w:rsid w:val="14616A02"/>
    <w:rsid w:val="14647E42"/>
    <w:rsid w:val="155907E3"/>
    <w:rsid w:val="15EC3BFB"/>
    <w:rsid w:val="16CE3B9A"/>
    <w:rsid w:val="16F7311C"/>
    <w:rsid w:val="17813E84"/>
    <w:rsid w:val="17EC7569"/>
    <w:rsid w:val="180A190A"/>
    <w:rsid w:val="18321E84"/>
    <w:rsid w:val="194B6E2D"/>
    <w:rsid w:val="195E039E"/>
    <w:rsid w:val="19DF2911"/>
    <w:rsid w:val="1A0B155B"/>
    <w:rsid w:val="1AB564EF"/>
    <w:rsid w:val="1B5C682F"/>
    <w:rsid w:val="1B7D1DFE"/>
    <w:rsid w:val="1B7EE1D2"/>
    <w:rsid w:val="1B7F428C"/>
    <w:rsid w:val="1B92360F"/>
    <w:rsid w:val="1C8E592B"/>
    <w:rsid w:val="1E571078"/>
    <w:rsid w:val="1E871D6D"/>
    <w:rsid w:val="1EA23A68"/>
    <w:rsid w:val="1EA56CF8"/>
    <w:rsid w:val="1F201B03"/>
    <w:rsid w:val="1FD06F85"/>
    <w:rsid w:val="1FFBF515"/>
    <w:rsid w:val="20615F71"/>
    <w:rsid w:val="21440D53"/>
    <w:rsid w:val="215057E5"/>
    <w:rsid w:val="217C2EA7"/>
    <w:rsid w:val="22CC01FD"/>
    <w:rsid w:val="233C0D30"/>
    <w:rsid w:val="23F0618F"/>
    <w:rsid w:val="24B02295"/>
    <w:rsid w:val="24F8090A"/>
    <w:rsid w:val="2560772E"/>
    <w:rsid w:val="26503BE4"/>
    <w:rsid w:val="27535E5C"/>
    <w:rsid w:val="2756113B"/>
    <w:rsid w:val="27592C1D"/>
    <w:rsid w:val="27C806B1"/>
    <w:rsid w:val="28C90F60"/>
    <w:rsid w:val="291D4830"/>
    <w:rsid w:val="29CD0D65"/>
    <w:rsid w:val="2A055515"/>
    <w:rsid w:val="2B2208E7"/>
    <w:rsid w:val="2B5E6B61"/>
    <w:rsid w:val="2CB03B8A"/>
    <w:rsid w:val="2CEE2469"/>
    <w:rsid w:val="2D342693"/>
    <w:rsid w:val="2DE26EB0"/>
    <w:rsid w:val="2E1A38D2"/>
    <w:rsid w:val="2EFFF877"/>
    <w:rsid w:val="2FB170E9"/>
    <w:rsid w:val="2FFD7EFB"/>
    <w:rsid w:val="300D68CB"/>
    <w:rsid w:val="307D7EE4"/>
    <w:rsid w:val="307E02D2"/>
    <w:rsid w:val="30A45A38"/>
    <w:rsid w:val="31A15BC1"/>
    <w:rsid w:val="31FF600D"/>
    <w:rsid w:val="32076182"/>
    <w:rsid w:val="325A516F"/>
    <w:rsid w:val="326F4919"/>
    <w:rsid w:val="339F5577"/>
    <w:rsid w:val="33DB0344"/>
    <w:rsid w:val="35567BE2"/>
    <w:rsid w:val="35E4095F"/>
    <w:rsid w:val="3633089A"/>
    <w:rsid w:val="368E6B8F"/>
    <w:rsid w:val="36A971B1"/>
    <w:rsid w:val="36CC20C3"/>
    <w:rsid w:val="374751BB"/>
    <w:rsid w:val="37FD398B"/>
    <w:rsid w:val="38880667"/>
    <w:rsid w:val="38F01856"/>
    <w:rsid w:val="39043A58"/>
    <w:rsid w:val="39FC9256"/>
    <w:rsid w:val="3A3C2235"/>
    <w:rsid w:val="3A5F8D85"/>
    <w:rsid w:val="3AB1EE37"/>
    <w:rsid w:val="3B5D04FB"/>
    <w:rsid w:val="3B8775DD"/>
    <w:rsid w:val="3BF5AB81"/>
    <w:rsid w:val="3C183E2C"/>
    <w:rsid w:val="3CC970F7"/>
    <w:rsid w:val="3D3712FA"/>
    <w:rsid w:val="3D39A64E"/>
    <w:rsid w:val="3D4666C1"/>
    <w:rsid w:val="3D4C2BA5"/>
    <w:rsid w:val="3DBF4445"/>
    <w:rsid w:val="3DFF21D6"/>
    <w:rsid w:val="3E891B0C"/>
    <w:rsid w:val="3EB7C2E7"/>
    <w:rsid w:val="3EFF938D"/>
    <w:rsid w:val="3F47204B"/>
    <w:rsid w:val="3F5678FE"/>
    <w:rsid w:val="3FB664B0"/>
    <w:rsid w:val="3FBA7437"/>
    <w:rsid w:val="3FDF469D"/>
    <w:rsid w:val="4044184A"/>
    <w:rsid w:val="407267A7"/>
    <w:rsid w:val="41072671"/>
    <w:rsid w:val="4200715B"/>
    <w:rsid w:val="4310227F"/>
    <w:rsid w:val="441E7A68"/>
    <w:rsid w:val="449147D1"/>
    <w:rsid w:val="44A8713F"/>
    <w:rsid w:val="44E337E1"/>
    <w:rsid w:val="44F41EA9"/>
    <w:rsid w:val="45433782"/>
    <w:rsid w:val="463E1F34"/>
    <w:rsid w:val="471A07AB"/>
    <w:rsid w:val="47594EFA"/>
    <w:rsid w:val="47F2440D"/>
    <w:rsid w:val="481079AC"/>
    <w:rsid w:val="48652D29"/>
    <w:rsid w:val="49DE0D55"/>
    <w:rsid w:val="4AFD0C10"/>
    <w:rsid w:val="4C2108F2"/>
    <w:rsid w:val="4C6E355A"/>
    <w:rsid w:val="4D373603"/>
    <w:rsid w:val="4D41037F"/>
    <w:rsid w:val="4E00253A"/>
    <w:rsid w:val="4E087FAC"/>
    <w:rsid w:val="4EF06BD9"/>
    <w:rsid w:val="4F426569"/>
    <w:rsid w:val="4F5C4304"/>
    <w:rsid w:val="4FBF42B7"/>
    <w:rsid w:val="4FFE16F3"/>
    <w:rsid w:val="504F170B"/>
    <w:rsid w:val="50771D6E"/>
    <w:rsid w:val="510C23D3"/>
    <w:rsid w:val="511354DF"/>
    <w:rsid w:val="519E168F"/>
    <w:rsid w:val="538E6A5A"/>
    <w:rsid w:val="548752C4"/>
    <w:rsid w:val="551D4318"/>
    <w:rsid w:val="556F6100"/>
    <w:rsid w:val="55740AA2"/>
    <w:rsid w:val="560212A2"/>
    <w:rsid w:val="56292A53"/>
    <w:rsid w:val="568B3C27"/>
    <w:rsid w:val="56DE5785"/>
    <w:rsid w:val="57FFA9FA"/>
    <w:rsid w:val="5854298F"/>
    <w:rsid w:val="58775880"/>
    <w:rsid w:val="58D70B91"/>
    <w:rsid w:val="596B0C0E"/>
    <w:rsid w:val="59C239CE"/>
    <w:rsid w:val="59CE7133"/>
    <w:rsid w:val="5A8E2709"/>
    <w:rsid w:val="5ACD0080"/>
    <w:rsid w:val="5AD002E5"/>
    <w:rsid w:val="5B5A7E4E"/>
    <w:rsid w:val="5B5C68C7"/>
    <w:rsid w:val="5BA25E31"/>
    <w:rsid w:val="5C3F09A7"/>
    <w:rsid w:val="5C9B0E33"/>
    <w:rsid w:val="5CCE7403"/>
    <w:rsid w:val="5D746E2D"/>
    <w:rsid w:val="5D7A527F"/>
    <w:rsid w:val="5DDD1045"/>
    <w:rsid w:val="5DED289E"/>
    <w:rsid w:val="5DFF147A"/>
    <w:rsid w:val="5E466436"/>
    <w:rsid w:val="5E6724F9"/>
    <w:rsid w:val="5E9FC65D"/>
    <w:rsid w:val="5EBB7B2C"/>
    <w:rsid w:val="5EEF8925"/>
    <w:rsid w:val="5F3AE809"/>
    <w:rsid w:val="5F4F5B0D"/>
    <w:rsid w:val="5F8A4B04"/>
    <w:rsid w:val="5FB4217D"/>
    <w:rsid w:val="5FCD2A8F"/>
    <w:rsid w:val="5FEE5A27"/>
    <w:rsid w:val="5FEEE146"/>
    <w:rsid w:val="5FEF9069"/>
    <w:rsid w:val="5FF96E01"/>
    <w:rsid w:val="60644402"/>
    <w:rsid w:val="60CC3F89"/>
    <w:rsid w:val="61133A62"/>
    <w:rsid w:val="61560161"/>
    <w:rsid w:val="61765A44"/>
    <w:rsid w:val="61AA25D1"/>
    <w:rsid w:val="61C9587A"/>
    <w:rsid w:val="62022A9F"/>
    <w:rsid w:val="62571977"/>
    <w:rsid w:val="62DC1541"/>
    <w:rsid w:val="634D6C97"/>
    <w:rsid w:val="637D5973"/>
    <w:rsid w:val="63D6558A"/>
    <w:rsid w:val="6522739D"/>
    <w:rsid w:val="652A037D"/>
    <w:rsid w:val="65B2526C"/>
    <w:rsid w:val="65F60104"/>
    <w:rsid w:val="664B6BA4"/>
    <w:rsid w:val="66793AAE"/>
    <w:rsid w:val="66B36BC1"/>
    <w:rsid w:val="66DE57A5"/>
    <w:rsid w:val="66F010D5"/>
    <w:rsid w:val="671A1F5A"/>
    <w:rsid w:val="6759048E"/>
    <w:rsid w:val="678630D9"/>
    <w:rsid w:val="67D93A92"/>
    <w:rsid w:val="68061795"/>
    <w:rsid w:val="6829226C"/>
    <w:rsid w:val="692F29C3"/>
    <w:rsid w:val="6961564E"/>
    <w:rsid w:val="69843B78"/>
    <w:rsid w:val="69BF9186"/>
    <w:rsid w:val="69D875B4"/>
    <w:rsid w:val="69FB4099"/>
    <w:rsid w:val="6A9D0441"/>
    <w:rsid w:val="6AAC5627"/>
    <w:rsid w:val="6B2D3B8A"/>
    <w:rsid w:val="6C6D714E"/>
    <w:rsid w:val="6D060452"/>
    <w:rsid w:val="6D191862"/>
    <w:rsid w:val="6D2C451B"/>
    <w:rsid w:val="6DDBBC87"/>
    <w:rsid w:val="6DFEEE9D"/>
    <w:rsid w:val="6E0D6D3F"/>
    <w:rsid w:val="6E365E81"/>
    <w:rsid w:val="6E7A8729"/>
    <w:rsid w:val="6E912340"/>
    <w:rsid w:val="6F2150C5"/>
    <w:rsid w:val="6F23301A"/>
    <w:rsid w:val="6F5FB5BB"/>
    <w:rsid w:val="6F782E47"/>
    <w:rsid w:val="6FB7E436"/>
    <w:rsid w:val="6FB88AEC"/>
    <w:rsid w:val="6FDE9DE9"/>
    <w:rsid w:val="6FED4846"/>
    <w:rsid w:val="6FFD1B41"/>
    <w:rsid w:val="6FFF35F4"/>
    <w:rsid w:val="70250A28"/>
    <w:rsid w:val="70324649"/>
    <w:rsid w:val="70541E83"/>
    <w:rsid w:val="70F75A45"/>
    <w:rsid w:val="71031833"/>
    <w:rsid w:val="71F93EC2"/>
    <w:rsid w:val="7201358B"/>
    <w:rsid w:val="720D5D7C"/>
    <w:rsid w:val="72352C97"/>
    <w:rsid w:val="736D10C6"/>
    <w:rsid w:val="73BB355F"/>
    <w:rsid w:val="73E5BDE2"/>
    <w:rsid w:val="73F71DE9"/>
    <w:rsid w:val="741F6B3E"/>
    <w:rsid w:val="741F6B82"/>
    <w:rsid w:val="746A63CC"/>
    <w:rsid w:val="746E6602"/>
    <w:rsid w:val="747A21F3"/>
    <w:rsid w:val="74B527E2"/>
    <w:rsid w:val="755A47B0"/>
    <w:rsid w:val="757BC3BB"/>
    <w:rsid w:val="75D01CD0"/>
    <w:rsid w:val="76FF3B6F"/>
    <w:rsid w:val="776EDB99"/>
    <w:rsid w:val="77DE9D2F"/>
    <w:rsid w:val="77DF08DE"/>
    <w:rsid w:val="77F72BC3"/>
    <w:rsid w:val="77F7710A"/>
    <w:rsid w:val="77FDE3BA"/>
    <w:rsid w:val="77FF2D81"/>
    <w:rsid w:val="77FFFFAA"/>
    <w:rsid w:val="78112729"/>
    <w:rsid w:val="787DF291"/>
    <w:rsid w:val="79C44EB1"/>
    <w:rsid w:val="7A141938"/>
    <w:rsid w:val="7AAF4B56"/>
    <w:rsid w:val="7AC062BA"/>
    <w:rsid w:val="7B294B88"/>
    <w:rsid w:val="7B37C411"/>
    <w:rsid w:val="7B75CF4A"/>
    <w:rsid w:val="7BB64D3E"/>
    <w:rsid w:val="7BE5EF54"/>
    <w:rsid w:val="7BF97640"/>
    <w:rsid w:val="7BFDCCDF"/>
    <w:rsid w:val="7C3A25C2"/>
    <w:rsid w:val="7CFA8D42"/>
    <w:rsid w:val="7CFB8F63"/>
    <w:rsid w:val="7D054749"/>
    <w:rsid w:val="7D2FB54A"/>
    <w:rsid w:val="7D35214E"/>
    <w:rsid w:val="7D811AA7"/>
    <w:rsid w:val="7D9F8298"/>
    <w:rsid w:val="7DFD42B2"/>
    <w:rsid w:val="7DFF7565"/>
    <w:rsid w:val="7E2FCF23"/>
    <w:rsid w:val="7E493DC6"/>
    <w:rsid w:val="7EBDB90E"/>
    <w:rsid w:val="7F2EA75B"/>
    <w:rsid w:val="7F3E9CBE"/>
    <w:rsid w:val="7F5F463B"/>
    <w:rsid w:val="7F7308DC"/>
    <w:rsid w:val="7FBF6072"/>
    <w:rsid w:val="7FCC559D"/>
    <w:rsid w:val="7FCDCD64"/>
    <w:rsid w:val="7FDA1A25"/>
    <w:rsid w:val="7FDF6D8C"/>
    <w:rsid w:val="7FDF95C8"/>
    <w:rsid w:val="7FE7227F"/>
    <w:rsid w:val="7FEF67DD"/>
    <w:rsid w:val="7FFF2FB4"/>
    <w:rsid w:val="7FFF3CE3"/>
    <w:rsid w:val="7FFFAD77"/>
    <w:rsid w:val="88BF3EBA"/>
    <w:rsid w:val="8DDF034B"/>
    <w:rsid w:val="9BDF3794"/>
    <w:rsid w:val="9D53AA58"/>
    <w:rsid w:val="9EEFE3C7"/>
    <w:rsid w:val="9FFFA5F1"/>
    <w:rsid w:val="A4DE03A1"/>
    <w:rsid w:val="A7F1CF36"/>
    <w:rsid w:val="AAAF6525"/>
    <w:rsid w:val="AB989357"/>
    <w:rsid w:val="AEFF292F"/>
    <w:rsid w:val="AF5D1F68"/>
    <w:rsid w:val="AFF10508"/>
    <w:rsid w:val="B6FF5A19"/>
    <w:rsid w:val="B79F3A77"/>
    <w:rsid w:val="B8FFCCA7"/>
    <w:rsid w:val="BADDDAC3"/>
    <w:rsid w:val="BAFA3959"/>
    <w:rsid w:val="BBBFFDD9"/>
    <w:rsid w:val="BBFDABA7"/>
    <w:rsid w:val="BBFF461E"/>
    <w:rsid w:val="BD7D0071"/>
    <w:rsid w:val="BEEFA8C4"/>
    <w:rsid w:val="BF1FD093"/>
    <w:rsid w:val="BF7DD2A3"/>
    <w:rsid w:val="BFAFEAC4"/>
    <w:rsid w:val="BFF5DE9B"/>
    <w:rsid w:val="BFF7A4BD"/>
    <w:rsid w:val="BFF7A7BD"/>
    <w:rsid w:val="CA37915C"/>
    <w:rsid w:val="CAFFF8ED"/>
    <w:rsid w:val="CE5322D3"/>
    <w:rsid w:val="CE771F59"/>
    <w:rsid w:val="D53F2D21"/>
    <w:rsid w:val="D5FF3CF6"/>
    <w:rsid w:val="D77F2F8C"/>
    <w:rsid w:val="DABF4471"/>
    <w:rsid w:val="DAF87D94"/>
    <w:rsid w:val="DEBB5D37"/>
    <w:rsid w:val="DEEEA770"/>
    <w:rsid w:val="DF47E6CA"/>
    <w:rsid w:val="DFCB3EB4"/>
    <w:rsid w:val="DFD768F6"/>
    <w:rsid w:val="DFFB7B48"/>
    <w:rsid w:val="DFFFFC46"/>
    <w:rsid w:val="E35FB77C"/>
    <w:rsid w:val="E7E920F6"/>
    <w:rsid w:val="E9FB7E58"/>
    <w:rsid w:val="EB37C2CC"/>
    <w:rsid w:val="EBF7FBF0"/>
    <w:rsid w:val="EF2D5F45"/>
    <w:rsid w:val="EFF5D11A"/>
    <w:rsid w:val="EFFD01BA"/>
    <w:rsid w:val="EFFD451E"/>
    <w:rsid w:val="F16798A7"/>
    <w:rsid w:val="F2F757B2"/>
    <w:rsid w:val="F3FB2C5F"/>
    <w:rsid w:val="F53B3178"/>
    <w:rsid w:val="F5FB1989"/>
    <w:rsid w:val="F776ED6D"/>
    <w:rsid w:val="F7DFAC52"/>
    <w:rsid w:val="F7EF5E13"/>
    <w:rsid w:val="F7FD5DCA"/>
    <w:rsid w:val="FAEF0256"/>
    <w:rsid w:val="FAFFD981"/>
    <w:rsid w:val="FB3F266F"/>
    <w:rsid w:val="FB93F87A"/>
    <w:rsid w:val="FBC7D330"/>
    <w:rsid w:val="FBCF3E3E"/>
    <w:rsid w:val="FCB16D6B"/>
    <w:rsid w:val="FDED7EF4"/>
    <w:rsid w:val="FDFF5965"/>
    <w:rsid w:val="FE97D0BC"/>
    <w:rsid w:val="FE9DF340"/>
    <w:rsid w:val="FEFFDFC7"/>
    <w:rsid w:val="FEFFE498"/>
    <w:rsid w:val="FF5FDF50"/>
    <w:rsid w:val="FF65C700"/>
    <w:rsid w:val="FFAE979B"/>
    <w:rsid w:val="FFB7D18C"/>
    <w:rsid w:val="FFBFFF54"/>
    <w:rsid w:val="FFFBFE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0" w:lineRule="exact"/>
      <w:ind w:firstLine="200" w:firstLineChars="200"/>
      <w:jc w:val="both"/>
    </w:pPr>
    <w:rPr>
      <w:rFonts w:ascii="仿宋_GB2312" w:hAnsi="Times New Roman" w:eastAsia="仿宋_GB2312" w:cs="Times New Roman"/>
      <w:spacing w:val="-3"/>
      <w:kern w:val="21"/>
      <w:sz w:val="32"/>
      <w:lang w:val="en-US" w:eastAsia="zh-CN" w:bidi="ar-SA"/>
    </w:rPr>
  </w:style>
  <w:style w:type="paragraph" w:styleId="5">
    <w:name w:val="heading 3"/>
    <w:basedOn w:val="1"/>
    <w:next w:val="6"/>
    <w:qFormat/>
    <w:uiPriority w:val="0"/>
    <w:pPr>
      <w:keepNext/>
      <w:keepLines/>
      <w:spacing w:before="1000" w:after="400"/>
      <w:jc w:val="center"/>
      <w:outlineLvl w:val="2"/>
    </w:pPr>
    <w:rPr>
      <w:rFonts w:ascii="文鼎小标宋简" w:eastAsia="文鼎小标宋简"/>
      <w:sz w:val="44"/>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6"/>
    <w:qFormat/>
    <w:uiPriority w:val="0"/>
    <w:pPr>
      <w:spacing w:after="120"/>
      <w:ind w:firstLine="420" w:firstLineChars="100"/>
    </w:pPr>
  </w:style>
  <w:style w:type="paragraph" w:styleId="3">
    <w:name w:val="Body Text"/>
    <w:basedOn w:val="1"/>
    <w:next w:val="4"/>
    <w:qFormat/>
    <w:uiPriority w:val="0"/>
  </w:style>
  <w:style w:type="paragraph" w:styleId="4">
    <w:name w:val="Title"/>
    <w:basedOn w:val="1"/>
    <w:next w:val="1"/>
    <w:qFormat/>
    <w:uiPriority w:val="0"/>
    <w:pPr>
      <w:spacing w:before="240" w:after="60"/>
      <w:jc w:val="center"/>
      <w:outlineLvl w:val="0"/>
    </w:pPr>
    <w:rPr>
      <w:rFonts w:eastAsia="宋体" w:asciiTheme="majorHAnsi" w:hAnsiTheme="majorHAnsi" w:cstheme="majorBidi"/>
      <w:b/>
      <w:bCs/>
      <w:szCs w:val="32"/>
    </w:rPr>
  </w:style>
  <w:style w:type="paragraph" w:styleId="6">
    <w:name w:val="Normal Indent"/>
    <w:basedOn w:val="1"/>
    <w:qFormat/>
    <w:uiPriority w:val="0"/>
    <w:pPr>
      <w:ind w:firstLine="420"/>
    </w:pPr>
  </w:style>
  <w:style w:type="paragraph" w:styleId="7">
    <w:name w:val="Body Text Indent"/>
    <w:basedOn w:val="1"/>
    <w:qFormat/>
    <w:uiPriority w:val="0"/>
    <w:pPr>
      <w:snapToGrid w:val="0"/>
      <w:spacing w:line="540" w:lineRule="atLeast"/>
      <w:ind w:firstLine="624"/>
    </w:pPr>
    <w:rPr>
      <w:rFonts w:hint="eastAsia" w:hAnsi="宋体"/>
    </w:rPr>
  </w:style>
  <w:style w:type="paragraph" w:styleId="8">
    <w:name w:val="Date"/>
    <w:basedOn w:val="1"/>
    <w:next w:val="1"/>
    <w:qFormat/>
    <w:uiPriority w:val="0"/>
    <w:pPr>
      <w:ind w:left="100" w:leftChars="2500"/>
    </w:pPr>
  </w:style>
  <w:style w:type="paragraph" w:styleId="9">
    <w:name w:val="Body Text Indent 2"/>
    <w:basedOn w:val="1"/>
    <w:qFormat/>
    <w:uiPriority w:val="0"/>
    <w:pPr>
      <w:ind w:firstLine="640"/>
    </w:pPr>
  </w:style>
  <w:style w:type="paragraph" w:styleId="10">
    <w:name w:val="Balloon Text"/>
    <w:basedOn w:val="1"/>
    <w:semiHidden/>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spacing w:line="580" w:lineRule="exact"/>
      <w:ind w:firstLine="628"/>
    </w:pPr>
  </w:style>
  <w:style w:type="paragraph" w:styleId="14">
    <w:name w:val="Normal (Web)"/>
    <w:basedOn w:val="1"/>
    <w:qFormat/>
    <w:uiPriority w:val="99"/>
    <w:pPr>
      <w:widowControl/>
      <w:spacing w:before="100" w:beforeAutospacing="1" w:after="100" w:afterAutospacing="1" w:line="240" w:lineRule="auto"/>
      <w:ind w:firstLine="0" w:firstLineChars="0"/>
      <w:jc w:val="left"/>
    </w:pPr>
    <w:rPr>
      <w:rFonts w:ascii="宋体" w:hAnsi="宋体" w:eastAsia="宋体" w:cs="宋体"/>
      <w:spacing w:val="0"/>
      <w:kern w:val="0"/>
      <w:sz w:val="24"/>
      <w:szCs w:val="24"/>
    </w:rPr>
  </w:style>
  <w:style w:type="character" w:styleId="17">
    <w:name w:val="Strong"/>
    <w:basedOn w:val="16"/>
    <w:qFormat/>
    <w:uiPriority w:val="22"/>
    <w:rPr>
      <w:b/>
      <w:bCs/>
    </w:rPr>
  </w:style>
  <w:style w:type="character" w:styleId="18">
    <w:name w:val="page number"/>
    <w:basedOn w:val="16"/>
    <w:qFormat/>
    <w:uiPriority w:val="0"/>
  </w:style>
  <w:style w:type="paragraph" w:customStyle="1" w:styleId="19">
    <w:name w:val="样式1"/>
    <w:basedOn w:val="1"/>
    <w:qFormat/>
    <w:uiPriority w:val="0"/>
    <w:pPr>
      <w:ind w:firstLine="628"/>
    </w:pPr>
  </w:style>
  <w:style w:type="paragraph" w:customStyle="1" w:styleId="20">
    <w:name w:val="Char Char Char"/>
    <w:basedOn w:val="1"/>
    <w:qFormat/>
    <w:uiPriority w:val="0"/>
    <w:pPr>
      <w:spacing w:line="240" w:lineRule="auto"/>
      <w:ind w:firstLine="0" w:firstLineChars="0"/>
    </w:pPr>
    <w:rPr>
      <w:rFonts w:ascii="Times New Roman" w:eastAsia="宋体"/>
      <w:spacing w:val="0"/>
      <w:kern w:val="2"/>
      <w:sz w:val="21"/>
    </w:rPr>
  </w:style>
  <w:style w:type="paragraph" w:customStyle="1" w:styleId="21">
    <w:name w:val="Char Char Char Char"/>
    <w:basedOn w:val="1"/>
    <w:qFormat/>
    <w:uiPriority w:val="0"/>
    <w:pPr>
      <w:widowControl/>
      <w:spacing w:after="160" w:line="240" w:lineRule="exact"/>
      <w:ind w:firstLine="0" w:firstLineChars="0"/>
      <w:jc w:val="left"/>
    </w:pPr>
    <w:rPr>
      <w:rFonts w:ascii="Arial" w:hAnsi="Arial" w:eastAsia="Times New Roman" w:cs="Verdana"/>
      <w:b/>
      <w:spacing w:val="0"/>
      <w:kern w:val="0"/>
      <w:sz w:val="24"/>
      <w:lang w:eastAsia="en-US"/>
    </w:rPr>
  </w:style>
  <w:style w:type="paragraph" w:customStyle="1" w:styleId="22">
    <w:name w:val="Char"/>
    <w:basedOn w:val="1"/>
    <w:qFormat/>
    <w:uiPriority w:val="0"/>
    <w:pPr>
      <w:spacing w:line="240" w:lineRule="auto"/>
      <w:ind w:firstLine="0" w:firstLineChars="0"/>
    </w:pPr>
    <w:rPr>
      <w:rFonts w:ascii="Times New Roman" w:eastAsia="宋体"/>
      <w:spacing w:val="0"/>
      <w:kern w:val="2"/>
      <w:sz w:val="21"/>
    </w:rPr>
  </w:style>
  <w:style w:type="paragraph" w:customStyle="1" w:styleId="23">
    <w:name w:val="Char Char Char Char Char Char Char Char Char Char"/>
    <w:basedOn w:val="1"/>
    <w:qFormat/>
    <w:uiPriority w:val="0"/>
    <w:pPr>
      <w:widowControl/>
      <w:spacing w:after="160" w:line="240" w:lineRule="exact"/>
      <w:ind w:firstLine="0" w:firstLineChars="0"/>
      <w:jc w:val="left"/>
    </w:pPr>
    <w:rPr>
      <w:rFonts w:ascii="Verdana" w:hAnsi="Verdana"/>
      <w:spacing w:val="0"/>
      <w:kern w:val="0"/>
      <w:sz w:val="24"/>
      <w:lang w:eastAsia="en-US"/>
    </w:rPr>
  </w:style>
  <w:style w:type="paragraph" w:styleId="24">
    <w:name w:val="List Paragraph"/>
    <w:basedOn w:val="1"/>
    <w:qFormat/>
    <w:uiPriority w:val="34"/>
    <w:pPr>
      <w:spacing w:line="240" w:lineRule="auto"/>
      <w:ind w:firstLine="420"/>
    </w:pPr>
    <w:rPr>
      <w:rFonts w:asciiTheme="minorHAnsi" w:hAnsiTheme="minorHAnsi" w:eastAsiaTheme="minorEastAsia" w:cstheme="minorBidi"/>
      <w:spacing w:val="0"/>
      <w:kern w:val="2"/>
      <w:sz w:val="21"/>
      <w:szCs w:val="22"/>
    </w:rPr>
  </w:style>
  <w:style w:type="character" w:customStyle="1" w:styleId="25">
    <w:name w:val="页脚 Char"/>
    <w:basedOn w:val="16"/>
    <w:link w:val="11"/>
    <w:qFormat/>
    <w:uiPriority w:val="99"/>
    <w:rPr>
      <w:rFonts w:ascii="仿宋_GB2312" w:eastAsia="仿宋_GB2312"/>
      <w:spacing w:val="-3"/>
      <w:kern w:val="21"/>
      <w:sz w:val="18"/>
      <w:szCs w:val="18"/>
    </w:rPr>
  </w:style>
  <w:style w:type="character" w:customStyle="1" w:styleId="26">
    <w:name w:val="正文首行缩进 Char"/>
    <w:basedOn w:val="16"/>
    <w:link w:val="2"/>
    <w:qFormat/>
    <w:uiPriority w:val="0"/>
    <w:rPr>
      <w:rFonts w:ascii="仿宋_GB2312" w:eastAsia="仿宋_GB2312"/>
      <w:spacing w:val="-3"/>
      <w:kern w:val="21"/>
      <w:sz w:val="32"/>
    </w:rPr>
  </w:style>
  <w:style w:type="character" w:customStyle="1" w:styleId="27">
    <w:name w:val="页眉 Char"/>
    <w:basedOn w:val="16"/>
    <w:link w:val="12"/>
    <w:qFormat/>
    <w:uiPriority w:val="99"/>
    <w:rPr>
      <w:rFonts w:ascii="仿宋_GB2312" w:eastAsia="仿宋_GB2312"/>
      <w:spacing w:val="-3"/>
      <w:kern w:val="21"/>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1353</Words>
  <Characters>7715</Characters>
  <Lines>64</Lines>
  <Paragraphs>18</Paragraphs>
  <TotalTime>15</TotalTime>
  <ScaleCrop>false</ScaleCrop>
  <LinksUpToDate>false</LinksUpToDate>
  <CharactersWithSpaces>9050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2019-11-26T18:39:00Z</dcterms:created>
  <dc:creator>Lenovo User</dc:creator>
  <cp:lastModifiedBy>dp</cp:lastModifiedBy>
  <cp:lastPrinted>2020-12-26T10:54:00Z</cp:lastPrinted>
  <dcterms:modified xsi:type="dcterms:W3CDTF">2023-03-08T12:45:19Z</dcterms:modified>
  <dc:title>关于清理基建暂存款的请示</dc:title>
  <cp:revision>4241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