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701"/>
        </w:tabs>
        <w:snapToGrid w:val="0"/>
        <w:spacing w:line="560" w:lineRule="exact"/>
        <w:jc w:val="center"/>
        <w:rPr>
          <w:rFonts w:hint="eastAsia" w:ascii="方正小标宋简体" w:hAnsi="方正小标宋简体" w:eastAsia="方正小标宋简体" w:cs="方正小标宋简体"/>
          <w:sz w:val="44"/>
          <w:szCs w:val="44"/>
        </w:rPr>
      </w:pPr>
    </w:p>
    <w:p>
      <w:pPr>
        <w:tabs>
          <w:tab w:val="left" w:pos="1701"/>
        </w:tabs>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大鹏新区第三次全国农普主要数据公报</w:t>
      </w:r>
    </w:p>
    <w:p>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（第一号）</w:t>
      </w:r>
    </w:p>
    <w:p>
      <w:pPr>
        <w:snapToGrid w:val="0"/>
        <w:spacing w:line="560" w:lineRule="exact"/>
        <w:jc w:val="center"/>
        <w:rPr>
          <w:rFonts w:ascii="方正小标宋简体" w:hAnsi="方正小标宋简体" w:eastAsia="方正小标宋简体" w:cs="方正小标宋简体"/>
          <w:sz w:val="44"/>
          <w:szCs w:val="44"/>
        </w:rPr>
      </w:pPr>
    </w:p>
    <w:p>
      <w:pPr>
        <w:snapToGrid w:val="0"/>
        <w:spacing w:line="560" w:lineRule="exact"/>
        <w:jc w:val="center"/>
        <w:rPr>
          <w:rFonts w:ascii="仿宋" w:hAnsi="仿宋" w:eastAsia="仿宋"/>
          <w:sz w:val="32"/>
          <w:szCs w:val="32"/>
        </w:rPr>
      </w:pPr>
      <w:r>
        <w:rPr>
          <w:rFonts w:hint="eastAsia" w:ascii="仿宋" w:hAnsi="仿宋" w:eastAsia="仿宋"/>
          <w:sz w:val="32"/>
          <w:szCs w:val="32"/>
        </w:rPr>
        <w:t>大鹏新区第三次全国农业普查领导小组办公室</w:t>
      </w:r>
    </w:p>
    <w:p>
      <w:pPr>
        <w:snapToGrid w:val="0"/>
        <w:spacing w:line="560" w:lineRule="exact"/>
        <w:jc w:val="center"/>
        <w:rPr>
          <w:rFonts w:ascii="仿宋" w:hAnsi="仿宋" w:eastAsia="仿宋"/>
          <w:sz w:val="32"/>
          <w:szCs w:val="32"/>
        </w:rPr>
      </w:pPr>
      <w:r>
        <w:rPr>
          <w:rFonts w:hint="eastAsia" w:ascii="仿宋" w:hAnsi="仿宋" w:eastAsia="仿宋"/>
          <w:sz w:val="32"/>
          <w:szCs w:val="32"/>
        </w:rPr>
        <w:t>大鹏新区发展和财政局</w:t>
      </w:r>
    </w:p>
    <w:p>
      <w:pPr>
        <w:snapToGrid w:val="0"/>
        <w:spacing w:line="560" w:lineRule="exact"/>
        <w:jc w:val="center"/>
        <w:rPr>
          <w:rFonts w:ascii="仿宋" w:hAnsi="仿宋" w:eastAsia="仿宋"/>
          <w:sz w:val="32"/>
          <w:szCs w:val="32"/>
        </w:rPr>
      </w:pPr>
      <w:r>
        <w:rPr>
          <w:rFonts w:hint="eastAsia" w:ascii="仿宋" w:hAnsi="仿宋" w:eastAsia="仿宋"/>
          <w:sz w:val="32"/>
          <w:szCs w:val="32"/>
        </w:rPr>
        <w:t>2019年1月30日</w:t>
      </w:r>
    </w:p>
    <w:p>
      <w:pPr>
        <w:widowControl/>
        <w:adjustRightInd w:val="0"/>
        <w:snapToGrid w:val="0"/>
        <w:spacing w:line="560" w:lineRule="exact"/>
        <w:rPr>
          <w:rFonts w:ascii="方正小标宋简体" w:eastAsia="方正小标宋简体"/>
          <w:sz w:val="28"/>
          <w:szCs w:val="28"/>
        </w:rPr>
      </w:pPr>
    </w:p>
    <w:p>
      <w:pPr>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为摸清“三农”基本国情，查清“三农”新发展新变化，国务院组织开展了第三次全国农业普查。这次普查的标准时点为20</w:t>
      </w:r>
      <w:r>
        <w:rPr>
          <w:rFonts w:ascii="仿宋" w:hAnsi="仿宋" w:eastAsia="仿宋" w:cs="仿宋_GB2312"/>
          <w:sz w:val="32"/>
          <w:szCs w:val="32"/>
        </w:rPr>
        <w:t>1</w:t>
      </w:r>
      <w:r>
        <w:rPr>
          <w:rFonts w:hint="eastAsia" w:ascii="仿宋" w:hAnsi="仿宋" w:eastAsia="仿宋" w:cs="仿宋_GB2312"/>
          <w:sz w:val="32"/>
          <w:szCs w:val="32"/>
        </w:rPr>
        <w:t>6年12月31日，时期资料为2016年度。普查对象包括农业经营户</w:t>
      </w:r>
      <w:r>
        <w:rPr>
          <w:rFonts w:hint="eastAsia" w:ascii="仿宋" w:hAnsi="仿宋" w:eastAsia="仿宋" w:cs="仿宋_GB2312"/>
          <w:sz w:val="32"/>
          <w:szCs w:val="32"/>
          <w:lang w:eastAsia="zh-CN"/>
        </w:rPr>
        <w:t>，</w:t>
      </w:r>
      <w:r>
        <w:rPr>
          <w:rFonts w:hint="eastAsia" w:ascii="仿宋" w:hAnsi="仿宋" w:eastAsia="仿宋" w:cs="仿宋_GB2312"/>
          <w:sz w:val="32"/>
          <w:szCs w:val="32"/>
        </w:rPr>
        <w:t>居住在居委会有确权（承包）土地或拥有农业生产资料的户，农业经营单位</w:t>
      </w:r>
      <w:r>
        <w:rPr>
          <w:rFonts w:hint="eastAsia" w:ascii="仿宋" w:hAnsi="仿宋" w:eastAsia="仿宋" w:cs="仿宋_GB2312"/>
          <w:sz w:val="32"/>
          <w:szCs w:val="32"/>
          <w:lang w:eastAsia="zh-CN"/>
        </w:rPr>
        <w:t>，</w:t>
      </w:r>
      <w:r>
        <w:rPr>
          <w:rFonts w:hint="eastAsia" w:ascii="仿宋" w:hAnsi="仿宋" w:eastAsia="仿宋" w:cs="仿宋_GB2312"/>
          <w:sz w:val="32"/>
          <w:szCs w:val="32"/>
        </w:rPr>
        <w:t>涉农委员会，涉农办事处人民政府。普查主要内容是农业生产能力及其产出、农村基础设施及其基本社会服务和农民生活条件等。农业普查采用全面调查的方法，由普查员对所有普查对象进行逐个查点和填报。新区共组织动员了普查员、普查指导员和各级普查机构的工作人员约200人，</w:t>
      </w:r>
      <w:r>
        <w:rPr>
          <w:rFonts w:hint="eastAsia" w:ascii="仿宋" w:hAnsi="仿宋" w:eastAsia="仿宋"/>
          <w:sz w:val="32"/>
          <w:szCs w:val="32"/>
        </w:rPr>
        <w:t>登记</w:t>
      </w:r>
      <w:r>
        <w:rPr>
          <w:rFonts w:ascii="仿宋" w:hAnsi="仿宋" w:eastAsia="仿宋"/>
          <w:sz w:val="32"/>
          <w:szCs w:val="32"/>
        </w:rPr>
        <w:t>了</w:t>
      </w:r>
      <w:r>
        <w:rPr>
          <w:rFonts w:ascii="仿宋" w:hAnsi="仿宋" w:eastAsia="仿宋" w:cs="仿宋_GB2312"/>
          <w:sz w:val="32"/>
          <w:szCs w:val="32"/>
        </w:rPr>
        <w:t>1874</w:t>
      </w:r>
      <w:r>
        <w:rPr>
          <w:rFonts w:hint="eastAsia" w:ascii="仿宋" w:hAnsi="仿宋" w:eastAsia="仿宋"/>
          <w:sz w:val="32"/>
          <w:szCs w:val="32"/>
        </w:rPr>
        <w:t>个农业经营户、</w:t>
      </w:r>
      <w:r>
        <w:rPr>
          <w:rFonts w:hint="eastAsia" w:ascii="仿宋" w:hAnsi="仿宋" w:eastAsia="仿宋" w:cs="仿宋_GB2312"/>
          <w:sz w:val="32"/>
          <w:szCs w:val="32"/>
        </w:rPr>
        <w:t>22</w:t>
      </w:r>
      <w:r>
        <w:rPr>
          <w:rFonts w:hint="eastAsia" w:ascii="仿宋" w:hAnsi="仿宋" w:eastAsia="仿宋"/>
          <w:sz w:val="32"/>
          <w:szCs w:val="32"/>
        </w:rPr>
        <w:t>个涉农居委会、</w:t>
      </w:r>
      <w:r>
        <w:rPr>
          <w:rFonts w:hint="eastAsia" w:ascii="仿宋" w:hAnsi="仿宋" w:eastAsia="仿宋" w:cs="仿宋_GB2312"/>
          <w:sz w:val="32"/>
          <w:szCs w:val="32"/>
        </w:rPr>
        <w:t>3</w:t>
      </w:r>
      <w:r>
        <w:rPr>
          <w:rFonts w:hint="eastAsia" w:ascii="仿宋" w:hAnsi="仿宋" w:eastAsia="仿宋" w:cs="仿宋_GB2312"/>
          <w:kern w:val="0"/>
          <w:sz w:val="32"/>
          <w:szCs w:val="32"/>
        </w:rPr>
        <w:t>个涉农办事处</w:t>
      </w:r>
      <w:r>
        <w:rPr>
          <w:rFonts w:ascii="仿宋" w:hAnsi="仿宋" w:eastAsia="仿宋" w:cs="仿宋_GB2312"/>
          <w:kern w:val="0"/>
          <w:sz w:val="32"/>
          <w:szCs w:val="32"/>
        </w:rPr>
        <w:t>、</w:t>
      </w:r>
      <w:r>
        <w:rPr>
          <w:rFonts w:hint="eastAsia" w:ascii="仿宋" w:hAnsi="仿宋" w:eastAsia="仿宋"/>
          <w:sz w:val="32"/>
          <w:szCs w:val="32"/>
        </w:rPr>
        <w:t>66个农业经营单位。</w:t>
      </w:r>
    </w:p>
    <w:p>
      <w:pPr>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根据《全国农业普查条例》的有关规定，新区农普办和新区发展和财政局将分期发布普查公报，向社会公布普查的主要结果。</w:t>
      </w:r>
    </w:p>
    <w:p>
      <w:pPr>
        <w:snapToGrid w:val="0"/>
        <w:spacing w:line="560" w:lineRule="exact"/>
        <w:jc w:val="center"/>
        <w:rPr>
          <w:rFonts w:ascii="黑体" w:hAnsi="黑体" w:eastAsia="黑体"/>
          <w:sz w:val="36"/>
          <w:szCs w:val="36"/>
        </w:rPr>
      </w:pPr>
    </w:p>
    <w:p>
      <w:pPr>
        <w:snapToGrid w:val="0"/>
        <w:spacing w:line="560" w:lineRule="exact"/>
        <w:jc w:val="center"/>
        <w:rPr>
          <w:rFonts w:ascii="黑体" w:hAnsi="黑体" w:eastAsia="黑体"/>
          <w:sz w:val="36"/>
          <w:szCs w:val="36"/>
        </w:rPr>
      </w:pPr>
      <w:r>
        <w:rPr>
          <w:rFonts w:hint="eastAsia" w:ascii="黑体" w:hAnsi="黑体" w:eastAsia="黑体"/>
          <w:sz w:val="36"/>
          <w:szCs w:val="36"/>
        </w:rPr>
        <w:t>基本情况</w:t>
      </w:r>
    </w:p>
    <w:p>
      <w:pPr>
        <w:widowControl/>
        <w:adjustRightInd w:val="0"/>
        <w:snapToGrid w:val="0"/>
        <w:spacing w:line="560" w:lineRule="exact"/>
        <w:rPr>
          <w:rFonts w:ascii="黑体" w:hAnsi="黑体" w:eastAsia="黑体"/>
          <w:sz w:val="36"/>
          <w:szCs w:val="36"/>
        </w:rPr>
      </w:pP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新区第三次全国农业普查共调查了涉农办事处3个，涉农居委会22个。</w:t>
      </w:r>
    </w:p>
    <w:p>
      <w:pPr>
        <w:snapToGrid w:val="0"/>
        <w:spacing w:line="560" w:lineRule="exact"/>
        <w:ind w:firstLine="640" w:firstLineChars="200"/>
        <w:jc w:val="left"/>
        <w:rPr>
          <w:rFonts w:ascii="黑体" w:hAnsi="黑体" w:eastAsia="黑体" w:cs="Times New Roman"/>
          <w:sz w:val="32"/>
          <w:szCs w:val="32"/>
        </w:rPr>
      </w:pPr>
      <w:r>
        <w:rPr>
          <w:rFonts w:hint="eastAsia" w:ascii="黑体" w:hAnsi="黑体" w:eastAsia="黑体" w:cs="黑体"/>
          <w:sz w:val="32"/>
          <w:szCs w:val="32"/>
        </w:rPr>
        <w:t>一、农业经营主体</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2016年，新区共有66个农业经营单位；1874农业经营户，其中，</w:t>
      </w:r>
      <w:r>
        <w:rPr>
          <w:rFonts w:hint="eastAsia" w:ascii="仿宋" w:hAnsi="仿宋" w:eastAsia="仿宋" w:cs="仿宋_GB2312"/>
          <w:sz w:val="32"/>
          <w:szCs w:val="32"/>
        </w:rPr>
        <w:t>222</w:t>
      </w:r>
      <w:r>
        <w:rPr>
          <w:rFonts w:hint="eastAsia" w:ascii="仿宋" w:hAnsi="仿宋" w:eastAsia="仿宋"/>
          <w:sz w:val="32"/>
          <w:szCs w:val="32"/>
        </w:rPr>
        <w:t>规模农业经营户。新区共有</w:t>
      </w:r>
      <w:r>
        <w:rPr>
          <w:rFonts w:hint="eastAsia" w:ascii="仿宋" w:hAnsi="仿宋" w:eastAsia="仿宋" w:cs="仿宋_GB2312"/>
          <w:sz w:val="32"/>
          <w:szCs w:val="32"/>
        </w:rPr>
        <w:t>3857</w:t>
      </w:r>
      <w:r>
        <w:rPr>
          <w:rFonts w:hint="eastAsia" w:ascii="仿宋" w:hAnsi="仿宋" w:eastAsia="仿宋"/>
          <w:sz w:val="32"/>
          <w:szCs w:val="32"/>
        </w:rPr>
        <w:t>农业生产经营人员。</w:t>
      </w:r>
    </w:p>
    <w:p>
      <w:pPr>
        <w:snapToGrid w:val="0"/>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二、农业机械拥有量</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2016年末，新区共有耕整机</w:t>
      </w:r>
      <w:r>
        <w:rPr>
          <w:rFonts w:hint="eastAsia" w:ascii="仿宋" w:hAnsi="仿宋" w:eastAsia="仿宋" w:cs="仿宋_GB2312"/>
          <w:sz w:val="32"/>
          <w:szCs w:val="32"/>
        </w:rPr>
        <w:t>1</w:t>
      </w:r>
      <w:r>
        <w:rPr>
          <w:rFonts w:hint="eastAsia" w:ascii="仿宋" w:hAnsi="仿宋" w:eastAsia="仿宋"/>
          <w:sz w:val="32"/>
          <w:szCs w:val="32"/>
        </w:rPr>
        <w:t>台。</w:t>
      </w:r>
    </w:p>
    <w:p>
      <w:pPr>
        <w:snapToGrid w:val="0"/>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三、土地利用</w:t>
      </w:r>
    </w:p>
    <w:p>
      <w:pPr>
        <w:snapToGrid w:val="0"/>
        <w:spacing w:line="560" w:lineRule="exact"/>
        <w:ind w:firstLine="640" w:firstLineChars="200"/>
        <w:jc w:val="left"/>
        <w:rPr>
          <w:sz w:val="32"/>
        </w:rPr>
      </w:pPr>
      <w:r>
        <w:rPr>
          <w:rFonts w:hint="eastAsia" w:ascii="仿宋" w:hAnsi="仿宋" w:eastAsia="仿宋"/>
          <w:sz w:val="32"/>
          <w:szCs w:val="32"/>
        </w:rPr>
        <w:t>2016年末，新区耕地面积</w:t>
      </w:r>
      <w:r>
        <w:rPr>
          <w:rFonts w:hint="eastAsia" w:ascii="仿宋" w:hAnsi="仿宋" w:eastAsia="仿宋"/>
          <w:sz w:val="32"/>
          <w:vertAlign w:val="superscript"/>
        </w:rPr>
        <w:t>[1]</w:t>
      </w:r>
      <w:r>
        <w:rPr>
          <w:rFonts w:hint="eastAsia" w:ascii="仿宋" w:hAnsi="仿宋" w:eastAsia="仿宋"/>
          <w:sz w:val="32"/>
          <w:szCs w:val="32"/>
        </w:rPr>
        <w:t>5137.00亩（不含可调整地类面积），实际经营的林地面积（不含未纳入生态公益林补偿面积的生态林防护林）75.00亩。</w:t>
      </w:r>
      <w:r>
        <w:rPr>
          <w:rFonts w:hint="eastAsia" w:ascii="仿宋" w:hAnsi="仿宋" w:eastAsia="仿宋"/>
          <w:sz w:val="32"/>
        </w:rPr>
        <w:t>（注[1]</w:t>
      </w:r>
      <w:r>
        <w:rPr>
          <w:rFonts w:hint="eastAsia" w:ascii="仿宋" w:hAnsi="仿宋" w:eastAsia="仿宋"/>
          <w:sz w:val="32"/>
          <w:lang w:eastAsia="zh-CN"/>
        </w:rPr>
        <w:t>：</w:t>
      </w:r>
      <w:r>
        <w:rPr>
          <w:rFonts w:hint="eastAsia" w:ascii="仿宋" w:hAnsi="仿宋" w:eastAsia="仿宋"/>
          <w:sz w:val="32"/>
        </w:rPr>
        <w:t>耕地面积使用国土资源部数据）</w:t>
      </w:r>
    </w:p>
    <w:p>
      <w:pPr>
        <w:snapToGrid w:val="0"/>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四、农村基础设施</w:t>
      </w:r>
    </w:p>
    <w:p>
      <w:pPr>
        <w:snapToGrid w:val="0"/>
        <w:spacing w:line="560" w:lineRule="exact"/>
        <w:ind w:firstLine="640" w:firstLineChars="200"/>
        <w:rPr>
          <w:rFonts w:ascii="仿宋" w:hAnsi="仿宋" w:eastAsia="仿宋" w:cs="仿宋_GB2312"/>
          <w:sz w:val="32"/>
          <w:szCs w:val="32"/>
        </w:rPr>
      </w:pPr>
      <w:r>
        <w:rPr>
          <w:rFonts w:hint="eastAsia" w:ascii="仿宋" w:hAnsi="仿宋" w:eastAsia="仿宋"/>
          <w:sz w:val="32"/>
          <w:szCs w:val="32"/>
        </w:rPr>
        <w:t>2016年末，新区在涉农办事处地域范围内，有码头的占</w:t>
      </w:r>
      <w:r>
        <w:rPr>
          <w:rFonts w:hint="eastAsia" w:ascii="仿宋" w:hAnsi="仿宋" w:eastAsia="仿宋" w:cs="仿宋_GB2312"/>
          <w:sz w:val="32"/>
          <w:szCs w:val="32"/>
        </w:rPr>
        <w:t>100</w:t>
      </w:r>
      <w:r>
        <w:rPr>
          <w:rFonts w:hint="eastAsia" w:ascii="仿宋" w:hAnsi="仿宋" w:eastAsia="仿宋"/>
          <w:sz w:val="32"/>
          <w:szCs w:val="32"/>
        </w:rPr>
        <w:t>%，有高速公路出入口的占</w:t>
      </w:r>
      <w:r>
        <w:rPr>
          <w:rFonts w:hint="eastAsia" w:ascii="仿宋" w:hAnsi="仿宋" w:eastAsia="仿宋" w:cs="仿宋_GB2312"/>
          <w:sz w:val="32"/>
          <w:szCs w:val="32"/>
        </w:rPr>
        <w:t>33.3</w:t>
      </w:r>
      <w:r>
        <w:rPr>
          <w:rFonts w:hint="eastAsia" w:ascii="仿宋" w:hAnsi="仿宋" w:eastAsia="仿宋"/>
          <w:sz w:val="32"/>
          <w:szCs w:val="32"/>
        </w:rPr>
        <w:t>%；</w:t>
      </w:r>
      <w:r>
        <w:rPr>
          <w:rFonts w:hint="eastAsia" w:ascii="仿宋" w:hAnsi="仿宋" w:eastAsia="仿宋" w:cs="仿宋_GB2312"/>
          <w:sz w:val="32"/>
          <w:szCs w:val="32"/>
        </w:rPr>
        <w:t>100</w:t>
      </w:r>
      <w:r>
        <w:rPr>
          <w:rFonts w:hint="eastAsia" w:ascii="仿宋" w:hAnsi="仿宋" w:eastAsia="仿宋"/>
          <w:sz w:val="32"/>
          <w:szCs w:val="32"/>
        </w:rPr>
        <w:t>%的涉农居委会通公路。</w:t>
      </w:r>
    </w:p>
    <w:p>
      <w:pPr>
        <w:snapToGrid w:val="0"/>
        <w:spacing w:line="560" w:lineRule="exact"/>
        <w:ind w:firstLine="640" w:firstLineChars="200"/>
        <w:rPr>
          <w:rFonts w:ascii="仿宋" w:hAnsi="仿宋" w:eastAsia="仿宋" w:cs="仿宋_GB2312"/>
          <w:sz w:val="32"/>
          <w:szCs w:val="32"/>
        </w:rPr>
      </w:pPr>
      <w:r>
        <w:rPr>
          <w:rFonts w:hint="eastAsia" w:ascii="仿宋" w:hAnsi="仿宋" w:eastAsia="仿宋"/>
          <w:sz w:val="32"/>
          <w:szCs w:val="32"/>
        </w:rPr>
        <w:t>2016年末，新区</w:t>
      </w:r>
      <w:r>
        <w:rPr>
          <w:rFonts w:hint="eastAsia" w:ascii="仿宋" w:hAnsi="仿宋" w:eastAsia="仿宋" w:cs="仿宋_GB2312"/>
          <w:sz w:val="32"/>
          <w:szCs w:val="32"/>
        </w:rPr>
        <w:t>100%</w:t>
      </w:r>
      <w:r>
        <w:rPr>
          <w:rFonts w:hint="eastAsia" w:ascii="仿宋" w:hAnsi="仿宋" w:eastAsia="仿宋"/>
          <w:sz w:val="32"/>
          <w:szCs w:val="32"/>
        </w:rPr>
        <w:t>的涉农居委会通电</w:t>
      </w:r>
      <w:r>
        <w:rPr>
          <w:rFonts w:hint="eastAsia" w:ascii="仿宋" w:hAnsi="仿宋" w:eastAsia="仿宋"/>
          <w:sz w:val="32"/>
          <w:szCs w:val="32"/>
          <w:lang w:eastAsia="zh-CN"/>
        </w:rPr>
        <w:t>，</w:t>
      </w:r>
      <w:r>
        <w:rPr>
          <w:rFonts w:hint="eastAsia" w:ascii="仿宋" w:hAnsi="仿宋" w:eastAsia="仿宋" w:cs="仿宋_GB2312"/>
          <w:sz w:val="32"/>
          <w:szCs w:val="32"/>
        </w:rPr>
        <w:t>40.9</w:t>
      </w:r>
      <w:r>
        <w:rPr>
          <w:rFonts w:hint="eastAsia" w:ascii="仿宋" w:hAnsi="仿宋" w:eastAsia="仿宋"/>
          <w:sz w:val="32"/>
          <w:szCs w:val="32"/>
        </w:rPr>
        <w:t>%的居委会通天然气，</w:t>
      </w:r>
      <w:r>
        <w:rPr>
          <w:rFonts w:hint="eastAsia" w:ascii="仿宋" w:hAnsi="仿宋" w:eastAsia="仿宋" w:cs="仿宋_GB2312"/>
          <w:sz w:val="32"/>
          <w:szCs w:val="32"/>
        </w:rPr>
        <w:t>27.3</w:t>
      </w:r>
      <w:r>
        <w:rPr>
          <w:rFonts w:hint="eastAsia" w:ascii="仿宋" w:hAnsi="仿宋" w:eastAsia="仿宋"/>
          <w:sz w:val="32"/>
          <w:szCs w:val="32"/>
        </w:rPr>
        <w:t>%的居委会有电子商务配送站点。</w:t>
      </w:r>
    </w:p>
    <w:p>
      <w:pPr>
        <w:snapToGrid w:val="0"/>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五、农村基本公共服务</w:t>
      </w:r>
    </w:p>
    <w:p>
      <w:pPr>
        <w:snapToGrid w:val="0"/>
        <w:spacing w:line="560" w:lineRule="exact"/>
        <w:ind w:firstLine="640" w:firstLineChars="200"/>
        <w:rPr>
          <w:rFonts w:ascii="仿宋" w:hAnsi="仿宋" w:eastAsia="仿宋" w:cs="仿宋_GB2312"/>
          <w:sz w:val="32"/>
          <w:szCs w:val="32"/>
        </w:rPr>
      </w:pPr>
      <w:r>
        <w:rPr>
          <w:rFonts w:hint="eastAsia" w:ascii="仿宋" w:hAnsi="仿宋" w:eastAsia="仿宋"/>
          <w:sz w:val="32"/>
          <w:szCs w:val="32"/>
        </w:rPr>
        <w:t>2016年末，100%的涉农办事处有图书馆、文化站，</w:t>
      </w:r>
      <w:r>
        <w:rPr>
          <w:rFonts w:hint="eastAsia" w:ascii="仿宋" w:hAnsi="仿宋" w:eastAsia="仿宋" w:cs="仿宋_GB2312"/>
          <w:sz w:val="32"/>
          <w:szCs w:val="32"/>
        </w:rPr>
        <w:t>33.3</w:t>
      </w:r>
      <w:r>
        <w:rPr>
          <w:rFonts w:hint="eastAsia" w:ascii="仿宋" w:hAnsi="仿宋" w:eastAsia="仿宋"/>
          <w:sz w:val="32"/>
          <w:szCs w:val="32"/>
        </w:rPr>
        <w:t>%的涉农办事处有体育场馆，</w:t>
      </w:r>
      <w:r>
        <w:rPr>
          <w:rFonts w:hint="eastAsia" w:ascii="仿宋" w:hAnsi="仿宋" w:eastAsia="仿宋" w:cs="仿宋_GB2312"/>
          <w:sz w:val="32"/>
          <w:szCs w:val="32"/>
        </w:rPr>
        <w:t>100</w:t>
      </w:r>
      <w:r>
        <w:rPr>
          <w:rFonts w:hint="eastAsia" w:ascii="仿宋" w:hAnsi="仿宋" w:eastAsia="仿宋"/>
          <w:sz w:val="32"/>
          <w:szCs w:val="32"/>
        </w:rPr>
        <w:t>%的涉农办事处有公园及休闲健身广场，</w:t>
      </w:r>
      <w:r>
        <w:rPr>
          <w:rFonts w:hint="eastAsia" w:ascii="仿宋" w:hAnsi="仿宋" w:eastAsia="仿宋" w:cs="仿宋_GB2312"/>
          <w:sz w:val="32"/>
          <w:szCs w:val="32"/>
        </w:rPr>
        <w:t>68.2</w:t>
      </w:r>
      <w:r>
        <w:rPr>
          <w:rFonts w:hint="eastAsia" w:ascii="仿宋" w:hAnsi="仿宋" w:eastAsia="仿宋"/>
          <w:sz w:val="32"/>
          <w:szCs w:val="32"/>
        </w:rPr>
        <w:t>%的涉农居委会有体育健身场所。</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2016年末，</w:t>
      </w:r>
      <w:r>
        <w:rPr>
          <w:rFonts w:hint="eastAsia" w:ascii="仿宋" w:hAnsi="仿宋" w:eastAsia="仿宋" w:cs="仿宋_GB2312"/>
          <w:sz w:val="32"/>
          <w:szCs w:val="32"/>
        </w:rPr>
        <w:t>100</w:t>
      </w:r>
      <w:r>
        <w:rPr>
          <w:rFonts w:hint="eastAsia" w:ascii="仿宋" w:hAnsi="仿宋" w:eastAsia="仿宋"/>
          <w:sz w:val="32"/>
          <w:szCs w:val="32"/>
        </w:rPr>
        <w:t>%的涉农办事处有幼儿园、托儿所，</w:t>
      </w:r>
      <w:r>
        <w:rPr>
          <w:rFonts w:hint="eastAsia" w:ascii="仿宋" w:hAnsi="仿宋" w:eastAsia="仿宋" w:cs="仿宋_GB2312"/>
          <w:sz w:val="32"/>
          <w:szCs w:val="32"/>
        </w:rPr>
        <w:t>100</w:t>
      </w:r>
      <w:r>
        <w:rPr>
          <w:rFonts w:hint="eastAsia" w:ascii="仿宋" w:hAnsi="仿宋" w:eastAsia="仿宋"/>
          <w:sz w:val="32"/>
          <w:szCs w:val="32"/>
        </w:rPr>
        <w:t>%的涉农办事处有小学，</w:t>
      </w:r>
      <w:r>
        <w:rPr>
          <w:rFonts w:hint="eastAsia" w:ascii="仿宋" w:hAnsi="仿宋" w:eastAsia="仿宋" w:cs="仿宋_GB2312"/>
          <w:sz w:val="32"/>
          <w:szCs w:val="32"/>
        </w:rPr>
        <w:t>50.0</w:t>
      </w:r>
      <w:r>
        <w:rPr>
          <w:rFonts w:hint="eastAsia" w:ascii="仿宋" w:hAnsi="仿宋" w:eastAsia="仿宋"/>
          <w:sz w:val="32"/>
          <w:szCs w:val="32"/>
        </w:rPr>
        <w:t>%的涉农居委会有幼儿园、托儿所。</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2016年末，</w:t>
      </w:r>
      <w:r>
        <w:rPr>
          <w:rFonts w:hint="eastAsia" w:ascii="仿宋" w:hAnsi="仿宋" w:eastAsia="仿宋" w:cs="仿宋_GB2312"/>
          <w:sz w:val="32"/>
          <w:szCs w:val="32"/>
        </w:rPr>
        <w:t>100</w:t>
      </w:r>
      <w:r>
        <w:rPr>
          <w:rFonts w:hint="eastAsia" w:ascii="仿宋" w:hAnsi="仿宋" w:eastAsia="仿宋"/>
          <w:sz w:val="32"/>
          <w:szCs w:val="32"/>
        </w:rPr>
        <w:t>%的涉农办事处有医疗卫生机构，</w:t>
      </w:r>
      <w:r>
        <w:rPr>
          <w:rFonts w:hint="eastAsia" w:ascii="仿宋" w:hAnsi="仿宋" w:eastAsia="仿宋" w:cs="仿宋_GB2312"/>
          <w:sz w:val="32"/>
          <w:szCs w:val="32"/>
        </w:rPr>
        <w:t>100</w:t>
      </w:r>
      <w:r>
        <w:rPr>
          <w:rFonts w:hint="eastAsia" w:ascii="仿宋" w:hAnsi="仿宋" w:eastAsia="仿宋"/>
          <w:sz w:val="32"/>
          <w:szCs w:val="32"/>
        </w:rPr>
        <w:t>%的涉农办事处有执业</w:t>
      </w:r>
      <w:r>
        <w:rPr>
          <w:rFonts w:hint="eastAsia" w:ascii="仿宋" w:hAnsi="仿宋" w:eastAsia="仿宋"/>
          <w:sz w:val="32"/>
          <w:szCs w:val="32"/>
          <w:lang w:eastAsia="zh-CN"/>
        </w:rPr>
        <w:t>（</w:t>
      </w:r>
      <w:r>
        <w:rPr>
          <w:rFonts w:hint="eastAsia" w:ascii="仿宋" w:hAnsi="仿宋" w:eastAsia="仿宋"/>
          <w:sz w:val="32"/>
          <w:szCs w:val="32"/>
        </w:rPr>
        <w:t>助理</w:t>
      </w:r>
      <w:r>
        <w:rPr>
          <w:rFonts w:hint="eastAsia" w:ascii="仿宋" w:hAnsi="仿宋" w:eastAsia="仿宋"/>
          <w:sz w:val="32"/>
          <w:szCs w:val="32"/>
          <w:lang w:eastAsia="zh-CN"/>
        </w:rPr>
        <w:t>）</w:t>
      </w:r>
      <w:r>
        <w:rPr>
          <w:rFonts w:hint="eastAsia" w:ascii="仿宋" w:hAnsi="仿宋" w:eastAsia="仿宋"/>
          <w:sz w:val="32"/>
          <w:szCs w:val="32"/>
        </w:rPr>
        <w:t>医师，22.7%的涉农居委会有执业</w:t>
      </w:r>
      <w:r>
        <w:rPr>
          <w:rFonts w:hint="eastAsia" w:ascii="仿宋" w:hAnsi="仿宋" w:eastAsia="仿宋"/>
          <w:sz w:val="32"/>
          <w:szCs w:val="32"/>
          <w:lang w:eastAsia="zh-CN"/>
        </w:rPr>
        <w:t>（</w:t>
      </w:r>
      <w:r>
        <w:rPr>
          <w:rFonts w:hint="eastAsia" w:ascii="仿宋" w:hAnsi="仿宋" w:eastAsia="仿宋"/>
          <w:sz w:val="32"/>
          <w:szCs w:val="32"/>
        </w:rPr>
        <w:t>助理</w:t>
      </w:r>
      <w:r>
        <w:rPr>
          <w:rFonts w:hint="eastAsia" w:ascii="仿宋" w:hAnsi="仿宋" w:eastAsia="仿宋"/>
          <w:sz w:val="32"/>
          <w:szCs w:val="32"/>
          <w:lang w:eastAsia="zh-CN"/>
        </w:rPr>
        <w:t>）</w:t>
      </w:r>
      <w:r>
        <w:rPr>
          <w:rFonts w:hint="eastAsia" w:ascii="仿宋" w:hAnsi="仿宋" w:eastAsia="仿宋"/>
          <w:sz w:val="32"/>
          <w:szCs w:val="32"/>
        </w:rPr>
        <w:t>医师，</w:t>
      </w:r>
      <w:r>
        <w:rPr>
          <w:rFonts w:hint="eastAsia" w:ascii="仿宋" w:hAnsi="仿宋" w:eastAsia="仿宋" w:cs="仿宋_GB2312"/>
          <w:sz w:val="32"/>
          <w:szCs w:val="32"/>
        </w:rPr>
        <w:t>100</w:t>
      </w:r>
      <w:r>
        <w:rPr>
          <w:rFonts w:hint="eastAsia" w:ascii="仿宋" w:hAnsi="仿宋" w:eastAsia="仿宋"/>
          <w:sz w:val="32"/>
          <w:szCs w:val="32"/>
        </w:rPr>
        <w:t>%的涉农办事处有社会福利收养性单位，</w:t>
      </w:r>
      <w:r>
        <w:rPr>
          <w:rFonts w:hint="eastAsia" w:ascii="仿宋" w:hAnsi="仿宋" w:eastAsia="仿宋" w:cs="仿宋_GB2312"/>
          <w:sz w:val="32"/>
          <w:szCs w:val="32"/>
        </w:rPr>
        <w:t>40.9</w:t>
      </w:r>
      <w:r>
        <w:rPr>
          <w:rFonts w:hint="eastAsia" w:ascii="仿宋" w:hAnsi="仿宋" w:eastAsia="仿宋"/>
          <w:sz w:val="32"/>
          <w:szCs w:val="32"/>
        </w:rPr>
        <w:t>%的涉农居委会有卫生室。</w:t>
      </w:r>
    </w:p>
    <w:p>
      <w:pPr>
        <w:snapToGrid w:val="0"/>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六、农民生活条件</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2016年末，新区涉农普查对象中，</w:t>
      </w:r>
      <w:r>
        <w:rPr>
          <w:rFonts w:hint="eastAsia" w:ascii="仿宋" w:hAnsi="仿宋" w:eastAsia="仿宋" w:cs="仿宋_GB2312"/>
          <w:sz w:val="32"/>
          <w:szCs w:val="32"/>
        </w:rPr>
        <w:t>99.8</w:t>
      </w:r>
      <w:r>
        <w:rPr>
          <w:rFonts w:hint="eastAsia" w:ascii="仿宋" w:hAnsi="仿宋" w:eastAsia="仿宋"/>
          <w:sz w:val="32"/>
          <w:szCs w:val="32"/>
        </w:rPr>
        <w:t>%的户拥有自己的住房，</w:t>
      </w:r>
      <w:r>
        <w:rPr>
          <w:rFonts w:hint="eastAsia" w:ascii="仿宋" w:hAnsi="仿宋" w:eastAsia="仿宋" w:cs="仿宋_GB2312"/>
          <w:sz w:val="32"/>
          <w:szCs w:val="32"/>
        </w:rPr>
        <w:t>99.4</w:t>
      </w:r>
      <w:r>
        <w:rPr>
          <w:rFonts w:hint="eastAsia" w:ascii="仿宋" w:hAnsi="仿宋" w:eastAsia="仿宋"/>
          <w:sz w:val="32"/>
          <w:szCs w:val="32"/>
        </w:rPr>
        <w:t>%的户使用经过净化处理的自来水，</w:t>
      </w:r>
      <w:r>
        <w:rPr>
          <w:rFonts w:hint="eastAsia" w:ascii="仿宋" w:hAnsi="仿宋" w:eastAsia="仿宋" w:cs="仿宋_GB2312"/>
          <w:sz w:val="32"/>
          <w:szCs w:val="32"/>
        </w:rPr>
        <w:t>99.7</w:t>
      </w:r>
      <w:r>
        <w:rPr>
          <w:rFonts w:hint="eastAsia" w:ascii="仿宋" w:hAnsi="仿宋" w:eastAsia="仿宋"/>
          <w:sz w:val="32"/>
          <w:szCs w:val="32"/>
        </w:rPr>
        <w:t>%的户使用水冲式卫生厕所。</w:t>
      </w:r>
    </w:p>
    <w:p>
      <w:pPr>
        <w:snapToGrid w:val="0"/>
        <w:spacing w:line="560" w:lineRule="exact"/>
        <w:rPr>
          <w:rFonts w:ascii="楷体" w:hAnsi="楷体" w:eastAsia="楷体"/>
          <w:b/>
          <w:sz w:val="30"/>
          <w:szCs w:val="30"/>
        </w:rPr>
      </w:pPr>
    </w:p>
    <w:p>
      <w:pPr>
        <w:snapToGrid w:val="0"/>
        <w:spacing w:line="560" w:lineRule="exact"/>
        <w:ind w:firstLine="602" w:firstLineChars="200"/>
        <w:rPr>
          <w:rFonts w:ascii="楷体" w:hAnsi="楷体" w:eastAsia="楷体"/>
          <w:b/>
          <w:sz w:val="30"/>
          <w:szCs w:val="30"/>
        </w:rPr>
      </w:pPr>
      <w:r>
        <w:rPr>
          <w:rFonts w:hint="eastAsia" w:ascii="楷体" w:hAnsi="楷体" w:eastAsia="楷体"/>
          <w:b/>
          <w:sz w:val="30"/>
          <w:szCs w:val="30"/>
        </w:rPr>
        <w:t>注：</w:t>
      </w:r>
    </w:p>
    <w:p>
      <w:pPr>
        <w:snapToGrid w:val="0"/>
        <w:spacing w:line="560" w:lineRule="exact"/>
        <w:ind w:firstLine="602" w:firstLineChars="200"/>
        <w:rPr>
          <w:rFonts w:ascii="楷体" w:hAnsi="楷体" w:eastAsia="楷体"/>
          <w:sz w:val="30"/>
          <w:szCs w:val="30"/>
        </w:rPr>
      </w:pPr>
      <w:r>
        <w:rPr>
          <w:rFonts w:hint="eastAsia" w:ascii="楷体" w:hAnsi="楷体" w:eastAsia="楷体"/>
          <w:b/>
          <w:sz w:val="30"/>
          <w:szCs w:val="30"/>
        </w:rPr>
        <w:t>1.涉农办事处：</w:t>
      </w:r>
      <w:r>
        <w:rPr>
          <w:rFonts w:hint="eastAsia" w:ascii="楷体" w:hAnsi="楷体" w:eastAsia="楷体"/>
          <w:sz w:val="30"/>
          <w:szCs w:val="30"/>
        </w:rPr>
        <w:t>指有农用地并且有农业生产经营户、农业生产经营单位的办事处。</w:t>
      </w:r>
    </w:p>
    <w:p>
      <w:pPr>
        <w:snapToGrid w:val="0"/>
        <w:spacing w:line="560" w:lineRule="exact"/>
        <w:ind w:firstLine="602" w:firstLineChars="200"/>
        <w:rPr>
          <w:rFonts w:ascii="楷体" w:hAnsi="楷体" w:eastAsia="楷体"/>
          <w:sz w:val="30"/>
          <w:szCs w:val="30"/>
        </w:rPr>
      </w:pPr>
      <w:r>
        <w:rPr>
          <w:rFonts w:hint="eastAsia" w:ascii="楷体" w:hAnsi="楷体" w:eastAsia="楷体"/>
          <w:b/>
          <w:sz w:val="30"/>
          <w:szCs w:val="30"/>
        </w:rPr>
        <w:t>2.涉农居委会：</w:t>
      </w:r>
      <w:r>
        <w:rPr>
          <w:rFonts w:hint="eastAsia" w:ascii="楷体" w:hAnsi="楷体" w:eastAsia="楷体"/>
          <w:sz w:val="30"/>
          <w:szCs w:val="30"/>
        </w:rPr>
        <w:t>指有农用地并且有农业生产经营户、农业生产经营单位的居委会。</w:t>
      </w:r>
    </w:p>
    <w:p>
      <w:pPr>
        <w:snapToGrid w:val="0"/>
        <w:spacing w:line="560" w:lineRule="exact"/>
        <w:ind w:firstLine="602" w:firstLineChars="200"/>
        <w:rPr>
          <w:rFonts w:ascii="楷体" w:hAnsi="楷体" w:eastAsia="楷体"/>
          <w:sz w:val="30"/>
          <w:szCs w:val="30"/>
        </w:rPr>
      </w:pPr>
      <w:r>
        <w:rPr>
          <w:rFonts w:hint="eastAsia" w:ascii="楷体" w:hAnsi="楷体" w:eastAsia="楷体"/>
          <w:b/>
          <w:sz w:val="30"/>
          <w:szCs w:val="30"/>
        </w:rPr>
        <w:t>3.农业经营户：</w:t>
      </w:r>
      <w:r>
        <w:rPr>
          <w:rFonts w:hint="eastAsia" w:ascii="楷体" w:hAnsi="楷体" w:eastAsia="楷体"/>
          <w:sz w:val="30"/>
          <w:szCs w:val="30"/>
        </w:rPr>
        <w:t>指居住在大鹏新区内，从事农、林、牧、渔业及农林牧渔服务业的农业经营户。</w:t>
      </w:r>
    </w:p>
    <w:p>
      <w:pPr>
        <w:snapToGrid w:val="0"/>
        <w:spacing w:line="560" w:lineRule="exact"/>
        <w:ind w:firstLine="602" w:firstLineChars="200"/>
        <w:rPr>
          <w:rFonts w:ascii="楷体" w:hAnsi="楷体" w:eastAsia="楷体"/>
          <w:sz w:val="30"/>
          <w:szCs w:val="30"/>
        </w:rPr>
      </w:pPr>
      <w:r>
        <w:rPr>
          <w:rFonts w:hint="eastAsia" w:ascii="楷体" w:hAnsi="楷体" w:eastAsia="楷体"/>
          <w:b/>
          <w:sz w:val="30"/>
          <w:szCs w:val="30"/>
        </w:rPr>
        <w:t>4.规模农业经营户：</w:t>
      </w:r>
      <w:r>
        <w:rPr>
          <w:rFonts w:hint="eastAsia" w:ascii="楷体" w:hAnsi="楷体" w:eastAsia="楷体"/>
          <w:sz w:val="30"/>
          <w:szCs w:val="30"/>
        </w:rPr>
        <w:t>规模农业经营户指具有较大农业经营规模，以商品化经营为主的农业经营户。规模化标准为：</w:t>
      </w:r>
    </w:p>
    <w:p>
      <w:pPr>
        <w:snapToGrid w:val="0"/>
        <w:spacing w:line="560" w:lineRule="exact"/>
        <w:ind w:firstLine="600" w:firstLineChars="200"/>
        <w:rPr>
          <w:rFonts w:ascii="楷体" w:hAnsi="楷体" w:eastAsia="楷体"/>
          <w:sz w:val="30"/>
          <w:szCs w:val="30"/>
        </w:rPr>
      </w:pPr>
      <w:r>
        <w:rPr>
          <w:rFonts w:hint="eastAsia" w:ascii="楷体" w:hAnsi="楷体" w:eastAsia="楷体"/>
          <w:sz w:val="30"/>
          <w:szCs w:val="30"/>
        </w:rPr>
        <w:t>种植业：露地种植农作物的土地达到50亩及以上、设施农业的设施占地面积25亩及以上。</w:t>
      </w:r>
    </w:p>
    <w:p>
      <w:pPr>
        <w:snapToGrid w:val="0"/>
        <w:spacing w:line="560" w:lineRule="exact"/>
        <w:ind w:firstLine="600" w:firstLineChars="200"/>
        <w:rPr>
          <w:rFonts w:ascii="楷体" w:hAnsi="楷体" w:eastAsia="楷体"/>
          <w:sz w:val="30"/>
          <w:szCs w:val="30"/>
        </w:rPr>
      </w:pPr>
      <w:r>
        <w:rPr>
          <w:rFonts w:hint="eastAsia" w:ascii="楷体" w:hAnsi="楷体" w:eastAsia="楷体"/>
          <w:sz w:val="30"/>
          <w:szCs w:val="30"/>
        </w:rPr>
        <w:t>畜牧业：生猪年出栏200头及以上；肉牛年出栏20头及以上；奶牛存栏20头及以上；羊年出栏100只及以上；肉鸡、肉鸭年出栏10000只及以上；蛋鸡、蛋鸭存栏2000只及以上；鹅年出栏1000只及以上。</w:t>
      </w:r>
    </w:p>
    <w:p>
      <w:pPr>
        <w:snapToGrid w:val="0"/>
        <w:spacing w:line="560" w:lineRule="exact"/>
        <w:ind w:firstLine="600" w:firstLineChars="200"/>
        <w:rPr>
          <w:rFonts w:ascii="楷体" w:hAnsi="楷体" w:eastAsia="楷体"/>
          <w:sz w:val="30"/>
          <w:szCs w:val="30"/>
        </w:rPr>
      </w:pPr>
      <w:r>
        <w:rPr>
          <w:rFonts w:hint="eastAsia" w:ascii="楷体" w:hAnsi="楷体" w:eastAsia="楷体"/>
          <w:sz w:val="30"/>
          <w:szCs w:val="30"/>
        </w:rPr>
        <w:t>林业：经营林地面积达到500亩及以上。</w:t>
      </w:r>
    </w:p>
    <w:p>
      <w:pPr>
        <w:snapToGrid w:val="0"/>
        <w:spacing w:line="560" w:lineRule="exact"/>
        <w:ind w:firstLine="600" w:firstLineChars="200"/>
        <w:rPr>
          <w:rFonts w:ascii="楷体" w:hAnsi="楷体" w:eastAsia="楷体"/>
          <w:sz w:val="30"/>
          <w:szCs w:val="30"/>
        </w:rPr>
      </w:pPr>
      <w:r>
        <w:rPr>
          <w:rFonts w:hint="eastAsia" w:ascii="楷体" w:hAnsi="楷体" w:eastAsia="楷体"/>
          <w:sz w:val="30"/>
          <w:szCs w:val="30"/>
        </w:rPr>
        <w:t>渔业：淡水或海水养殖面积达到50亩及以上；长度24米的捕捞机动船1艘及以上；长度12米的捕捞机动船2艘及以上；其他方式的渔业经营收入30万元及以上。</w:t>
      </w:r>
    </w:p>
    <w:p>
      <w:pPr>
        <w:snapToGrid w:val="0"/>
        <w:spacing w:line="560" w:lineRule="exact"/>
        <w:ind w:firstLine="600" w:firstLineChars="200"/>
        <w:rPr>
          <w:rFonts w:ascii="楷体" w:hAnsi="楷体" w:eastAsia="楷体"/>
          <w:sz w:val="30"/>
          <w:szCs w:val="30"/>
        </w:rPr>
      </w:pPr>
      <w:r>
        <w:rPr>
          <w:rFonts w:hint="eastAsia" w:ascii="楷体" w:hAnsi="楷体" w:eastAsia="楷体"/>
          <w:sz w:val="30"/>
          <w:szCs w:val="30"/>
        </w:rPr>
        <w:t>农林牧渔服务业：对本户以外提供农林牧渔服务的经营性收入达到10万元及以上。</w:t>
      </w:r>
    </w:p>
    <w:p>
      <w:pPr>
        <w:snapToGrid w:val="0"/>
        <w:spacing w:line="560" w:lineRule="exact"/>
        <w:ind w:firstLine="600" w:firstLineChars="200"/>
        <w:rPr>
          <w:rFonts w:ascii="楷体" w:hAnsi="楷体" w:eastAsia="楷体"/>
          <w:sz w:val="30"/>
          <w:szCs w:val="30"/>
        </w:rPr>
      </w:pPr>
      <w:r>
        <w:rPr>
          <w:rFonts w:hint="eastAsia" w:ascii="楷体" w:hAnsi="楷体" w:eastAsia="楷体"/>
          <w:sz w:val="30"/>
          <w:szCs w:val="30"/>
        </w:rPr>
        <w:t>其他：上述任一条件达不到，但全年农林牧渔业各类农产品销售总额达到10万元及以上的农业经营户，如各类特色种植业、养殖业大户等。</w:t>
      </w:r>
    </w:p>
    <w:p>
      <w:pPr>
        <w:snapToGrid w:val="0"/>
        <w:spacing w:line="560" w:lineRule="exact"/>
        <w:ind w:firstLine="602" w:firstLineChars="200"/>
        <w:rPr>
          <w:rFonts w:ascii="楷体" w:hAnsi="楷体" w:eastAsia="楷体"/>
          <w:sz w:val="30"/>
          <w:szCs w:val="30"/>
        </w:rPr>
      </w:pPr>
      <w:r>
        <w:rPr>
          <w:rFonts w:hint="eastAsia" w:ascii="楷体" w:hAnsi="楷体" w:eastAsia="楷体"/>
          <w:b/>
          <w:sz w:val="30"/>
          <w:szCs w:val="30"/>
        </w:rPr>
        <w:t>5.农业经营单位：</w:t>
      </w:r>
      <w:r>
        <w:rPr>
          <w:rFonts w:hint="eastAsia" w:ascii="楷体" w:hAnsi="楷体" w:eastAsia="楷体"/>
          <w:sz w:val="30"/>
          <w:szCs w:val="30"/>
        </w:rPr>
        <w:t>指大鹏新区内以从事农业生产经营活动为主的法人单位和未注册单位以及不以农业生产经营活动为主的法人单位或未注册单位中的农业产业活动单位。既包括主营农业的农场、林场、养殖场、农林牧渔场、农林牧渔服务业单位、具有实际农业经营活动的农民合作社；也包括国家机关、社会团体、学校、科研单位、工矿企业、村民委员会、居民委员会、基金会等单位附属的农业产业活动单位。</w:t>
      </w:r>
    </w:p>
    <w:p>
      <w:pPr>
        <w:snapToGrid w:val="0"/>
        <w:spacing w:line="560" w:lineRule="exact"/>
        <w:ind w:firstLine="602" w:firstLineChars="200"/>
        <w:rPr>
          <w:rFonts w:ascii="楷体" w:hAnsi="楷体" w:eastAsia="楷体"/>
          <w:sz w:val="30"/>
          <w:szCs w:val="30"/>
        </w:rPr>
      </w:pPr>
      <w:r>
        <w:rPr>
          <w:rFonts w:hint="eastAsia" w:ascii="楷体" w:hAnsi="楷体" w:eastAsia="楷体"/>
          <w:b/>
          <w:sz w:val="30"/>
          <w:szCs w:val="30"/>
        </w:rPr>
        <w:t>6.农业生产经营人员：</w:t>
      </w:r>
      <w:r>
        <w:rPr>
          <w:rFonts w:hint="eastAsia" w:ascii="楷体" w:hAnsi="楷体" w:eastAsia="楷体"/>
          <w:sz w:val="30"/>
          <w:szCs w:val="30"/>
        </w:rPr>
        <w:t>指在农业经营户或农业经营单位中从事农业生产经营活动累计30天以上的人员数</w:t>
      </w:r>
      <w:r>
        <w:rPr>
          <w:rFonts w:hint="eastAsia" w:ascii="楷体" w:hAnsi="楷体" w:eastAsia="楷体"/>
          <w:sz w:val="30"/>
          <w:szCs w:val="30"/>
          <w:lang w:eastAsia="zh-CN"/>
        </w:rPr>
        <w:t>（</w:t>
      </w:r>
      <w:r>
        <w:rPr>
          <w:rFonts w:hint="eastAsia" w:ascii="楷体" w:hAnsi="楷体" w:eastAsia="楷体"/>
          <w:sz w:val="30"/>
          <w:szCs w:val="30"/>
        </w:rPr>
        <w:t>包括兼业人员</w:t>
      </w:r>
      <w:r>
        <w:rPr>
          <w:rFonts w:hint="eastAsia" w:ascii="楷体" w:hAnsi="楷体" w:eastAsia="楷体"/>
          <w:sz w:val="30"/>
          <w:szCs w:val="30"/>
          <w:lang w:eastAsia="zh-CN"/>
        </w:rPr>
        <w:t>）</w:t>
      </w:r>
      <w:r>
        <w:rPr>
          <w:rFonts w:hint="eastAsia" w:ascii="楷体" w:hAnsi="楷体" w:eastAsia="楷体"/>
          <w:sz w:val="30"/>
          <w:szCs w:val="30"/>
        </w:rPr>
        <w:t>。</w:t>
      </w:r>
    </w:p>
    <w:p>
      <w:pPr>
        <w:snapToGrid w:val="0"/>
        <w:spacing w:line="560" w:lineRule="exact"/>
        <w:ind w:firstLine="602" w:firstLineChars="200"/>
        <w:rPr>
          <w:rFonts w:ascii="楷体" w:hAnsi="楷体" w:eastAsia="楷体"/>
          <w:sz w:val="30"/>
          <w:szCs w:val="30"/>
        </w:rPr>
      </w:pPr>
      <w:r>
        <w:rPr>
          <w:rFonts w:hint="eastAsia" w:ascii="楷体" w:hAnsi="楷体" w:eastAsia="楷体"/>
          <w:b/>
          <w:sz w:val="30"/>
          <w:szCs w:val="30"/>
        </w:rPr>
        <w:t>7.耕整机：</w:t>
      </w:r>
      <w:r>
        <w:rPr>
          <w:rFonts w:hint="eastAsia" w:ascii="楷体" w:hAnsi="楷体" w:eastAsia="楷体"/>
          <w:sz w:val="30"/>
          <w:szCs w:val="30"/>
        </w:rPr>
        <w:t>指自带发动机驱动，主要从事水田、旱田耕整作业的机械，包括微耕机、田园管理机等。</w:t>
      </w:r>
    </w:p>
    <w:p>
      <w:pPr>
        <w:snapToGrid w:val="0"/>
        <w:spacing w:line="560" w:lineRule="exact"/>
        <w:ind w:firstLine="602" w:firstLineChars="200"/>
        <w:rPr>
          <w:rFonts w:ascii="楷体" w:hAnsi="楷体" w:eastAsia="楷体"/>
          <w:sz w:val="30"/>
          <w:szCs w:val="30"/>
        </w:rPr>
      </w:pPr>
      <w:r>
        <w:rPr>
          <w:rFonts w:hint="eastAsia" w:ascii="楷体" w:hAnsi="楷体" w:eastAsia="楷体"/>
          <w:b/>
          <w:sz w:val="30"/>
          <w:szCs w:val="30"/>
        </w:rPr>
        <w:t>8.实际经营的林地面积：</w:t>
      </w:r>
      <w:r>
        <w:rPr>
          <w:rFonts w:hint="eastAsia" w:ascii="楷体" w:hAnsi="楷体" w:eastAsia="楷体"/>
          <w:sz w:val="30"/>
          <w:szCs w:val="30"/>
        </w:rPr>
        <w:t>指普查年度内，农业经营户和农业经营单位实际用于经营的林地地面积。林地指生长乔木、竹类、灌木的土地及沿海生长红树林的土地。包括迹地，不包括居民点内部的绿化林木用地，铁路、公路征地范围内的林木以及河流、沟渠的护堤林。不包括未纳入生态公益林补偿面积的生态林防护林。</w:t>
      </w:r>
    </w:p>
    <w:p>
      <w:pPr>
        <w:snapToGrid w:val="0"/>
        <w:spacing w:line="560" w:lineRule="exact"/>
        <w:ind w:firstLine="602" w:firstLineChars="200"/>
        <w:rPr>
          <w:rFonts w:ascii="楷体" w:hAnsi="楷体" w:eastAsia="楷体"/>
          <w:sz w:val="30"/>
          <w:szCs w:val="30"/>
        </w:rPr>
      </w:pPr>
      <w:r>
        <w:rPr>
          <w:rFonts w:hint="eastAsia" w:ascii="楷体" w:hAnsi="楷体" w:eastAsia="楷体"/>
          <w:b/>
          <w:sz w:val="30"/>
          <w:szCs w:val="30"/>
        </w:rPr>
        <w:t>9.有码头的办事处：</w:t>
      </w:r>
      <w:r>
        <w:rPr>
          <w:rFonts w:hint="eastAsia" w:ascii="楷体" w:hAnsi="楷体" w:eastAsia="楷体"/>
          <w:sz w:val="30"/>
          <w:szCs w:val="30"/>
        </w:rPr>
        <w:t>指在涉农办事处辖区内有在沿海、江、河、湖、水库等岸边建造的供船只停靠，主要用于货物或旅客运输的构筑物。不包括公园内的水域仅供游船停靠的码头。</w:t>
      </w:r>
    </w:p>
    <w:p>
      <w:pPr>
        <w:snapToGrid w:val="0"/>
        <w:spacing w:line="560" w:lineRule="exact"/>
        <w:ind w:firstLine="602" w:firstLineChars="200"/>
        <w:rPr>
          <w:rFonts w:ascii="楷体" w:hAnsi="楷体" w:eastAsia="楷体"/>
          <w:sz w:val="30"/>
          <w:szCs w:val="30"/>
        </w:rPr>
      </w:pPr>
      <w:r>
        <w:rPr>
          <w:rFonts w:hint="eastAsia" w:ascii="楷体" w:hAnsi="楷体" w:eastAsia="楷体"/>
          <w:b/>
          <w:sz w:val="30"/>
          <w:szCs w:val="30"/>
        </w:rPr>
        <w:t>10.有高速公路出入口的办事处：</w:t>
      </w:r>
      <w:r>
        <w:rPr>
          <w:rFonts w:hint="eastAsia" w:ascii="楷体" w:hAnsi="楷体" w:eastAsia="楷体"/>
          <w:sz w:val="30"/>
          <w:szCs w:val="30"/>
        </w:rPr>
        <w:t>指在涉农办事处辖区内有符合中国</w:t>
      </w:r>
      <w:r>
        <w:rPr>
          <w:rFonts w:hint="default" w:ascii="楷体" w:hAnsi="楷体" w:eastAsia="楷体"/>
          <w:sz w:val="30"/>
          <w:szCs w:val="30"/>
        </w:rPr>
        <w:t>交通运输部</w:t>
      </w:r>
      <w:r>
        <w:rPr>
          <w:rFonts w:hint="eastAsia" w:ascii="楷体" w:hAnsi="楷体" w:eastAsia="楷体"/>
          <w:sz w:val="30"/>
          <w:szCs w:val="30"/>
        </w:rPr>
        <w:t>《公路工程技术标准》规定的高速公路出入口。</w:t>
      </w:r>
    </w:p>
    <w:p>
      <w:pPr>
        <w:snapToGrid w:val="0"/>
        <w:spacing w:line="560" w:lineRule="exact"/>
        <w:ind w:firstLine="602" w:firstLineChars="200"/>
        <w:rPr>
          <w:rFonts w:ascii="楷体" w:hAnsi="楷体" w:eastAsia="楷体"/>
          <w:sz w:val="30"/>
          <w:szCs w:val="30"/>
        </w:rPr>
      </w:pPr>
      <w:r>
        <w:rPr>
          <w:rFonts w:hint="eastAsia" w:ascii="楷体" w:hAnsi="楷体" w:eastAsia="楷体"/>
          <w:b/>
          <w:sz w:val="30"/>
          <w:szCs w:val="30"/>
        </w:rPr>
        <w:t>11.有电子商务配送站点的居委会：</w:t>
      </w:r>
      <w:r>
        <w:rPr>
          <w:rFonts w:hint="eastAsia" w:ascii="楷体" w:hAnsi="楷体" w:eastAsia="楷体"/>
          <w:sz w:val="30"/>
          <w:szCs w:val="30"/>
        </w:rPr>
        <w:t>指涉农居委会地域内有为网上购物等新型商品交易模式服务的配送站点。</w:t>
      </w:r>
    </w:p>
    <w:p>
      <w:pPr>
        <w:snapToGrid w:val="0"/>
        <w:spacing w:line="560" w:lineRule="exact"/>
        <w:ind w:firstLine="602" w:firstLineChars="200"/>
        <w:rPr>
          <w:rFonts w:ascii="楷体" w:hAnsi="楷体" w:eastAsia="楷体"/>
          <w:sz w:val="30"/>
          <w:szCs w:val="30"/>
        </w:rPr>
      </w:pPr>
      <w:r>
        <w:rPr>
          <w:rFonts w:hint="eastAsia" w:ascii="楷体" w:hAnsi="楷体" w:eastAsia="楷体"/>
          <w:b/>
          <w:sz w:val="30"/>
          <w:szCs w:val="30"/>
        </w:rPr>
        <w:t>12.有图书馆、文化站的办事处：</w:t>
      </w:r>
      <w:r>
        <w:rPr>
          <w:rFonts w:hint="eastAsia" w:ascii="楷体" w:hAnsi="楷体" w:eastAsia="楷体"/>
          <w:sz w:val="30"/>
          <w:szCs w:val="30"/>
        </w:rPr>
        <w:t>指在涉农办事处辖区内有经过文化管理部门批准，并对公众开放的图书馆和文化站，不包括单位内部的图书室。</w:t>
      </w:r>
    </w:p>
    <w:p>
      <w:pPr>
        <w:snapToGrid w:val="0"/>
        <w:spacing w:line="560" w:lineRule="exact"/>
        <w:ind w:firstLine="602" w:firstLineChars="200"/>
        <w:rPr>
          <w:rFonts w:ascii="楷体" w:hAnsi="楷体" w:eastAsia="楷体"/>
          <w:sz w:val="30"/>
          <w:szCs w:val="30"/>
        </w:rPr>
      </w:pPr>
      <w:r>
        <w:rPr>
          <w:rFonts w:hint="eastAsia" w:ascii="楷体" w:hAnsi="楷体" w:eastAsia="楷体"/>
          <w:b/>
          <w:sz w:val="30"/>
          <w:szCs w:val="30"/>
        </w:rPr>
        <w:t>13.有体育场馆的办事处：</w:t>
      </w:r>
      <w:r>
        <w:rPr>
          <w:rFonts w:hint="eastAsia" w:ascii="楷体" w:hAnsi="楷体" w:eastAsia="楷体"/>
          <w:sz w:val="30"/>
          <w:szCs w:val="30"/>
        </w:rPr>
        <w:t>指在涉农办事处辖区内有体育场和体育馆。体育场指有400米跑道（中心含足球场），有固定道牙，跑道6条以上并有固定看台的室外田径场地。体育馆指有固定看台，可供篮球、排球、羽毛球、乒乓球、体操等项目训练比赛活动用的室内运动场地。包括学校或企事业单位的对外开放的各类体育场馆，但不包括体育健身广场。</w:t>
      </w:r>
    </w:p>
    <w:p>
      <w:pPr>
        <w:snapToGrid w:val="0"/>
        <w:spacing w:line="560" w:lineRule="exact"/>
        <w:ind w:firstLine="602" w:firstLineChars="200"/>
        <w:rPr>
          <w:rFonts w:ascii="楷体" w:hAnsi="楷体" w:eastAsia="楷体"/>
          <w:sz w:val="30"/>
          <w:szCs w:val="30"/>
        </w:rPr>
      </w:pPr>
      <w:r>
        <w:rPr>
          <w:rFonts w:hint="eastAsia" w:ascii="楷体" w:hAnsi="楷体" w:eastAsia="楷体"/>
          <w:b/>
          <w:sz w:val="30"/>
          <w:szCs w:val="30"/>
        </w:rPr>
        <w:t>14.有公园及休闲健身广场的办事处：</w:t>
      </w:r>
      <w:r>
        <w:rPr>
          <w:rFonts w:hint="eastAsia" w:ascii="楷体" w:hAnsi="楷体" w:eastAsia="楷体"/>
          <w:sz w:val="30"/>
          <w:szCs w:val="30"/>
        </w:rPr>
        <w:t>指在涉农办事处辖区内有经过有关管理部门批准，供居民休闲游玩的地方。</w:t>
      </w:r>
    </w:p>
    <w:p>
      <w:pPr>
        <w:snapToGrid w:val="0"/>
        <w:spacing w:line="560" w:lineRule="exact"/>
        <w:ind w:firstLine="602" w:firstLineChars="200"/>
        <w:rPr>
          <w:rFonts w:ascii="楷体" w:hAnsi="楷体" w:eastAsia="楷体"/>
          <w:sz w:val="30"/>
          <w:szCs w:val="30"/>
        </w:rPr>
      </w:pPr>
      <w:r>
        <w:rPr>
          <w:rFonts w:hint="eastAsia" w:ascii="楷体" w:hAnsi="楷体" w:eastAsia="楷体"/>
          <w:b/>
          <w:sz w:val="30"/>
          <w:szCs w:val="30"/>
        </w:rPr>
        <w:t>15.有体育健身场所的居委会：</w:t>
      </w:r>
      <w:r>
        <w:rPr>
          <w:rFonts w:hint="eastAsia" w:ascii="楷体" w:hAnsi="楷体" w:eastAsia="楷体"/>
          <w:sz w:val="30"/>
          <w:szCs w:val="30"/>
        </w:rPr>
        <w:t>指涉农居委会地域内有由村集体、个人或其他机构举办的主要以服务公众为目的的、有固定场所和必要设施的体育活动站、馆、场所等。</w:t>
      </w:r>
    </w:p>
    <w:p>
      <w:pPr>
        <w:snapToGrid w:val="0"/>
        <w:spacing w:line="560" w:lineRule="exact"/>
        <w:ind w:firstLine="602" w:firstLineChars="200"/>
        <w:rPr>
          <w:rFonts w:ascii="楷体" w:hAnsi="楷体" w:eastAsia="楷体"/>
          <w:sz w:val="30"/>
          <w:szCs w:val="30"/>
        </w:rPr>
      </w:pPr>
      <w:r>
        <w:rPr>
          <w:rFonts w:hint="eastAsia" w:ascii="楷体" w:hAnsi="楷体" w:eastAsia="楷体"/>
          <w:b/>
          <w:sz w:val="30"/>
          <w:szCs w:val="30"/>
        </w:rPr>
        <w:t>16.有幼儿园、托儿所的办事处（居委会）：</w:t>
      </w:r>
      <w:r>
        <w:rPr>
          <w:rFonts w:hint="eastAsia" w:ascii="楷体" w:hAnsi="楷体" w:eastAsia="楷体"/>
          <w:sz w:val="30"/>
          <w:szCs w:val="30"/>
        </w:rPr>
        <w:t>指涉农办事处（涉农居委会）辖区内有幼儿园、托儿所，包括学前班以及虽未经有关部门批准，但却有一定规模</w:t>
      </w:r>
      <w:r>
        <w:rPr>
          <w:rFonts w:hint="eastAsia" w:ascii="楷体" w:hAnsi="楷体" w:eastAsia="楷体"/>
          <w:sz w:val="30"/>
          <w:szCs w:val="30"/>
          <w:lang w:eastAsia="zh-CN"/>
        </w:rPr>
        <w:t>（</w:t>
      </w:r>
      <w:r>
        <w:rPr>
          <w:rFonts w:hint="eastAsia" w:ascii="楷体" w:hAnsi="楷体" w:eastAsia="楷体"/>
          <w:sz w:val="30"/>
          <w:szCs w:val="30"/>
        </w:rPr>
        <w:t>儿童数超过10人</w:t>
      </w:r>
      <w:r>
        <w:rPr>
          <w:rFonts w:hint="eastAsia" w:ascii="楷体" w:hAnsi="楷体" w:eastAsia="楷体"/>
          <w:sz w:val="30"/>
          <w:szCs w:val="30"/>
          <w:lang w:eastAsia="zh-CN"/>
        </w:rPr>
        <w:t>）</w:t>
      </w:r>
      <w:bookmarkStart w:id="0" w:name="_GoBack"/>
      <w:bookmarkEnd w:id="0"/>
      <w:r>
        <w:rPr>
          <w:rFonts w:hint="eastAsia" w:ascii="楷体" w:hAnsi="楷体" w:eastAsia="楷体"/>
          <w:sz w:val="30"/>
          <w:szCs w:val="30"/>
        </w:rPr>
        <w:t>的个人办幼儿园、托儿所。</w:t>
      </w:r>
    </w:p>
    <w:p>
      <w:pPr>
        <w:snapToGrid w:val="0"/>
        <w:spacing w:line="560" w:lineRule="exact"/>
        <w:ind w:firstLine="602" w:firstLineChars="200"/>
        <w:rPr>
          <w:rFonts w:ascii="楷体" w:hAnsi="楷体" w:eastAsia="楷体"/>
          <w:sz w:val="30"/>
          <w:szCs w:val="30"/>
        </w:rPr>
      </w:pPr>
      <w:r>
        <w:rPr>
          <w:rFonts w:hint="eastAsia" w:ascii="楷体" w:hAnsi="楷体" w:eastAsia="楷体"/>
          <w:b/>
          <w:sz w:val="30"/>
          <w:szCs w:val="30"/>
        </w:rPr>
        <w:t>17.有小学的办事处：</w:t>
      </w:r>
      <w:r>
        <w:rPr>
          <w:rFonts w:hint="eastAsia" w:ascii="楷体" w:hAnsi="楷体" w:eastAsia="楷体"/>
          <w:sz w:val="30"/>
          <w:szCs w:val="30"/>
        </w:rPr>
        <w:t>指涉农办事处辖区内有经过县及县以上教育部门批准，以招收适龄儿童为主实施小学教学计划的学校。</w:t>
      </w:r>
    </w:p>
    <w:p>
      <w:pPr>
        <w:snapToGrid w:val="0"/>
        <w:spacing w:line="560" w:lineRule="exact"/>
        <w:ind w:firstLine="602" w:firstLineChars="200"/>
        <w:rPr>
          <w:rFonts w:ascii="楷体" w:hAnsi="楷体" w:eastAsia="楷体"/>
          <w:sz w:val="30"/>
          <w:szCs w:val="30"/>
        </w:rPr>
      </w:pPr>
      <w:r>
        <w:rPr>
          <w:rFonts w:hint="eastAsia" w:ascii="楷体" w:hAnsi="楷体" w:eastAsia="楷体"/>
          <w:b/>
          <w:sz w:val="30"/>
          <w:szCs w:val="30"/>
        </w:rPr>
        <w:t>18.有医疗卫生机构的办事处：</w:t>
      </w:r>
      <w:r>
        <w:rPr>
          <w:rFonts w:hint="eastAsia" w:ascii="楷体" w:hAnsi="楷体" w:eastAsia="楷体"/>
          <w:sz w:val="30"/>
          <w:szCs w:val="30"/>
        </w:rPr>
        <w:t>指在涉农办事处辖区内有从卫生行政部门取得《医疗机构执业许可证》、《计划生育技术服务许可证》，或从民政、工商行政、机构编制管理部门取得法人单位登记证书，为社会提供医疗保健、疾病控制、卫生监督服务或从事医学科研和医学在职培训等工作的单位。医疗卫生机构包括医院、基层医疗卫生机构、专业公共卫生机构、其他医疗卫生机构。</w:t>
      </w:r>
    </w:p>
    <w:p>
      <w:pPr>
        <w:snapToGrid w:val="0"/>
        <w:spacing w:line="560" w:lineRule="exact"/>
        <w:ind w:firstLine="602" w:firstLineChars="200"/>
        <w:rPr>
          <w:rFonts w:ascii="楷体" w:hAnsi="楷体" w:eastAsia="楷体"/>
          <w:sz w:val="30"/>
          <w:szCs w:val="30"/>
        </w:rPr>
      </w:pPr>
      <w:r>
        <w:rPr>
          <w:rFonts w:hint="eastAsia" w:ascii="楷体" w:hAnsi="楷体" w:eastAsia="楷体"/>
          <w:b/>
          <w:sz w:val="30"/>
          <w:szCs w:val="30"/>
        </w:rPr>
        <w:t>19.有执业（助理）医师的办事处：</w:t>
      </w:r>
      <w:r>
        <w:rPr>
          <w:rFonts w:hint="eastAsia" w:ascii="楷体" w:hAnsi="楷体" w:eastAsia="楷体"/>
          <w:sz w:val="30"/>
          <w:szCs w:val="30"/>
        </w:rPr>
        <w:t>指在涉农办事处辖区内有1名或1名以上具有《医师执业证》及其“级别”为“执业医师”、“执业助理医师”且实际从事医疗、预防保健工作的人员，不包括有执业证但实际从事管理工作的医师。</w:t>
      </w:r>
    </w:p>
    <w:p>
      <w:pPr>
        <w:snapToGrid w:val="0"/>
        <w:spacing w:line="560" w:lineRule="exact"/>
        <w:ind w:firstLine="602" w:firstLineChars="200"/>
        <w:rPr>
          <w:rFonts w:ascii="楷体" w:hAnsi="楷体" w:eastAsia="楷体"/>
          <w:sz w:val="30"/>
          <w:szCs w:val="30"/>
        </w:rPr>
      </w:pPr>
      <w:r>
        <w:rPr>
          <w:rFonts w:hint="eastAsia" w:ascii="楷体" w:hAnsi="楷体" w:eastAsia="楷体"/>
          <w:b/>
          <w:sz w:val="30"/>
          <w:szCs w:val="30"/>
        </w:rPr>
        <w:t>20.有社会福利收养性单位的办事处：</w:t>
      </w:r>
      <w:r>
        <w:rPr>
          <w:rFonts w:hint="eastAsia" w:ascii="楷体" w:hAnsi="楷体" w:eastAsia="楷体"/>
          <w:sz w:val="30"/>
          <w:szCs w:val="30"/>
        </w:rPr>
        <w:t>指在涉农办事处辖区内提供食宿、不以盈利为目的的伤残革命军人休养院、复退军人慢性病疗养院、复退军人精神病院、光荣院、社会福利院、儿童福利院、精神病福利院、老年收养性机构</w:t>
      </w:r>
      <w:r>
        <w:rPr>
          <w:rFonts w:hint="eastAsia" w:ascii="楷体" w:hAnsi="楷体" w:eastAsia="楷体"/>
          <w:sz w:val="30"/>
          <w:szCs w:val="30"/>
          <w:lang w:eastAsia="zh-CN"/>
        </w:rPr>
        <w:t>（</w:t>
      </w:r>
      <w:r>
        <w:rPr>
          <w:rFonts w:hint="eastAsia" w:ascii="楷体" w:hAnsi="楷体" w:eastAsia="楷体"/>
          <w:sz w:val="30"/>
          <w:szCs w:val="30"/>
        </w:rPr>
        <w:t>敬老院、养老院、老年公寓</w:t>
      </w:r>
      <w:r>
        <w:rPr>
          <w:rFonts w:hint="eastAsia" w:ascii="楷体" w:hAnsi="楷体" w:eastAsia="楷体"/>
          <w:sz w:val="30"/>
          <w:szCs w:val="30"/>
          <w:lang w:eastAsia="zh-CN"/>
        </w:rPr>
        <w:t>）</w:t>
      </w:r>
      <w:r>
        <w:rPr>
          <w:rFonts w:hint="eastAsia" w:ascii="楷体" w:hAnsi="楷体" w:eastAsia="楷体"/>
          <w:sz w:val="30"/>
          <w:szCs w:val="30"/>
        </w:rPr>
        <w:t>等收养性的社会福利事业单位的办事处。</w:t>
      </w:r>
    </w:p>
    <w:p>
      <w:pPr>
        <w:snapToGrid w:val="0"/>
        <w:spacing w:line="560" w:lineRule="exact"/>
        <w:ind w:firstLine="602" w:firstLineChars="200"/>
        <w:rPr>
          <w:rFonts w:ascii="楷体" w:hAnsi="楷体" w:eastAsia="楷体"/>
          <w:sz w:val="30"/>
          <w:szCs w:val="30"/>
        </w:rPr>
      </w:pPr>
      <w:r>
        <w:rPr>
          <w:rFonts w:hint="eastAsia" w:ascii="楷体" w:hAnsi="楷体" w:eastAsia="楷体"/>
          <w:b/>
          <w:sz w:val="30"/>
          <w:szCs w:val="30"/>
        </w:rPr>
        <w:t>21.有卫生室的居委会：</w:t>
      </w:r>
      <w:r>
        <w:rPr>
          <w:rFonts w:hint="eastAsia" w:ascii="楷体" w:hAnsi="楷体" w:eastAsia="楷体"/>
          <w:sz w:val="30"/>
          <w:szCs w:val="30"/>
        </w:rPr>
        <w:t>指涉农居委会地域内，有经县及以上医疗主管部门许可</w:t>
      </w:r>
      <w:r>
        <w:rPr>
          <w:rFonts w:hint="eastAsia" w:ascii="楷体" w:hAnsi="楷体" w:eastAsia="楷体"/>
          <w:sz w:val="30"/>
          <w:szCs w:val="30"/>
          <w:lang w:eastAsia="zh-CN"/>
        </w:rPr>
        <w:t>，</w:t>
      </w:r>
      <w:r>
        <w:rPr>
          <w:rFonts w:hint="eastAsia" w:ascii="楷体" w:hAnsi="楷体" w:eastAsia="楷体"/>
          <w:sz w:val="30"/>
          <w:szCs w:val="30"/>
        </w:rPr>
        <w:t>由各种经济组织和个人创办的卫生室（所、站）。卫生室（所、站）需要拥有固定经营场所，主要从事医疗卫生活动。不包括专业的牙医室以及主要从事药品销售活动的单位。</w:t>
      </w:r>
    </w:p>
    <w:p>
      <w:pPr>
        <w:snapToGrid w:val="0"/>
        <w:spacing w:line="560" w:lineRule="exact"/>
        <w:ind w:firstLine="602" w:firstLineChars="200"/>
        <w:rPr>
          <w:rFonts w:ascii="楷体" w:hAnsi="楷体" w:eastAsia="楷体"/>
          <w:sz w:val="30"/>
          <w:szCs w:val="30"/>
        </w:rPr>
      </w:pPr>
      <w:r>
        <w:rPr>
          <w:rFonts w:hint="eastAsia" w:ascii="楷体" w:hAnsi="楷体" w:eastAsia="楷体"/>
          <w:b/>
          <w:sz w:val="30"/>
          <w:szCs w:val="30"/>
        </w:rPr>
        <w:t>22.住房：</w:t>
      </w:r>
      <w:r>
        <w:rPr>
          <w:rFonts w:hint="eastAsia" w:ascii="楷体" w:hAnsi="楷体" w:eastAsia="楷体"/>
          <w:sz w:val="30"/>
          <w:szCs w:val="30"/>
        </w:rPr>
        <w:t>一般指有墙、顶、门、窗等结构，周围有墙，能防风避雨，供人居住的房屋。按照各地生活习惯，可供居住的窑洞、竹楼、蒙古包、帐篷、毡房、船屋等也包括在内。</w:t>
      </w:r>
    </w:p>
    <w:p>
      <w:pPr>
        <w:snapToGrid w:val="0"/>
        <w:spacing w:line="560" w:lineRule="exact"/>
        <w:ind w:firstLine="602" w:firstLineChars="200"/>
        <w:rPr>
          <w:rFonts w:ascii="楷体" w:hAnsi="楷体" w:eastAsia="楷体"/>
          <w:sz w:val="30"/>
          <w:szCs w:val="30"/>
        </w:rPr>
      </w:pPr>
      <w:r>
        <w:rPr>
          <w:rFonts w:hint="eastAsia" w:ascii="楷体" w:hAnsi="楷体" w:eastAsia="楷体"/>
          <w:b/>
          <w:sz w:val="30"/>
          <w:szCs w:val="30"/>
        </w:rPr>
        <w:t>23.经过净化处理的自来水：</w:t>
      </w:r>
      <w:r>
        <w:rPr>
          <w:rFonts w:hint="eastAsia" w:ascii="楷体" w:hAnsi="楷体" w:eastAsia="楷体"/>
          <w:sz w:val="30"/>
          <w:szCs w:val="30"/>
        </w:rPr>
        <w:t>指通过自来水厂或集中净化设施进行净化和消毒并符合国家饮用水标准的供人们生活的水。</w:t>
      </w:r>
    </w:p>
    <w:p>
      <w:pPr>
        <w:snapToGrid w:val="0"/>
        <w:spacing w:line="560" w:lineRule="exact"/>
        <w:ind w:firstLine="602" w:firstLineChars="200"/>
        <w:rPr>
          <w:rFonts w:ascii="仿宋_GB2312" w:eastAsia="仿宋_GB2312"/>
          <w:sz w:val="30"/>
          <w:szCs w:val="30"/>
        </w:rPr>
      </w:pPr>
      <w:r>
        <w:rPr>
          <w:rFonts w:hint="eastAsia" w:ascii="楷体" w:hAnsi="楷体" w:eastAsia="楷体"/>
          <w:b/>
          <w:sz w:val="30"/>
          <w:szCs w:val="30"/>
        </w:rPr>
        <w:t>24.水冲式卫生厕所（冲入下水道、化粪池和厕坑）</w:t>
      </w:r>
      <w:r>
        <w:rPr>
          <w:rFonts w:hint="eastAsia" w:ascii="楷体" w:hAnsi="楷体" w:eastAsia="楷体"/>
          <w:sz w:val="30"/>
          <w:szCs w:val="30"/>
          <w:lang w:eastAsia="zh-CN"/>
        </w:rPr>
        <w:t>：</w:t>
      </w:r>
      <w:r>
        <w:rPr>
          <w:rFonts w:hint="eastAsia" w:ascii="楷体" w:hAnsi="楷体" w:eastAsia="楷体"/>
          <w:sz w:val="30"/>
          <w:szCs w:val="30"/>
        </w:rPr>
        <w:t>指有上下水系统或厕间有备水桶（瓢冲），坐便或蹲便器有水封或无水封的厕所，且粪便及污水冲入到下水道、化粪池和厕坑，无蝇，不会造成环境污染。</w:t>
      </w:r>
    </w:p>
    <w:p>
      <w:pPr>
        <w:snapToGrid w:val="0"/>
        <w:spacing w:line="560" w:lineRule="exact"/>
        <w:rPr>
          <w:rFonts w:ascii="楷体" w:hAnsi="楷体" w:eastAsia="楷体"/>
          <w:sz w:val="30"/>
          <w:szCs w:val="30"/>
        </w:rPr>
      </w:pPr>
    </w:p>
    <w:sectPr>
      <w:footerReference r:id="rId3"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511725"/>
    </w:sdtPr>
    <w:sdtEndPr>
      <w:rPr>
        <w:rFonts w:asciiTheme="minorEastAsia" w:hAnsiTheme="minorEastAsia"/>
        <w:sz w:val="28"/>
      </w:rPr>
    </w:sdtEndPr>
    <w:sdtContent>
      <w:p>
        <w:pPr>
          <w:pStyle w:val="7"/>
          <w:jc w:val="center"/>
          <w:rPr>
            <w:rFonts w:asciiTheme="minorEastAsia" w:hAnsiTheme="minorEastAsia"/>
            <w:sz w:val="28"/>
          </w:rPr>
        </w:pPr>
        <w:r>
          <w:rPr>
            <w:rFonts w:asciiTheme="minorEastAsia" w:hAnsiTheme="minorEastAsia"/>
            <w:sz w:val="28"/>
          </w:rPr>
          <w:fldChar w:fldCharType="begin"/>
        </w:r>
        <w:r>
          <w:rPr>
            <w:rFonts w:asciiTheme="minorEastAsia" w:hAnsiTheme="minorEastAsia"/>
            <w:sz w:val="28"/>
          </w:rPr>
          <w:instrText xml:space="preserve">PAGE   \* MERGEFORMAT</w:instrText>
        </w:r>
        <w:r>
          <w:rPr>
            <w:rFonts w:asciiTheme="minorEastAsia" w:hAnsiTheme="minorEastAsia"/>
            <w:sz w:val="28"/>
          </w:rPr>
          <w:fldChar w:fldCharType="separate"/>
        </w:r>
        <w:r>
          <w:rPr>
            <w:rFonts w:asciiTheme="minorEastAsia" w:hAnsiTheme="minorEastAsia"/>
            <w:sz w:val="28"/>
            <w:lang w:val="zh-CN"/>
          </w:rPr>
          <w:t>-</w:t>
        </w:r>
        <w:r>
          <w:rPr>
            <w:rFonts w:asciiTheme="minorEastAsia" w:hAnsiTheme="minorEastAsia"/>
            <w:sz w:val="28"/>
          </w:rPr>
          <w:t xml:space="preserve"> 2 -</w:t>
        </w:r>
        <w:r>
          <w:rPr>
            <w:rFonts w:asciiTheme="minorEastAsia" w:hAnsiTheme="minorEastAsia"/>
            <w:sz w:val="28"/>
            <w:lang w:val="zh-CN"/>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7F9"/>
    <w:rsid w:val="0001792E"/>
    <w:rsid w:val="000344EA"/>
    <w:rsid w:val="000377F9"/>
    <w:rsid w:val="000A3FDA"/>
    <w:rsid w:val="000B5006"/>
    <w:rsid w:val="0012174A"/>
    <w:rsid w:val="001625D6"/>
    <w:rsid w:val="002512C9"/>
    <w:rsid w:val="002528EB"/>
    <w:rsid w:val="002974D9"/>
    <w:rsid w:val="002A5DCB"/>
    <w:rsid w:val="002D7CF9"/>
    <w:rsid w:val="002E193F"/>
    <w:rsid w:val="00307C9B"/>
    <w:rsid w:val="003317F8"/>
    <w:rsid w:val="003451BC"/>
    <w:rsid w:val="00383224"/>
    <w:rsid w:val="003A24E5"/>
    <w:rsid w:val="00433F81"/>
    <w:rsid w:val="00491404"/>
    <w:rsid w:val="004934E8"/>
    <w:rsid w:val="004B04A9"/>
    <w:rsid w:val="004B22D6"/>
    <w:rsid w:val="004F6C12"/>
    <w:rsid w:val="004F7170"/>
    <w:rsid w:val="00502FC3"/>
    <w:rsid w:val="00520051"/>
    <w:rsid w:val="00630A11"/>
    <w:rsid w:val="00657219"/>
    <w:rsid w:val="006B57D3"/>
    <w:rsid w:val="0070228E"/>
    <w:rsid w:val="00744A58"/>
    <w:rsid w:val="00794C09"/>
    <w:rsid w:val="007F0A93"/>
    <w:rsid w:val="007F72F7"/>
    <w:rsid w:val="008D0F4D"/>
    <w:rsid w:val="00970FAD"/>
    <w:rsid w:val="009925AD"/>
    <w:rsid w:val="009A4077"/>
    <w:rsid w:val="009D751E"/>
    <w:rsid w:val="00A03B68"/>
    <w:rsid w:val="00A35125"/>
    <w:rsid w:val="00A537E7"/>
    <w:rsid w:val="00A70A6F"/>
    <w:rsid w:val="00AC17B5"/>
    <w:rsid w:val="00AC761C"/>
    <w:rsid w:val="00AD5118"/>
    <w:rsid w:val="00AF2E56"/>
    <w:rsid w:val="00B36178"/>
    <w:rsid w:val="00B42B1A"/>
    <w:rsid w:val="00B876C8"/>
    <w:rsid w:val="00BB507D"/>
    <w:rsid w:val="00C064AA"/>
    <w:rsid w:val="00C14ABF"/>
    <w:rsid w:val="00C44D24"/>
    <w:rsid w:val="00D905A7"/>
    <w:rsid w:val="00DC622D"/>
    <w:rsid w:val="00DC6D02"/>
    <w:rsid w:val="00DE2C62"/>
    <w:rsid w:val="00E0729F"/>
    <w:rsid w:val="00E17258"/>
    <w:rsid w:val="00E335C2"/>
    <w:rsid w:val="00EC2A2A"/>
    <w:rsid w:val="00F476D9"/>
    <w:rsid w:val="00FF23EF"/>
    <w:rsid w:val="00FF62D5"/>
    <w:rsid w:val="144078AF"/>
    <w:rsid w:val="178A4CFD"/>
    <w:rsid w:val="1E4A396D"/>
    <w:rsid w:val="2283332C"/>
    <w:rsid w:val="23EF6B0C"/>
    <w:rsid w:val="25F264C1"/>
    <w:rsid w:val="339E4CAB"/>
    <w:rsid w:val="3575411C"/>
    <w:rsid w:val="49EB7F1D"/>
    <w:rsid w:val="4C674474"/>
    <w:rsid w:val="56110EC9"/>
    <w:rsid w:val="5BA27AFB"/>
    <w:rsid w:val="5CE57F8F"/>
    <w:rsid w:val="5D241BB2"/>
    <w:rsid w:val="668D0A86"/>
    <w:rsid w:val="670F0DA5"/>
    <w:rsid w:val="693D49F3"/>
    <w:rsid w:val="69DB511F"/>
    <w:rsid w:val="6FFE14E2"/>
    <w:rsid w:val="7008616D"/>
    <w:rsid w:val="76357D89"/>
    <w:rsid w:val="77EFE4BE"/>
    <w:rsid w:val="77FB21B1"/>
    <w:rsid w:val="7ABC8026"/>
    <w:rsid w:val="7FD9697D"/>
    <w:rsid w:val="7FEBA135"/>
    <w:rsid w:val="B7FE9E64"/>
    <w:rsid w:val="BF979737"/>
    <w:rsid w:val="DBD7BF7F"/>
    <w:rsid w:val="DFEED72F"/>
    <w:rsid w:val="F3FB111E"/>
    <w:rsid w:val="FDF23952"/>
    <w:rsid w:val="FF1E4C23"/>
    <w:rsid w:val="FFED4B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unhideWhenUsed/>
    <w:qFormat/>
    <w:uiPriority w:val="35"/>
    <w:rPr>
      <w:rFonts w:eastAsia="黑体" w:asciiTheme="majorHAnsi" w:hAnsiTheme="majorHAnsi" w:cstheme="majorBidi"/>
      <w:sz w:val="20"/>
      <w:szCs w:val="20"/>
    </w:rPr>
  </w:style>
  <w:style w:type="paragraph" w:styleId="5">
    <w:name w:val="Date"/>
    <w:basedOn w:val="1"/>
    <w:next w:val="1"/>
    <w:link w:val="13"/>
    <w:semiHidden/>
    <w:unhideWhenUsed/>
    <w:qFormat/>
    <w:uiPriority w:val="99"/>
    <w:pPr>
      <w:ind w:left="100" w:leftChars="2500"/>
    </w:pPr>
  </w:style>
  <w:style w:type="paragraph" w:styleId="6">
    <w:name w:val="Balloon Text"/>
    <w:basedOn w:val="1"/>
    <w:link w:val="18"/>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1">
    <w:name w:val="页眉 Char"/>
    <w:basedOn w:val="10"/>
    <w:link w:val="8"/>
    <w:qFormat/>
    <w:uiPriority w:val="99"/>
    <w:rPr>
      <w:sz w:val="18"/>
      <w:szCs w:val="18"/>
    </w:rPr>
  </w:style>
  <w:style w:type="character" w:customStyle="1" w:styleId="12">
    <w:name w:val="页脚 Char"/>
    <w:basedOn w:val="10"/>
    <w:link w:val="7"/>
    <w:qFormat/>
    <w:uiPriority w:val="99"/>
    <w:rPr>
      <w:sz w:val="18"/>
      <w:szCs w:val="18"/>
    </w:rPr>
  </w:style>
  <w:style w:type="character" w:customStyle="1" w:styleId="13">
    <w:name w:val="日期 Char"/>
    <w:basedOn w:val="10"/>
    <w:link w:val="5"/>
    <w:semiHidden/>
    <w:qFormat/>
    <w:uiPriority w:val="99"/>
    <w:rPr>
      <w:rFonts w:ascii="Calibri" w:hAnsi="Calibri" w:eastAsia="宋体" w:cs="Calibri"/>
      <w:szCs w:val="21"/>
    </w:rPr>
  </w:style>
  <w:style w:type="character" w:customStyle="1" w:styleId="14">
    <w:name w:val="标题 1 Char"/>
    <w:basedOn w:val="10"/>
    <w:link w:val="2"/>
    <w:qFormat/>
    <w:uiPriority w:val="9"/>
    <w:rPr>
      <w:rFonts w:ascii="Calibri" w:hAnsi="Calibri" w:eastAsia="宋体" w:cs="Calibri"/>
      <w:b/>
      <w:bCs/>
      <w:kern w:val="44"/>
      <w:sz w:val="44"/>
      <w:szCs w:val="44"/>
    </w:rPr>
  </w:style>
  <w:style w:type="paragraph" w:customStyle="1" w:styleId="15">
    <w:name w:val="公文标题 1"/>
    <w:basedOn w:val="2"/>
    <w:qFormat/>
    <w:uiPriority w:val="0"/>
    <w:pPr>
      <w:jc w:val="center"/>
    </w:pPr>
    <w:rPr>
      <w:rFonts w:eastAsia="黑体"/>
    </w:rPr>
  </w:style>
  <w:style w:type="character" w:customStyle="1" w:styleId="16">
    <w:name w:val="标题 2 Char"/>
    <w:basedOn w:val="10"/>
    <w:link w:val="3"/>
    <w:qFormat/>
    <w:uiPriority w:val="9"/>
    <w:rPr>
      <w:rFonts w:asciiTheme="majorHAnsi" w:hAnsiTheme="majorHAnsi" w:eastAsiaTheme="majorEastAsia" w:cstheme="majorBidi"/>
      <w:b/>
      <w:bCs/>
      <w:sz w:val="32"/>
      <w:szCs w:val="32"/>
    </w:rPr>
  </w:style>
  <w:style w:type="paragraph" w:customStyle="1" w:styleId="17">
    <w:name w:val="公文标题 2"/>
    <w:basedOn w:val="3"/>
    <w:qFormat/>
    <w:uiPriority w:val="0"/>
    <w:pPr>
      <w:jc w:val="center"/>
    </w:pPr>
    <w:rPr>
      <w:rFonts w:eastAsia="黑体"/>
      <w:sz w:val="36"/>
    </w:rPr>
  </w:style>
  <w:style w:type="character" w:customStyle="1" w:styleId="18">
    <w:name w:val="批注框文本 Char"/>
    <w:basedOn w:val="10"/>
    <w:link w:val="6"/>
    <w:semiHidden/>
    <w:qFormat/>
    <w:uiPriority w:val="99"/>
    <w:rPr>
      <w:rFonts w:ascii="Calibri" w:hAnsi="Calibri" w:eastAsia="宋体" w:cs="Calibri"/>
      <w:sz w:val="18"/>
      <w:szCs w:val="18"/>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7</Pages>
  <Words>525</Words>
  <Characters>2995</Characters>
  <Lines>24</Lines>
  <Paragraphs>7</Paragraphs>
  <TotalTime>0</TotalTime>
  <ScaleCrop>false</ScaleCrop>
  <LinksUpToDate>false</LinksUpToDate>
  <CharactersWithSpaces>3513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2018-08-05T10:39:00Z</dcterms:created>
  <dc:creator>asus</dc:creator>
  <cp:lastModifiedBy>dp</cp:lastModifiedBy>
  <cp:lastPrinted>2018-12-21T10:27:00Z</cp:lastPrinted>
  <dcterms:modified xsi:type="dcterms:W3CDTF">2023-03-09T15:55:36Z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