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4FE" w:rsidRDefault="001C74FE">
      <w:pPr>
        <w:pStyle w:val="Heading3"/>
        <w:spacing w:after="0" w:line="440" w:lineRule="exact"/>
        <w:jc w:val="center"/>
        <w:outlineLvl w:val="9"/>
        <w:rPr>
          <w:rFonts w:ascii="方正小标宋简体" w:eastAsia="方正小标宋简体" w:hAnsi="方正小标宋简体" w:cs="方正小标宋简体" w:hint="eastAsia"/>
          <w:color w:val="auto"/>
        </w:rPr>
      </w:pPr>
    </w:p>
    <w:p w:rsidR="001C74FE" w:rsidRDefault="001C74FE">
      <w:pPr>
        <w:pStyle w:val="Heading3"/>
        <w:spacing w:after="0" w:line="440" w:lineRule="exact"/>
        <w:jc w:val="center"/>
        <w:outlineLvl w:val="9"/>
        <w:rPr>
          <w:rFonts w:ascii="方正小标宋简体" w:eastAsia="方正小标宋简体" w:hAnsi="方正小标宋简体" w:cs="方正小标宋简体"/>
          <w:color w:val="auto"/>
        </w:rPr>
      </w:pPr>
    </w:p>
    <w:p w:rsidR="001C74FE" w:rsidRDefault="001C74FE">
      <w:pPr>
        <w:pStyle w:val="Heading3"/>
        <w:spacing w:after="0" w:line="440" w:lineRule="exact"/>
        <w:jc w:val="center"/>
        <w:outlineLvl w:val="9"/>
        <w:rPr>
          <w:rFonts w:ascii="方正小标宋简体" w:eastAsia="方正小标宋简体" w:hAnsi="方正小标宋简体" w:cs="方正小标宋简体"/>
          <w:color w:val="auto"/>
        </w:rPr>
      </w:pPr>
    </w:p>
    <w:p w:rsidR="001C74FE" w:rsidRDefault="00C368AD">
      <w:pPr>
        <w:pStyle w:val="Heading3"/>
        <w:spacing w:after="0" w:line="440" w:lineRule="exact"/>
        <w:jc w:val="center"/>
        <w:rPr>
          <w:rFonts w:ascii="方正小标宋简体" w:eastAsia="方正小标宋简体" w:hAnsi="方正小标宋简体" w:cs="方正小标宋简体"/>
          <w:color w:val="auto"/>
        </w:rPr>
      </w:pPr>
      <w:r>
        <w:rPr>
          <w:rFonts w:ascii="方正小标宋简体" w:eastAsia="方正小标宋简体" w:hAnsi="方正小标宋简体" w:cs="方正小标宋简体" w:hint="eastAsia"/>
          <w:color w:val="auto"/>
        </w:rPr>
        <w:t>2021年度部门评价报告</w:t>
      </w:r>
    </w:p>
    <w:p w:rsidR="001C74FE" w:rsidRDefault="001C74FE">
      <w:pPr>
        <w:pStyle w:val="Heading3"/>
        <w:spacing w:after="0" w:line="440" w:lineRule="exact"/>
        <w:outlineLvl w:val="9"/>
        <w:rPr>
          <w:color w:val="auto"/>
        </w:rPr>
      </w:pPr>
    </w:p>
    <w:p w:rsidR="001C74FE" w:rsidRDefault="001C74FE">
      <w:pPr>
        <w:pStyle w:val="Heading3"/>
        <w:spacing w:after="0" w:line="440" w:lineRule="exact"/>
        <w:outlineLvl w:val="9"/>
        <w:rPr>
          <w:color w:val="auto"/>
        </w:rPr>
      </w:pPr>
    </w:p>
    <w:p w:rsidR="001C74FE" w:rsidRDefault="001C74FE">
      <w:pPr>
        <w:pStyle w:val="Heading3"/>
        <w:spacing w:after="0" w:line="440" w:lineRule="exact"/>
        <w:outlineLvl w:val="9"/>
        <w:rPr>
          <w:color w:val="auto"/>
        </w:rPr>
      </w:pPr>
    </w:p>
    <w:p w:rsidR="001C74FE" w:rsidRDefault="001C74FE">
      <w:pPr>
        <w:pStyle w:val="Heading3"/>
        <w:spacing w:after="0" w:line="440" w:lineRule="exact"/>
        <w:outlineLvl w:val="9"/>
        <w:rPr>
          <w:color w:val="auto"/>
        </w:rPr>
      </w:pPr>
    </w:p>
    <w:p w:rsidR="001C74FE" w:rsidRDefault="001C74FE">
      <w:pPr>
        <w:pStyle w:val="Heading3"/>
        <w:spacing w:after="0" w:line="440" w:lineRule="exact"/>
        <w:outlineLvl w:val="9"/>
        <w:rPr>
          <w:color w:val="auto"/>
        </w:rPr>
      </w:pPr>
    </w:p>
    <w:p w:rsidR="001C74FE" w:rsidRDefault="00C368AD">
      <w:pPr>
        <w:pStyle w:val="Bodytext2"/>
        <w:spacing w:before="0" w:after="0" w:line="624" w:lineRule="exact"/>
        <w:ind w:firstLineChars="700" w:firstLine="3080"/>
        <w:rPr>
          <w:rFonts w:ascii="仿宋_GB2312" w:eastAsia="仿宋_GB2312" w:hAnsi="Calibri" w:cs="Times New Roman"/>
          <w:spacing w:val="0"/>
          <w:sz w:val="44"/>
          <w:szCs w:val="44"/>
        </w:rPr>
      </w:pPr>
      <w:r>
        <w:rPr>
          <w:rFonts w:ascii="仿宋_GB2312" w:eastAsia="仿宋_GB2312" w:hAnsi="Calibri" w:cs="Times New Roman" w:hint="eastAsia"/>
          <w:spacing w:val="0"/>
          <w:sz w:val="44"/>
          <w:szCs w:val="44"/>
        </w:rPr>
        <w:t xml:space="preserve"> </w:t>
      </w:r>
    </w:p>
    <w:p w:rsidR="001C74FE" w:rsidRDefault="00C368AD">
      <w:pPr>
        <w:pStyle w:val="a7"/>
        <w:spacing w:before="0" w:line="480" w:lineRule="auto"/>
        <w:ind w:leftChars="0" w:left="0" w:firstLineChars="100" w:firstLine="360"/>
        <w:outlineLvl w:val="0"/>
        <w:rPr>
          <w:rFonts w:ascii="仿宋_GB2312" w:eastAsia="仿宋_GB2312"/>
          <w:sz w:val="36"/>
          <w:szCs w:val="36"/>
          <w:lang w:val="en-US"/>
        </w:rPr>
      </w:pPr>
      <w:r>
        <w:rPr>
          <w:rFonts w:ascii="仿宋_GB2312" w:eastAsia="仿宋_GB2312" w:hint="eastAsia"/>
          <w:sz w:val="36"/>
          <w:szCs w:val="36"/>
          <w:lang w:val="en-US"/>
        </w:rPr>
        <w:t>项目名称：基本公共卫生服务经费</w:t>
      </w:r>
    </w:p>
    <w:p w:rsidR="001C74FE" w:rsidRDefault="00C368AD">
      <w:pPr>
        <w:ind w:firstLineChars="100" w:firstLine="360"/>
        <w:outlineLvl w:val="0"/>
        <w:rPr>
          <w:rFonts w:ascii="仿宋_GB2312" w:eastAsia="仿宋_GB2312"/>
          <w:sz w:val="36"/>
          <w:szCs w:val="36"/>
        </w:rPr>
      </w:pPr>
      <w:r>
        <w:rPr>
          <w:rFonts w:ascii="仿宋_GB2312" w:eastAsia="仿宋_GB2312" w:hint="eastAsia"/>
          <w:sz w:val="36"/>
          <w:szCs w:val="36"/>
        </w:rPr>
        <w:t>主管部门（公章）：深圳市大鹏新区医疗健康集团</w:t>
      </w:r>
    </w:p>
    <w:p w:rsidR="001C74FE" w:rsidRDefault="001C74FE">
      <w:pPr>
        <w:jc w:val="center"/>
        <w:rPr>
          <w:rFonts w:ascii="宋体" w:eastAsia="宋体" w:hAnsi="宋体" w:cs="Arial"/>
          <w:b/>
          <w:bCs/>
          <w:sz w:val="36"/>
          <w:szCs w:val="36"/>
          <w:lang w:bidi="ar"/>
        </w:rPr>
        <w:sectPr w:rsidR="001C74FE">
          <w:pgSz w:w="11906" w:h="16838"/>
          <w:pgMar w:top="1928" w:right="1531" w:bottom="1702" w:left="1531" w:header="737" w:footer="851" w:gutter="0"/>
          <w:cols w:space="425"/>
          <w:docGrid w:type="lines" w:linePitch="408"/>
        </w:sectPr>
      </w:pP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lastRenderedPageBreak/>
        <w:t>根据深圳市大鹏新区发展和财政局关于印发《深圳市大鹏新区2022年度预算绩效管理工作方案》的通知，为落实预算执行和绩效管理主体责任，提高财政资源配置效率和财政资金使用效益，提升公共服务水平，深圳市大鹏新区医疗健康集团认真组织，开展基本公共卫生服务经费项目（以下简称“本项目”）支出绩效自评工作，自评打分99.5分。现将有关情况报告如下。</w:t>
      </w:r>
    </w:p>
    <w:p w:rsidR="001C74FE" w:rsidRDefault="00C368AD">
      <w:pPr>
        <w:spacing w:line="600" w:lineRule="exact"/>
        <w:ind w:firstLineChars="200" w:firstLine="600"/>
        <w:outlineLvl w:val="0"/>
        <w:rPr>
          <w:rFonts w:ascii="黑体" w:eastAsia="黑体" w:hAnsi="宋体" w:cs="黑体"/>
        </w:rPr>
      </w:pPr>
      <w:r>
        <w:rPr>
          <w:rFonts w:ascii="黑体" w:eastAsia="黑体" w:hAnsi="宋体" w:cs="黑体" w:hint="eastAsia"/>
          <w:sz w:val="30"/>
          <w:lang w:bidi="ar"/>
        </w:rPr>
        <w:t>一、基本情况</w:t>
      </w:r>
    </w:p>
    <w:p w:rsidR="001C74FE" w:rsidRDefault="00C368AD">
      <w:pPr>
        <w:spacing w:line="600" w:lineRule="exact"/>
        <w:ind w:firstLineChars="200" w:firstLine="602"/>
        <w:outlineLvl w:val="0"/>
        <w:rPr>
          <w:rFonts w:ascii="仿宋_GB2312" w:eastAsia="仿宋_GB2312" w:hAnsi="Times New Roman" w:cs="仿宋_GB2312"/>
          <w:sz w:val="30"/>
          <w:highlight w:val="yellow"/>
          <w:lang w:bidi="ar"/>
        </w:rPr>
      </w:pPr>
      <w:r>
        <w:rPr>
          <w:rFonts w:ascii="仿宋_GB2312" w:eastAsia="仿宋_GB2312" w:hAnsi="Times New Roman" w:cs="仿宋_GB2312" w:hint="eastAsia"/>
          <w:b/>
          <w:bCs/>
          <w:sz w:val="30"/>
          <w:lang w:bidi="ar"/>
        </w:rPr>
        <w:t>（一）项目概况。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1.项目背景</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基本公共卫生服务项目是指由国家卫生健康委会同财政部，根据深化医药卫生体制改革的有关要求和年度工作任务、卫生健康事业发展规划以及财政预算情况研究确定的具体内容。具体服务内容和要求按照《国家基本公共卫生服务规范》和省级基本公共卫生服务规范执行，并依据国家和省级基本公共卫生服务项目内容变化适时调整。</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2.项目主要内容及实施情况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本项目2021年度的主要工作内容是：</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新区进一步加强居民健康档案规范管理，借助卫健智能系统，对不规范档案，尤其旧档案中缺漏项进行筛选，每周导出给社康机构整改，每周通报整改情况。新区层面及区域社康层面开展健康档案管理业务的指导、培训，每月开展质控和问题整改情况核查；质控和核查结果纳入绩效核算，落实奖优罚劣措施。通过以上各项</w:t>
      </w:r>
      <w:r>
        <w:rPr>
          <w:rFonts w:ascii="仿宋_GB2312" w:eastAsia="仿宋_GB2312" w:hAnsi="Times New Roman" w:cs="仿宋_GB2312" w:hint="eastAsia"/>
          <w:sz w:val="30"/>
          <w:lang w:bidi="ar"/>
        </w:rPr>
        <w:lastRenderedPageBreak/>
        <w:t>措施，保证居民健康档案的完整和准确。</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完善社康机构绩效考核，提高服务数量与质量。在《深圳市大鹏新区区域社康中心绩效考核方案》的基础上，出台《2021年深圳市大鹏新区区域社康中心绩效考核补充方案》，建立区域社康交叉督导机制，提升公卫管理规范率。</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3）多部门联动合作，提高重点人群管理数量和质量。25个社区成立公共卫生委员会，共同建设“健康社区”。开启“社区+社康+社工”三社联动深度协同模式。医网协作，社区网格员成为家庭医生服务的“触手”，老高糖人群的管理效率大大提高，基本公共卫生服务进一步深入社区，深入家庭。</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4）持续完善家庭医生团队服务内涵。继续开展新区各社区居民人口结构和摸底调查工作，完善人口结构调查工作考核机制，落实居民信息动态管理。同时引入社区健康网格员，构建以家庭医生为核心的居民分类管理模式，提高社区老年人、</w:t>
      </w:r>
      <w:r w:rsidR="0034739E">
        <w:rPr>
          <w:rFonts w:ascii="仿宋_GB2312" w:eastAsia="仿宋_GB2312" w:hAnsi="Times New Roman" w:cs="仿宋_GB2312" w:hint="eastAsia"/>
          <w:sz w:val="30"/>
          <w:lang w:bidi="ar"/>
        </w:rPr>
        <w:t>慢性</w:t>
      </w:r>
      <w:r>
        <w:rPr>
          <w:rFonts w:ascii="仿宋_GB2312" w:eastAsia="仿宋_GB2312" w:hAnsi="Times New Roman" w:cs="仿宋_GB2312" w:hint="eastAsia"/>
          <w:sz w:val="30"/>
          <w:lang w:bidi="ar"/>
        </w:rPr>
        <w:t>病患者的管理率和规范管理率，进一步提高社区精神及心理健康服务水平。</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5）持续改进精神卫生工作。在全区开展个案化管理，让精神障碍患者的精神及躯体疾病得到有效的照顾。2021年，计划将个案管理数增加到90个，开展特殊人群的心理宣教及辅导活动，并推进社区长效使用，同时完善“专业团队+家庭管理”的模式，全面提高新区精神障碍患者的面访率、服药率、规范管理率等各项考核指标。同时开展心理卫生管理进社区、进学校。以比亚迪厂为试点，开展心理咨询服务及心理讲座；推进心理健康进学校，以人大附中高中</w:t>
      </w:r>
      <w:r>
        <w:rPr>
          <w:rFonts w:ascii="仿宋_GB2312" w:eastAsia="仿宋_GB2312" w:hAnsi="Times New Roman" w:cs="仿宋_GB2312" w:hint="eastAsia"/>
          <w:sz w:val="30"/>
          <w:lang w:bidi="ar"/>
        </w:rPr>
        <w:lastRenderedPageBreak/>
        <w:t>部和南澳中学为试点，开展心理咨询服务及心理讲座；三家区域社康中心设立心理咨询室，为辖区居民提供心理咨询服务。</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本项目在2021年度的具体实施情况为：</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（1）针对由于地理位置，社康服务半径大，距社康较远的居民交通不便，体检率不高，体检进度较慢的问题。今年新区3月份开始开展针对65岁以上老年人免费体检，对于像南澳街道偏远社区</w:t>
      </w:r>
      <w:r w:rsidR="007218BB">
        <w:rPr>
          <w:rFonts w:ascii="仿宋_GB2312" w:eastAsia="仿宋_GB2312" w:hAnsi="Times New Roman" w:cs="仿宋_GB2312" w:hint="eastAsia"/>
          <w:sz w:val="30"/>
          <w:lang w:bidi="ar"/>
        </w:rPr>
        <w:t>的</w:t>
      </w:r>
      <w:r>
        <w:rPr>
          <w:rFonts w:ascii="仿宋_GB2312" w:eastAsia="仿宋_GB2312" w:hAnsi="Times New Roman" w:cs="仿宋_GB2312" w:hint="eastAsia"/>
          <w:sz w:val="30"/>
          <w:lang w:bidi="ar"/>
        </w:rPr>
        <w:t>居民，充分发挥流动社康车优势，携带相关设备至偏远社区提供免费体检服务。</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针对社康服务简单，无法做到“就诊即查”，部分居民因体检项目较少而选择市级医院体检和老年人免费体检项目无法在社康独立完成，降低了服务对象满意度的问题。新区医疗集团组织人员至盐田区交流学习，结合新区实际，经过评估核算，体检仍安排在各分院可以满足街道老年体检服务。为了提高老年体检管理率，新区今年制定《加强共建共享协作机制 建设高质量健康社区工作方案》，对于社区自行组织辖区老年人到区外体检机构参加健康体检的社区，应协调体检机构按照《深圳市老年人健康管理服务规范》要求设置体检项目（即体检套餐至少应包括服务规范要求的全部体检项目），并由属地社康机构分发体检报告，便于社康机构充分掌握辖区老年人的健康状况并开展个性化、针对性地健康指导。</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（3）针对疫情好转后部分有健康档案的非户籍老年人返回老家，导致原管理的老年人流失较多的问题。新区今年制定《加强共建共享协作机制 建设高质量健康社区工作方案》，社区安排专人负责，</w:t>
      </w:r>
      <w:r>
        <w:rPr>
          <w:rFonts w:ascii="仿宋_GB2312" w:eastAsia="仿宋_GB2312" w:hAnsi="Times New Roman" w:cs="仿宋_GB2312" w:hint="eastAsia"/>
          <w:sz w:val="30"/>
          <w:lang w:bidi="ar"/>
        </w:rPr>
        <w:lastRenderedPageBreak/>
        <w:t>与社康机构构建长效交流合作机制，通过签订保密协议或承诺书等方式，加强居民健康信息与网格人口信息的交换（包括但不限于广东省全员人口系统信息、深圳市社康系统信息、深圳市网格管理系统信息）。将社区网格员纳入家庭医生服务团队，社区网格员入户调查或登记核实网格人员信息时，发放健康宣传资料，及时将网格内老年人及时反馈到社康机构纳管，确保社区老年人免费体检知晓全员覆盖，新增来深老年人可以参与新区免费老年体检。</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3.资金投入和使用情况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本项目的资金主管部门是</w:t>
      </w:r>
      <w:r>
        <w:rPr>
          <w:rFonts w:ascii="仿宋_GB2312" w:eastAsia="仿宋_GB2312" w:hAnsi="Times New Roman" w:cs="仿宋_GB2312" w:hint="eastAsia"/>
          <w:sz w:val="30"/>
          <w:lang w:bidi="ar"/>
        </w:rPr>
        <w:t>深圳市大鹏新区医疗健康集团</w:t>
      </w:r>
      <w:r>
        <w:rPr>
          <w:rFonts w:ascii="仿宋_GB2312" w:eastAsia="仿宋_GB2312" w:hAnsi="Times New Roman" w:cs="仿宋_GB2312"/>
          <w:sz w:val="30"/>
          <w:lang w:bidi="ar"/>
        </w:rPr>
        <w:t>，资金使用单位是</w:t>
      </w:r>
      <w:r>
        <w:rPr>
          <w:rFonts w:ascii="仿宋_GB2312" w:eastAsia="仿宋_GB2312" w:hAnsi="Times New Roman" w:cs="仿宋_GB2312" w:hint="eastAsia"/>
          <w:sz w:val="30"/>
          <w:lang w:bidi="ar"/>
        </w:rPr>
        <w:t>深圳市大鹏新区医疗健康集团</w:t>
      </w:r>
      <w:r>
        <w:rPr>
          <w:rFonts w:ascii="仿宋_GB2312" w:eastAsia="仿宋_GB2312" w:hAnsi="Times New Roman" w:cs="仿宋_GB2312"/>
          <w:sz w:val="30"/>
          <w:lang w:bidi="ar"/>
        </w:rPr>
        <w:t>(本级)。本项目的年初预算数为</w:t>
      </w:r>
      <w:r>
        <w:rPr>
          <w:rFonts w:ascii="仿宋_GB2312" w:eastAsia="仿宋_GB2312" w:hAnsi="Times New Roman" w:cs="仿宋_GB2312" w:hint="eastAsia"/>
          <w:sz w:val="30"/>
          <w:lang w:bidi="ar"/>
        </w:rPr>
        <w:t>1,776.67</w:t>
      </w:r>
      <w:r>
        <w:rPr>
          <w:rFonts w:ascii="仿宋_GB2312" w:eastAsia="仿宋_GB2312" w:hAnsi="Times New Roman" w:cs="仿宋_GB2312"/>
          <w:sz w:val="30"/>
          <w:lang w:bidi="ar"/>
        </w:rPr>
        <w:t>万元，预算调整数为</w:t>
      </w:r>
      <w:r>
        <w:rPr>
          <w:rFonts w:ascii="仿宋_GB2312" w:eastAsia="仿宋_GB2312" w:hAnsi="Times New Roman" w:cs="仿宋_GB2312" w:hint="eastAsia"/>
          <w:sz w:val="30"/>
          <w:lang w:bidi="ar"/>
        </w:rPr>
        <w:t>2,238.49</w:t>
      </w:r>
      <w:r>
        <w:rPr>
          <w:rFonts w:ascii="仿宋_GB2312" w:eastAsia="仿宋_GB2312" w:hAnsi="Times New Roman" w:cs="仿宋_GB2312"/>
          <w:sz w:val="30"/>
          <w:lang w:bidi="ar"/>
        </w:rPr>
        <w:t>万元</w:t>
      </w:r>
      <w:r>
        <w:rPr>
          <w:rFonts w:ascii="仿宋_GB2312" w:eastAsia="仿宋_GB2312" w:hAnsi="Times New Roman" w:cs="仿宋_GB2312" w:hint="eastAsia"/>
          <w:sz w:val="30"/>
          <w:lang w:bidi="ar"/>
        </w:rPr>
        <w:t>，全部为财政拨款，</w:t>
      </w:r>
      <w:r>
        <w:rPr>
          <w:rFonts w:ascii="仿宋_GB2312" w:eastAsia="仿宋_GB2312" w:hAnsi="Times New Roman" w:cs="仿宋_GB2312"/>
          <w:sz w:val="30"/>
          <w:lang w:bidi="ar"/>
        </w:rPr>
        <w:t>资金到位及时，到位率100%。</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本项目资金管理严格按照《中华人民共和国预算法》《</w:t>
      </w:r>
      <w:r>
        <w:rPr>
          <w:rFonts w:ascii="仿宋_GB2312" w:eastAsia="仿宋_GB2312" w:hAnsi="Times New Roman" w:cs="仿宋_GB2312" w:hint="eastAsia"/>
          <w:sz w:val="30"/>
          <w:lang w:bidi="ar"/>
        </w:rPr>
        <w:t>广东省财政厅广东省卫生健康委关于印发广东省基本公共卫生服务补助资金管理实施细则的通知</w:t>
      </w:r>
      <w:r>
        <w:rPr>
          <w:rFonts w:ascii="仿宋_GB2312" w:eastAsia="仿宋_GB2312" w:hAnsi="Times New Roman" w:cs="仿宋_GB2312"/>
          <w:sz w:val="30"/>
          <w:lang w:bidi="ar"/>
        </w:rPr>
        <w:t>》</w:t>
      </w:r>
      <w:r>
        <w:rPr>
          <w:rFonts w:ascii="仿宋_GB2312" w:eastAsia="仿宋_GB2312" w:hAnsi="Times New Roman" w:cs="仿宋_GB2312" w:hint="eastAsia"/>
          <w:sz w:val="30"/>
          <w:lang w:bidi="ar"/>
        </w:rPr>
        <w:t>(粤财社〔2020〕202号)《深圳市大鹏新区医疗健康集团财务管理规范》</w:t>
      </w:r>
      <w:r>
        <w:rPr>
          <w:rFonts w:ascii="仿宋_GB2312" w:eastAsia="仿宋_GB2312" w:hAnsi="Times New Roman" w:cs="仿宋_GB2312"/>
          <w:sz w:val="30"/>
          <w:lang w:bidi="ar"/>
        </w:rPr>
        <w:t>《深圳市大鹏新区医疗健康集团关于印发</w:t>
      </w:r>
      <w:r>
        <w:rPr>
          <w:rFonts w:ascii="仿宋_GB2312" w:eastAsia="仿宋_GB2312" w:hAnsi="Times New Roman" w:cs="仿宋_GB2312" w:hint="eastAsia"/>
          <w:sz w:val="30"/>
          <w:lang w:bidi="ar"/>
        </w:rPr>
        <w:t>&lt;</w:t>
      </w:r>
      <w:r>
        <w:rPr>
          <w:rFonts w:ascii="仿宋_GB2312" w:eastAsia="仿宋_GB2312" w:hAnsi="Times New Roman" w:cs="仿宋_GB2312"/>
          <w:sz w:val="30"/>
          <w:lang w:bidi="ar"/>
        </w:rPr>
        <w:t>深圳市大鹏新区医疗健康集团基本公共卫生服务项目资金管理办法</w:t>
      </w:r>
      <w:r>
        <w:rPr>
          <w:rFonts w:ascii="仿宋_GB2312" w:eastAsia="仿宋_GB2312" w:hAnsi="Times New Roman" w:cs="仿宋_GB2312" w:hint="eastAsia"/>
          <w:sz w:val="30"/>
          <w:lang w:bidi="ar"/>
        </w:rPr>
        <w:t>&gt;</w:t>
      </w:r>
      <w:r>
        <w:rPr>
          <w:rFonts w:ascii="仿宋_GB2312" w:eastAsia="仿宋_GB2312" w:hAnsi="Times New Roman" w:cs="仿宋_GB2312"/>
          <w:sz w:val="30"/>
          <w:lang w:bidi="ar"/>
        </w:rPr>
        <w:t>的通知》</w:t>
      </w:r>
      <w:r>
        <w:rPr>
          <w:rFonts w:ascii="仿宋_GB2312" w:eastAsia="仿宋_GB2312" w:hAnsi="Times New Roman" w:cs="仿宋_GB2312" w:hint="eastAsia"/>
          <w:sz w:val="30"/>
          <w:lang w:bidi="ar"/>
        </w:rPr>
        <w:t>(深鹏医集团〔2021〕55号)</w:t>
      </w:r>
      <w:r>
        <w:rPr>
          <w:rFonts w:ascii="仿宋_GB2312" w:eastAsia="仿宋_GB2312" w:hAnsi="Times New Roman" w:cs="仿宋_GB2312"/>
          <w:sz w:val="30"/>
          <w:lang w:bidi="ar"/>
        </w:rPr>
        <w:t>及其他相关的文件制度要求实施。本项目预算调整数为</w:t>
      </w:r>
      <w:r>
        <w:rPr>
          <w:rFonts w:ascii="仿宋_GB2312" w:eastAsia="仿宋_GB2312" w:hAnsi="Times New Roman" w:cs="仿宋_GB2312" w:hint="eastAsia"/>
          <w:sz w:val="30"/>
          <w:lang w:bidi="ar"/>
        </w:rPr>
        <w:t>2,238.49</w:t>
      </w:r>
      <w:r>
        <w:rPr>
          <w:rFonts w:ascii="仿宋_GB2312" w:eastAsia="仿宋_GB2312" w:hAnsi="Times New Roman" w:cs="仿宋_GB2312"/>
          <w:sz w:val="30"/>
          <w:lang w:bidi="ar"/>
        </w:rPr>
        <w:t>万元，实际支出</w:t>
      </w:r>
      <w:r>
        <w:rPr>
          <w:rFonts w:ascii="仿宋_GB2312" w:eastAsia="仿宋_GB2312" w:hAnsi="Times New Roman" w:cs="仿宋_GB2312" w:hint="eastAsia"/>
          <w:sz w:val="30"/>
          <w:lang w:bidi="ar"/>
        </w:rPr>
        <w:t>2,238.49</w:t>
      </w:r>
      <w:r>
        <w:rPr>
          <w:rFonts w:ascii="仿宋_GB2312" w:eastAsia="仿宋_GB2312" w:hAnsi="Times New Roman" w:cs="仿宋_GB2312"/>
          <w:sz w:val="30"/>
          <w:lang w:bidi="ar"/>
        </w:rPr>
        <w:t>万元，预算执行率为</w:t>
      </w:r>
      <w:r>
        <w:rPr>
          <w:rFonts w:ascii="仿宋_GB2312" w:eastAsia="仿宋_GB2312" w:hAnsi="Times New Roman" w:cs="仿宋_GB2312" w:hint="eastAsia"/>
          <w:sz w:val="30"/>
          <w:lang w:bidi="ar"/>
        </w:rPr>
        <w:t>100</w:t>
      </w:r>
      <w:r>
        <w:rPr>
          <w:rFonts w:ascii="仿宋_GB2312" w:eastAsia="仿宋_GB2312" w:hAnsi="Times New Roman" w:cs="仿宋_GB2312"/>
          <w:sz w:val="30"/>
          <w:lang w:bidi="ar"/>
        </w:rPr>
        <w:t>%</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预算资金分配使用合理</w:t>
      </w:r>
      <w:r>
        <w:rPr>
          <w:rFonts w:ascii="仿宋_GB2312" w:eastAsia="仿宋_GB2312" w:hAnsi="Times New Roman" w:cs="仿宋_GB2312" w:hint="eastAsia"/>
          <w:sz w:val="30"/>
          <w:lang w:bidi="ar"/>
        </w:rPr>
        <w:t>。</w:t>
      </w:r>
    </w:p>
    <w:p w:rsidR="001C74FE" w:rsidRDefault="00C368AD">
      <w:pPr>
        <w:spacing w:line="600" w:lineRule="exact"/>
        <w:ind w:firstLineChars="200" w:firstLine="602"/>
        <w:outlineLvl w:val="0"/>
        <w:rPr>
          <w:rFonts w:ascii="仿宋_GB2312" w:eastAsia="仿宋_GB2312" w:hAnsi="Times New Roman" w:cs="仿宋_GB2312"/>
          <w:sz w:val="30"/>
          <w:highlight w:val="yellow"/>
          <w:lang w:bidi="ar"/>
        </w:rPr>
      </w:pPr>
      <w:r>
        <w:rPr>
          <w:rFonts w:ascii="仿宋_GB2312" w:eastAsia="仿宋_GB2312" w:hAnsi="Times New Roman" w:cs="仿宋_GB2312" w:hint="eastAsia"/>
          <w:b/>
          <w:bCs/>
          <w:sz w:val="30"/>
          <w:lang w:bidi="ar"/>
        </w:rPr>
        <w:t>（二）项目绩效目标。</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本项目主要从“产出指标”“效益指标”两个维度进行目标值</w:t>
      </w:r>
      <w:r>
        <w:rPr>
          <w:rFonts w:ascii="仿宋_GB2312" w:eastAsia="仿宋_GB2312" w:hAnsi="Times New Roman" w:cs="仿宋_GB2312" w:hint="eastAsia"/>
          <w:sz w:val="30"/>
          <w:lang w:bidi="ar"/>
        </w:rPr>
        <w:lastRenderedPageBreak/>
        <w:t>设置。产出指标下设4个二级指标，分别是数量指标、质量指标、时效指标、成本指标；效益指标下设4个二级指标，分别是经济效益指标、社会效益指标、生态效益指标和满意度指标。2021年项目总体目标和绩效目标情况具体详见表1。</w:t>
      </w:r>
    </w:p>
    <w:p w:rsidR="001C74FE" w:rsidRDefault="00C368AD">
      <w:pPr>
        <w:spacing w:line="600" w:lineRule="exact"/>
        <w:ind w:firstLineChars="200" w:firstLine="643"/>
        <w:jc w:val="center"/>
        <w:rPr>
          <w:rFonts w:ascii="仿宋_GB2312" w:eastAsia="仿宋_GB2312" w:hAnsi="Times New Roman" w:cs="仿宋_GB2312"/>
          <w:b/>
          <w:bCs/>
          <w:sz w:val="32"/>
          <w:szCs w:val="32"/>
          <w:lang w:bidi="ar"/>
        </w:rPr>
      </w:pPr>
      <w:r>
        <w:rPr>
          <w:rFonts w:ascii="仿宋_GB2312" w:eastAsia="仿宋_GB2312" w:hAnsi="Times New Roman" w:cs="仿宋_GB2312" w:hint="eastAsia"/>
          <w:b/>
          <w:bCs/>
          <w:sz w:val="32"/>
          <w:szCs w:val="32"/>
          <w:lang w:bidi="ar"/>
        </w:rPr>
        <w:t>表1：二级项目支出绩效目标申报表</w:t>
      </w:r>
    </w:p>
    <w:tbl>
      <w:tblPr>
        <w:tblW w:w="9865" w:type="dxa"/>
        <w:jc w:val="center"/>
        <w:tblLook w:val="04A0" w:firstRow="1" w:lastRow="0" w:firstColumn="1" w:lastColumn="0" w:noHBand="0" w:noVBand="1"/>
      </w:tblPr>
      <w:tblGrid>
        <w:gridCol w:w="1621"/>
        <w:gridCol w:w="1660"/>
        <w:gridCol w:w="1856"/>
        <w:gridCol w:w="2074"/>
        <w:gridCol w:w="2654"/>
      </w:tblGrid>
      <w:tr w:rsidR="001C74FE">
        <w:trPr>
          <w:trHeight w:val="66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项目编码</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1202016-2021-YBXM-0015-01-0014</w:t>
            </w: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项目名称</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基本公共卫生服务经费</w:t>
            </w:r>
          </w:p>
        </w:tc>
      </w:tr>
      <w:tr w:rsidR="001C74FE">
        <w:trPr>
          <w:trHeight w:val="92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申请单位</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bottom"/>
          </w:tcPr>
          <w:p w:rsidR="001C74FE" w:rsidRDefault="00C368AD">
            <w:pPr>
              <w:widowControl/>
              <w:jc w:val="center"/>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bidi="ar"/>
              </w:rPr>
              <w:t>1202016001 深圳市大鹏新区医疗健康集团</w:t>
            </w: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一级预算单位</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1202016 深圳市大鹏新区医疗健康集团</w:t>
            </w:r>
          </w:p>
        </w:tc>
      </w:tr>
      <w:tr w:rsidR="001C74FE">
        <w:trPr>
          <w:trHeight w:val="76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主管处室</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03 财政管理科</w:t>
            </w: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用款单位</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1202016001 深圳市大鹏新区医疗健康集团</w:t>
            </w:r>
          </w:p>
        </w:tc>
      </w:tr>
      <w:tr w:rsidR="001C74FE">
        <w:trPr>
          <w:trHeight w:val="312"/>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实施单位/建设单位</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noWrap/>
            <w:vAlign w:val="center"/>
          </w:tcPr>
          <w:p w:rsidR="001C74FE" w:rsidRDefault="001C74FE">
            <w:pPr>
              <w:jc w:val="center"/>
              <w:rPr>
                <w:rFonts w:ascii="宋体" w:eastAsia="宋体" w:hAnsi="宋体" w:cs="宋体"/>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实施期限</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 经常性项目</w:t>
            </w:r>
          </w:p>
        </w:tc>
      </w:tr>
      <w:tr w:rsidR="001C74FE">
        <w:trPr>
          <w:trHeight w:val="576"/>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预算安排方式</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01 部门预算项目</w:t>
            </w: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项目类型</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02 履职类项目</w:t>
            </w:r>
          </w:p>
        </w:tc>
      </w:tr>
      <w:tr w:rsidR="001C74FE">
        <w:trPr>
          <w:trHeight w:val="576"/>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计划开始日期</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2021</w:t>
            </w: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计划完成日期</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2021</w:t>
            </w:r>
          </w:p>
        </w:tc>
      </w:tr>
      <w:tr w:rsidR="001C74FE">
        <w:trPr>
          <w:trHeight w:val="864"/>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项目总金额（元）</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22,384,880.00</w:t>
            </w:r>
          </w:p>
        </w:tc>
        <w:tc>
          <w:tcPr>
            <w:tcW w:w="15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本年度项目金额（元）</w:t>
            </w:r>
          </w:p>
        </w:tc>
        <w:tc>
          <w:tcPr>
            <w:tcW w:w="30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22,384,880.00</w:t>
            </w:r>
          </w:p>
        </w:tc>
      </w:tr>
      <w:tr w:rsidR="001C74FE">
        <w:trPr>
          <w:trHeight w:val="312"/>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是否新增项目</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否</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资金用途</w:t>
            </w:r>
          </w:p>
        </w:tc>
        <w:tc>
          <w:tcPr>
            <w:tcW w:w="3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09002003 医疗卫生管理</w:t>
            </w:r>
          </w:p>
        </w:tc>
      </w:tr>
      <w:tr w:rsidR="001C74FE">
        <w:trPr>
          <w:trHeight w:val="100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项目概况</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根据2020年人次187222*120元/每人=2246.67万元</w:t>
            </w:r>
          </w:p>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按照2020年实际使用量分配：集团1776.67万元，葵涌180万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，大鹏140万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，南澳150万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w:t>
            </w:r>
          </w:p>
        </w:tc>
      </w:tr>
      <w:tr w:rsidR="001C74FE">
        <w:trPr>
          <w:trHeight w:val="96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项目申报依据</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根据2020年人次187222*120元/每人=2246.67万元</w:t>
            </w:r>
          </w:p>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按照2020年实际使用量分配：集团1776.67万元，葵涌180万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，大鹏140万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，南澳150万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w:t>
            </w:r>
          </w:p>
        </w:tc>
      </w:tr>
      <w:tr w:rsidR="001C74FE">
        <w:trPr>
          <w:trHeight w:val="118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项目测算标准</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4FE" w:rsidRDefault="00C368AD">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根据2020年人次187222*120元/每人=2246.67万元</w:t>
            </w:r>
          </w:p>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按照2020年实际使用量分配：集团1776.67万元，葵涌180万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，大鹏140万</w:t>
            </w:r>
            <w:r w:rsidR="0034739E">
              <w:rPr>
                <w:rFonts w:ascii="宋体" w:eastAsia="宋体" w:hAnsi="宋体" w:cs="宋体" w:hint="eastAsia"/>
                <w:color w:val="000000"/>
                <w:kern w:val="0"/>
                <w:sz w:val="22"/>
                <w:szCs w:val="22"/>
                <w:lang w:bidi="ar"/>
              </w:rPr>
              <w:t>元</w:t>
            </w:r>
            <w:r>
              <w:rPr>
                <w:rFonts w:ascii="宋体" w:eastAsia="宋体" w:hAnsi="宋体" w:cs="宋体" w:hint="eastAsia"/>
                <w:color w:val="000000"/>
                <w:kern w:val="0"/>
                <w:sz w:val="22"/>
                <w:szCs w:val="22"/>
                <w:lang w:bidi="ar"/>
              </w:rPr>
              <w:t>，南澳150万</w:t>
            </w:r>
            <w:r w:rsidR="0034739E">
              <w:rPr>
                <w:rFonts w:ascii="宋体" w:eastAsia="宋体" w:hAnsi="宋体" w:cs="宋体" w:hint="eastAsia"/>
                <w:color w:val="000000"/>
                <w:kern w:val="0"/>
                <w:sz w:val="22"/>
                <w:szCs w:val="22"/>
                <w:lang w:bidi="ar"/>
              </w:rPr>
              <w:t>元</w:t>
            </w:r>
            <w:bookmarkStart w:id="0" w:name="_GoBack"/>
            <w:bookmarkEnd w:id="0"/>
            <w:r>
              <w:rPr>
                <w:rFonts w:ascii="宋体" w:eastAsia="宋体" w:hAnsi="宋体" w:cs="宋体" w:hint="eastAsia"/>
                <w:color w:val="000000"/>
                <w:kern w:val="0"/>
                <w:sz w:val="22"/>
                <w:szCs w:val="22"/>
                <w:lang w:bidi="ar"/>
              </w:rPr>
              <w:t>。</w:t>
            </w:r>
          </w:p>
        </w:tc>
      </w:tr>
      <w:tr w:rsidR="001C74FE">
        <w:trPr>
          <w:trHeight w:val="2760"/>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年度目标</w:t>
            </w:r>
            <w:r>
              <w:rPr>
                <w:rFonts w:ascii="Calibri" w:eastAsia="宋体" w:hAnsi="Calibri" w:cs="Calibri"/>
                <w:color w:val="FF0000"/>
                <w:kern w:val="0"/>
                <w:sz w:val="22"/>
                <w:szCs w:val="22"/>
                <w:lang w:bidi="ar"/>
              </w:rPr>
              <w:t>*</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目标1：完成老年人、高血压、糖尿病患者管理任务，增强基本公卫服务质量，探索家庭医生签约新模式：一是在区域社康中心的部署下，完善“1+N”的模式，全区社康中心（站）职能分工明确，分别承担区域内各项国家基本公共卫生服务工作；推进家庭医生团队以 “1+N”的模式开展签约服务，实现“签”而有“约”。二是进一步加强对社康中心基本公共卫生服务的督导和考核，考核结果与社康中心绩效紧密挂钩。三是持续改进精神卫生工作，将社区精防工作专职化；加强社区精神和心理卫生建设，组织“心理卫生”进企业、进学校、进社区活动。</w:t>
            </w:r>
          </w:p>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目标2：提高医疗服务质量，保持医疗业务稳定增长。</w:t>
            </w:r>
          </w:p>
        </w:tc>
      </w:tr>
      <w:tr w:rsidR="001C74FE">
        <w:trPr>
          <w:trHeight w:val="313"/>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长期目标(跨度多年的项目需填)</w:t>
            </w:r>
          </w:p>
        </w:tc>
        <w:tc>
          <w:tcPr>
            <w:tcW w:w="79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r>
      <w:tr w:rsidR="001C74FE">
        <w:trPr>
          <w:trHeight w:val="312"/>
          <w:jc w:val="center"/>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一级指标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二级指标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三级指标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指标解释</w:t>
            </w:r>
          </w:p>
        </w:tc>
      </w:tr>
      <w:tr w:rsidR="001C74FE">
        <w:trPr>
          <w:trHeight w:val="740"/>
          <w:jc w:val="center"/>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产出指标</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数量指标</w:t>
            </w:r>
            <w:r>
              <w:rPr>
                <w:rFonts w:ascii="Calibri" w:eastAsia="宋体" w:hAnsi="Calibri" w:cs="Calibri"/>
                <w:color w:val="FF0000"/>
                <w:kern w:val="0"/>
                <w:sz w:val="22"/>
                <w:szCs w:val="22"/>
                <w:lang w:bidi="ar"/>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2021年社康门诊人次</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≥20万人次</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2021年社康门诊人次</w:t>
            </w:r>
          </w:p>
        </w:tc>
      </w:tr>
      <w:tr w:rsidR="001C74FE">
        <w:trPr>
          <w:trHeight w:val="312"/>
          <w:jc w:val="center"/>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质量指标</w:t>
            </w:r>
            <w:r>
              <w:rPr>
                <w:rFonts w:ascii="Calibri" w:eastAsia="宋体" w:hAnsi="Calibri" w:cs="Calibri"/>
                <w:color w:val="FF0000"/>
                <w:kern w:val="0"/>
                <w:sz w:val="22"/>
                <w:szCs w:val="22"/>
                <w:lang w:bidi="ar"/>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资金到位率</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资金到位率</w:t>
            </w:r>
          </w:p>
        </w:tc>
      </w:tr>
      <w:tr w:rsidR="001C74FE">
        <w:trPr>
          <w:trHeight w:val="780"/>
          <w:jc w:val="center"/>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时效指标</w:t>
            </w:r>
            <w:r>
              <w:rPr>
                <w:rFonts w:ascii="Calibri" w:eastAsia="宋体" w:hAnsi="Calibri" w:cs="Calibri"/>
                <w:color w:val="FF0000"/>
                <w:kern w:val="0"/>
                <w:sz w:val="22"/>
                <w:szCs w:val="22"/>
                <w:lang w:bidi="ar"/>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基本公共卫生服务经费支出完成时间</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2021年12月25日前</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基本公共卫生服务经费支出完成时间</w:t>
            </w:r>
          </w:p>
        </w:tc>
      </w:tr>
      <w:tr w:rsidR="001C74FE">
        <w:trPr>
          <w:trHeight w:val="312"/>
          <w:jc w:val="center"/>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成本指标</w:t>
            </w:r>
            <w:r>
              <w:rPr>
                <w:rFonts w:ascii="Calibri" w:eastAsia="宋体" w:hAnsi="Calibri" w:cs="Calibri"/>
                <w:color w:val="FF0000"/>
                <w:kern w:val="0"/>
                <w:sz w:val="22"/>
                <w:szCs w:val="22"/>
                <w:lang w:bidi="ar"/>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支付进度达标率</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支付进度达标率</w:t>
            </w:r>
          </w:p>
        </w:tc>
      </w:tr>
      <w:tr w:rsidR="001C74FE">
        <w:trPr>
          <w:trHeight w:val="312"/>
          <w:jc w:val="center"/>
        </w:trPr>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效益指标</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经济效益指标</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全年业务收入较2020年增长情况</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全年业务收入较2020年增长情况</w:t>
            </w:r>
          </w:p>
        </w:tc>
      </w:tr>
      <w:tr w:rsidR="001C74FE">
        <w:trPr>
          <w:trHeight w:val="600"/>
          <w:jc w:val="center"/>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社会效益指标</w:t>
            </w:r>
            <w:r>
              <w:rPr>
                <w:rFonts w:ascii="Calibri" w:eastAsia="宋体" w:hAnsi="Calibri" w:cs="Calibri"/>
                <w:color w:val="FF0000"/>
                <w:kern w:val="0"/>
                <w:sz w:val="22"/>
                <w:szCs w:val="22"/>
                <w:lang w:bidi="ar"/>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基层医疗单位整体医疗水平</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有效提高</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基层医疗单位整体医疗水平</w:t>
            </w:r>
          </w:p>
        </w:tc>
      </w:tr>
      <w:tr w:rsidR="001C74FE">
        <w:trPr>
          <w:trHeight w:val="312"/>
          <w:jc w:val="center"/>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生态效益指标</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不适用</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不适用</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不适用</w:t>
            </w:r>
          </w:p>
        </w:tc>
      </w:tr>
      <w:tr w:rsidR="001C74FE">
        <w:trPr>
          <w:trHeight w:val="312"/>
          <w:jc w:val="center"/>
        </w:trPr>
        <w:tc>
          <w:tcPr>
            <w:tcW w:w="19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rPr>
                <w:rFonts w:ascii="宋体" w:eastAsia="宋体" w:hAnsi="宋体" w:cs="宋体"/>
                <w:color w:val="000000"/>
                <w:sz w:val="22"/>
                <w:szCs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满意度指标</w:t>
            </w:r>
            <w:r>
              <w:rPr>
                <w:rFonts w:ascii="Calibri" w:eastAsia="宋体" w:hAnsi="Calibri" w:cs="Calibri"/>
                <w:color w:val="FF0000"/>
                <w:kern w:val="0"/>
                <w:sz w:val="22"/>
                <w:szCs w:val="22"/>
                <w:lang w:bidi="ar"/>
              </w:rPr>
              <w:t>*</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患者满意度</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2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患者满意度</w:t>
            </w:r>
          </w:p>
        </w:tc>
      </w:tr>
    </w:tbl>
    <w:p w:rsidR="001C74FE" w:rsidRDefault="00C368AD">
      <w:pPr>
        <w:spacing w:line="600" w:lineRule="exact"/>
        <w:ind w:firstLineChars="200" w:firstLine="600"/>
        <w:outlineLvl w:val="0"/>
        <w:rPr>
          <w:rFonts w:ascii="黑体" w:eastAsia="黑体" w:hAnsi="宋体" w:cs="黑体"/>
        </w:rPr>
      </w:pPr>
      <w:r>
        <w:rPr>
          <w:rFonts w:ascii="黑体" w:eastAsia="黑体" w:hAnsi="宋体" w:cs="黑体" w:hint="eastAsia"/>
          <w:sz w:val="30"/>
          <w:lang w:bidi="ar"/>
        </w:rPr>
        <w:t>二、绩效评价工作开展情况</w:t>
      </w:r>
    </w:p>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（一）绩效评价目的、对象和范围。</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1.绩效评价目的</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通过对基本公共卫生服务经费项目资金进行绩效评价，了解和</w:t>
      </w:r>
      <w:r>
        <w:rPr>
          <w:rFonts w:ascii="仿宋_GB2312" w:eastAsia="仿宋_GB2312" w:hAnsi="Times New Roman" w:cs="仿宋_GB2312" w:hint="eastAsia"/>
          <w:sz w:val="30"/>
          <w:lang w:bidi="ar"/>
        </w:rPr>
        <w:lastRenderedPageBreak/>
        <w:t>掌握项目的决策情况、具体实施情况、采取的工作措施等，提出加强项目资金支出管理建议，促进财政资金有效使用。促使项目单位根据绩效评价中发现的问题，认真整改，及时调整和完善单位工作计划和绩效目标并加强项目管理，同时为项目后续资金投入、分配和管理提供决策依据。</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2.绩效评价对象和范围</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基本公卫资金，是指各级财政预算安排，用于按规定为全体城乡居民免费提供基本公共卫生服务的补助资金。基本公卫资金实行专账管理、专款专用。专项经费实行预算管理，属于社康公卫资金的纳入社康中心专账管理，专款专用。</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次评价对象是基本公共卫生服务经费项目资金2,238.49万元，本项目资金的开支范围包括：人员经费支出、公用经费支出、卫生材料支出、低值设备支出、项目管理经费、需方补助经费、医疗检验服务费和指导经费八方面，以上经费支出同时遵循“必要、适量、节约、有效”的原则使用，避免扩大外延和铺张浪费。</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本次评价的内容主要包括基本公共卫生服务经费项目的资金投入及管理和使用情况、相关管理制度办法的健全性及执行情况、实现的产出情况、取得的绩效情况、服务对象满意度等。</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本项目2021年度支出总计为2,238.49万元</w:t>
      </w:r>
      <w:r>
        <w:rPr>
          <w:rFonts w:ascii="仿宋_GB2312" w:eastAsia="仿宋_GB2312" w:hAnsi="Times New Roman" w:cs="仿宋_GB2312"/>
          <w:sz w:val="30"/>
          <w:lang w:bidi="ar"/>
        </w:rPr>
        <w:t>，</w:t>
      </w:r>
      <w:r>
        <w:rPr>
          <w:rFonts w:ascii="仿宋_GB2312" w:eastAsia="仿宋_GB2312" w:hAnsi="Times New Roman" w:cs="仿宋_GB2312" w:hint="eastAsia"/>
          <w:sz w:val="30"/>
          <w:lang w:bidi="ar"/>
        </w:rPr>
        <w:t>主要分为3部分：人员经费支出2,203.97万元、公用经费支出17.21万元、项目管理经费17.31万元，项目支出明细详见表2。</w:t>
      </w:r>
    </w:p>
    <w:p w:rsidR="001C74FE" w:rsidRDefault="001C74FE">
      <w:pPr>
        <w:spacing w:line="600" w:lineRule="exact"/>
        <w:jc w:val="center"/>
        <w:rPr>
          <w:rFonts w:ascii="仿宋_GB2312" w:eastAsia="仿宋_GB2312" w:hAnsi="Times New Roman" w:cs="Times New Roman"/>
          <w:b/>
          <w:bCs/>
          <w:sz w:val="30"/>
        </w:rPr>
      </w:pPr>
    </w:p>
    <w:p w:rsidR="001C74FE" w:rsidRDefault="00C368AD">
      <w:pPr>
        <w:spacing w:line="600" w:lineRule="exact"/>
        <w:jc w:val="center"/>
        <w:rPr>
          <w:rFonts w:ascii="仿宋_GB2312" w:eastAsia="仿宋_GB2312" w:hAnsi="Times New Roman" w:cs="Times New Roman"/>
          <w:b/>
          <w:bCs/>
          <w:sz w:val="30"/>
        </w:rPr>
      </w:pPr>
      <w:r>
        <w:rPr>
          <w:rFonts w:ascii="仿宋_GB2312" w:eastAsia="仿宋_GB2312" w:hAnsi="Times New Roman" w:cs="Times New Roman" w:hint="eastAsia"/>
          <w:b/>
          <w:bCs/>
          <w:sz w:val="30"/>
        </w:rPr>
        <w:lastRenderedPageBreak/>
        <w:t>表2：2021年基本公共卫生服务经费支出明细表</w:t>
      </w:r>
    </w:p>
    <w:p w:rsidR="001C74FE" w:rsidRDefault="00C368AD">
      <w:pPr>
        <w:spacing w:line="600" w:lineRule="exact"/>
        <w:ind w:firstLineChars="200" w:firstLine="560"/>
        <w:jc w:val="right"/>
        <w:rPr>
          <w:rFonts w:ascii="仿宋_GB2312" w:eastAsia="仿宋_GB2312" w:hAnsi="Times New Roman" w:cs="仿宋_GB2312"/>
          <w:sz w:val="28"/>
          <w:szCs w:val="22"/>
          <w:lang w:bidi="ar"/>
        </w:rPr>
      </w:pPr>
      <w:r>
        <w:rPr>
          <w:rFonts w:ascii="仿宋_GB2312" w:eastAsia="仿宋_GB2312" w:hAnsi="Times New Roman" w:cs="仿宋_GB2312" w:hint="eastAsia"/>
          <w:sz w:val="28"/>
          <w:szCs w:val="22"/>
          <w:lang w:bidi="ar"/>
        </w:rPr>
        <w:t>单位：元</w:t>
      </w:r>
    </w:p>
    <w:tbl>
      <w:tblPr>
        <w:tblW w:w="8827" w:type="dxa"/>
        <w:jc w:val="center"/>
        <w:tblLayout w:type="fixed"/>
        <w:tblLook w:val="04A0" w:firstRow="1" w:lastRow="0" w:firstColumn="1" w:lastColumn="0" w:noHBand="0" w:noVBand="1"/>
      </w:tblPr>
      <w:tblGrid>
        <w:gridCol w:w="2387"/>
        <w:gridCol w:w="3933"/>
        <w:gridCol w:w="2507"/>
      </w:tblGrid>
      <w:tr w:rsidR="001C74FE">
        <w:trPr>
          <w:trHeight w:val="327"/>
          <w:jc w:val="center"/>
        </w:trPr>
        <w:tc>
          <w:tcPr>
            <w:tcW w:w="2387"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sz w:val="24"/>
              </w:rPr>
            </w:pPr>
            <w:r>
              <w:rPr>
                <w:rFonts w:ascii="仿宋_GB2312" w:eastAsia="仿宋_GB2312" w:hAnsi="宋体" w:cs="仿宋_GB2312" w:hint="eastAsia"/>
                <w:b/>
                <w:bCs/>
                <w:color w:val="FFFFFF"/>
                <w:kern w:val="0"/>
                <w:sz w:val="24"/>
                <w:lang w:bidi="ar"/>
              </w:rPr>
              <w:t>经费支出类型</w:t>
            </w:r>
          </w:p>
        </w:tc>
        <w:tc>
          <w:tcPr>
            <w:tcW w:w="3933"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sz w:val="24"/>
              </w:rPr>
            </w:pPr>
            <w:r>
              <w:rPr>
                <w:rFonts w:ascii="仿宋_GB2312" w:eastAsia="仿宋_GB2312" w:hAnsi="宋体" w:cs="仿宋_GB2312" w:hint="eastAsia"/>
                <w:b/>
                <w:bCs/>
                <w:color w:val="FFFFFF"/>
                <w:kern w:val="0"/>
                <w:sz w:val="24"/>
                <w:lang w:bidi="ar"/>
              </w:rPr>
              <w:t>经济科目分类</w:t>
            </w:r>
          </w:p>
        </w:tc>
        <w:tc>
          <w:tcPr>
            <w:tcW w:w="2507"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sz w:val="24"/>
              </w:rPr>
            </w:pPr>
            <w:r>
              <w:rPr>
                <w:rFonts w:ascii="仿宋_GB2312" w:eastAsia="仿宋_GB2312" w:hAnsi="宋体" w:cs="仿宋_GB2312" w:hint="eastAsia"/>
                <w:b/>
                <w:bCs/>
                <w:color w:val="FFFFFF"/>
                <w:kern w:val="0"/>
                <w:sz w:val="24"/>
                <w:lang w:bidi="ar"/>
              </w:rPr>
              <w:t>1-12月支出金额</w:t>
            </w:r>
          </w:p>
        </w:tc>
      </w:tr>
      <w:tr w:rsidR="001C74FE">
        <w:trPr>
          <w:trHeight w:val="312"/>
          <w:jc w:val="center"/>
        </w:trPr>
        <w:tc>
          <w:tcPr>
            <w:tcW w:w="23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人员经费支出</w:t>
            </w: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基本工资</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6,531,452.11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绩效工资</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11,865,830.16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机关事业单位基本养老保险缴费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1,307,936.29 </w:t>
            </w:r>
          </w:p>
        </w:tc>
      </w:tr>
      <w:tr w:rsidR="001C74FE">
        <w:trPr>
          <w:trHeight w:val="411"/>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其他社会保障缴费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411,438.82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住房公积金</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1,053,781.05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劳务费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8,400.00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委托业务费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345,953.68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奖励金</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514,911.43 </w:t>
            </w:r>
          </w:p>
        </w:tc>
      </w:tr>
      <w:tr w:rsidR="001C74FE">
        <w:trPr>
          <w:trHeight w:val="312"/>
          <w:jc w:val="center"/>
        </w:trPr>
        <w:tc>
          <w:tcPr>
            <w:tcW w:w="23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公用经费支出</w:t>
            </w: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水费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3,326.96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差旅费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4,650.00 </w:t>
            </w:r>
          </w:p>
        </w:tc>
      </w:tr>
      <w:tr w:rsidR="001C74FE">
        <w:trPr>
          <w:trHeight w:val="312"/>
          <w:jc w:val="center"/>
        </w:trPr>
        <w:tc>
          <w:tcPr>
            <w:tcW w:w="238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center"/>
              <w:rPr>
                <w:rFonts w:ascii="仿宋_GB2312" w:eastAsia="仿宋_GB2312" w:hAnsi="仿宋_GB2312" w:cs="仿宋_GB2312"/>
                <w:color w:val="000000"/>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培训费</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164,062.00 </w:t>
            </w:r>
          </w:p>
        </w:tc>
      </w:tr>
      <w:tr w:rsidR="001C74FE">
        <w:trPr>
          <w:trHeight w:val="312"/>
          <w:jc w:val="center"/>
        </w:trPr>
        <w:tc>
          <w:tcPr>
            <w:tcW w:w="2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项目管理经费</w:t>
            </w:r>
          </w:p>
        </w:tc>
        <w:tc>
          <w:tcPr>
            <w:tcW w:w="3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其他商品和服务支出</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 xml:space="preserve">173,137.50 </w:t>
            </w:r>
          </w:p>
        </w:tc>
      </w:tr>
      <w:tr w:rsidR="001C74FE">
        <w:trPr>
          <w:trHeight w:val="312"/>
          <w:jc w:val="center"/>
        </w:trPr>
        <w:tc>
          <w:tcPr>
            <w:tcW w:w="63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总计</w:t>
            </w:r>
          </w:p>
        </w:tc>
        <w:tc>
          <w:tcPr>
            <w:tcW w:w="25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 xml:space="preserve">22,384,880.00 </w:t>
            </w:r>
          </w:p>
        </w:tc>
      </w:tr>
    </w:tbl>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项目实施日期：2021年1月-12月</w:t>
      </w:r>
    </w:p>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（二）绩效评价原则、评价指标体系（附表说明）、评价方法、评价标准等。</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1.绩效评价原则</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绩效评价遵循的基本原则包括科学规范原则、统筹兼顾原则、激励约束原则、公开透明原则。</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科学规范原则要求绩效评价应当运用科学合理的方法，按照规范的程序，对项目绩效进行客观、公正的反映。统筹兼顾原则要求单位自评、部门评价和财政评价应职责明确，各有侧重，相互衔接。单位自评应由项目单位自主实施，即“谁支出、谁自评”。部门评</w:t>
      </w:r>
      <w:r>
        <w:rPr>
          <w:rFonts w:ascii="仿宋_GB2312" w:eastAsia="仿宋_GB2312" w:hAnsi="Times New Roman" w:cs="仿宋_GB2312" w:hint="eastAsia"/>
          <w:sz w:val="30"/>
          <w:lang w:bidi="ar"/>
        </w:rPr>
        <w:lastRenderedPageBreak/>
        <w:t>价应在单位自评的基础上开展，必要时可委托第三方机构实施。激励约束原则要求绩效评价结果应与预算安排、政策调整、改进管理实质性挂钩，体现奖优罚劣和激励相容导向，有效要安排、低效要压减、无效要问责。公开透明原则要求绩效评价结果应依法依规公开，并自觉接受社会监督。</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2.评价指标体系、评价方法、评价标准等</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1</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指标体系设定情况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根据财政部《项目支出绩效评价管理办法》（财预</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2020</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10号），结合</w:t>
      </w:r>
      <w:r>
        <w:rPr>
          <w:rFonts w:ascii="仿宋_GB2312" w:eastAsia="仿宋_GB2312" w:hAnsi="Times New Roman" w:cs="仿宋_GB2312" w:hint="eastAsia"/>
          <w:sz w:val="30"/>
          <w:lang w:bidi="ar"/>
        </w:rPr>
        <w:t>基本公共卫生服务经费</w:t>
      </w:r>
      <w:r>
        <w:rPr>
          <w:rFonts w:ascii="仿宋_GB2312" w:eastAsia="仿宋_GB2312" w:hAnsi="Times New Roman" w:cs="仿宋_GB2312"/>
          <w:sz w:val="30"/>
          <w:lang w:bidi="ar"/>
        </w:rPr>
        <w:t>项目安排和实施情况，设计形成了《</w:t>
      </w:r>
      <w:r>
        <w:rPr>
          <w:rFonts w:ascii="仿宋_GB2312" w:eastAsia="仿宋_GB2312" w:hAnsi="Times New Roman" w:cs="仿宋_GB2312" w:hint="eastAsia"/>
          <w:sz w:val="30"/>
          <w:lang w:bidi="ar"/>
        </w:rPr>
        <w:t>基本公共卫生服务经费项目</w:t>
      </w:r>
      <w:r>
        <w:rPr>
          <w:rFonts w:ascii="仿宋_GB2312" w:eastAsia="仿宋_GB2312" w:hAnsi="Times New Roman" w:cs="仿宋_GB2312"/>
          <w:sz w:val="30"/>
          <w:lang w:bidi="ar"/>
        </w:rPr>
        <w:t>绩效评价指标</w:t>
      </w:r>
      <w:r>
        <w:rPr>
          <w:rFonts w:ascii="仿宋_GB2312" w:eastAsia="仿宋_GB2312" w:hAnsi="Times New Roman" w:cs="仿宋_GB2312" w:hint="eastAsia"/>
          <w:sz w:val="30"/>
          <w:lang w:bidi="ar"/>
        </w:rPr>
        <w:t>体系</w:t>
      </w:r>
      <w:r>
        <w:rPr>
          <w:rFonts w:ascii="仿宋_GB2312" w:eastAsia="仿宋_GB2312" w:hAnsi="Times New Roman" w:cs="仿宋_GB2312"/>
          <w:sz w:val="30"/>
          <w:lang w:bidi="ar"/>
        </w:rPr>
        <w:t>》，</w:t>
      </w:r>
      <w:r>
        <w:rPr>
          <w:rFonts w:ascii="仿宋_GB2312" w:eastAsia="仿宋_GB2312" w:hAnsi="Times New Roman" w:cs="仿宋_GB2312" w:hint="eastAsia"/>
          <w:sz w:val="30"/>
          <w:lang w:bidi="ar"/>
        </w:rPr>
        <w:t>一级</w:t>
      </w:r>
      <w:r>
        <w:rPr>
          <w:rFonts w:ascii="仿宋_GB2312" w:eastAsia="仿宋_GB2312" w:hAnsi="Times New Roman" w:cs="仿宋_GB2312"/>
          <w:sz w:val="30"/>
          <w:lang w:bidi="ar"/>
        </w:rPr>
        <w:t>指标由四部分组成，分别是：</w:t>
      </w:r>
      <w:r>
        <w:rPr>
          <w:rFonts w:ascii="仿宋_GB2312" w:eastAsia="仿宋_GB2312" w:hAnsi="Times New Roman" w:cs="仿宋_GB2312" w:hint="eastAsia"/>
          <w:sz w:val="30"/>
          <w:lang w:bidi="ar"/>
        </w:rPr>
        <w:t>决策</w:t>
      </w:r>
      <w:r>
        <w:rPr>
          <w:rFonts w:ascii="仿宋_GB2312" w:eastAsia="仿宋_GB2312" w:hAnsi="Times New Roman" w:cs="仿宋_GB2312"/>
          <w:sz w:val="30"/>
          <w:lang w:bidi="ar"/>
        </w:rPr>
        <w:t>、</w:t>
      </w:r>
      <w:r>
        <w:rPr>
          <w:rFonts w:ascii="仿宋_GB2312" w:eastAsia="仿宋_GB2312" w:hAnsi="Times New Roman" w:cs="仿宋_GB2312" w:hint="eastAsia"/>
          <w:sz w:val="30"/>
          <w:lang w:bidi="ar"/>
        </w:rPr>
        <w:t>过程</w:t>
      </w:r>
      <w:r>
        <w:rPr>
          <w:rFonts w:ascii="仿宋_GB2312" w:eastAsia="仿宋_GB2312" w:hAnsi="Times New Roman" w:cs="仿宋_GB2312"/>
          <w:sz w:val="30"/>
          <w:lang w:bidi="ar"/>
        </w:rPr>
        <w:t>、产出、</w:t>
      </w:r>
      <w:r>
        <w:rPr>
          <w:rFonts w:ascii="仿宋_GB2312" w:eastAsia="仿宋_GB2312" w:hAnsi="Times New Roman" w:cs="仿宋_GB2312" w:hint="eastAsia"/>
          <w:sz w:val="30"/>
          <w:lang w:bidi="ar"/>
        </w:rPr>
        <w:t>效益</w:t>
      </w:r>
      <w:r>
        <w:rPr>
          <w:rFonts w:ascii="仿宋_GB2312" w:eastAsia="仿宋_GB2312" w:hAnsi="Times New Roman" w:cs="仿宋_GB2312"/>
          <w:sz w:val="30"/>
          <w:lang w:bidi="ar"/>
        </w:rPr>
        <w:t>，总分值100分，细化为1</w:t>
      </w:r>
      <w:r>
        <w:rPr>
          <w:rFonts w:ascii="仿宋_GB2312" w:eastAsia="仿宋_GB2312" w:hAnsi="Times New Roman" w:cs="仿宋_GB2312" w:hint="eastAsia"/>
          <w:sz w:val="30"/>
          <w:lang w:bidi="ar"/>
        </w:rPr>
        <w:t>1</w:t>
      </w:r>
      <w:r>
        <w:rPr>
          <w:rFonts w:ascii="仿宋_GB2312" w:eastAsia="仿宋_GB2312" w:hAnsi="Times New Roman" w:cs="仿宋_GB2312"/>
          <w:sz w:val="30"/>
          <w:lang w:bidi="ar"/>
        </w:rPr>
        <w:t>个二级指标，1</w:t>
      </w:r>
      <w:r>
        <w:rPr>
          <w:rFonts w:ascii="仿宋_GB2312" w:eastAsia="仿宋_GB2312" w:hAnsi="Times New Roman" w:cs="仿宋_GB2312" w:hint="eastAsia"/>
          <w:sz w:val="30"/>
          <w:lang w:bidi="ar"/>
        </w:rPr>
        <w:t>7</w:t>
      </w:r>
      <w:r>
        <w:rPr>
          <w:rFonts w:ascii="仿宋_GB2312" w:eastAsia="仿宋_GB2312" w:hAnsi="Times New Roman" w:cs="仿宋_GB2312"/>
          <w:sz w:val="30"/>
          <w:lang w:bidi="ar"/>
        </w:rPr>
        <w:t>个三级指标，具体情况如</w:t>
      </w:r>
      <w:r>
        <w:rPr>
          <w:rFonts w:ascii="仿宋_GB2312" w:eastAsia="仿宋_GB2312" w:hAnsi="Times New Roman" w:cs="仿宋_GB2312" w:hint="eastAsia"/>
          <w:sz w:val="30"/>
          <w:lang w:bidi="ar"/>
        </w:rPr>
        <w:t>表3</w:t>
      </w:r>
      <w:r>
        <w:rPr>
          <w:rFonts w:ascii="仿宋_GB2312" w:eastAsia="仿宋_GB2312" w:hAnsi="Times New Roman" w:cs="仿宋_GB2312"/>
          <w:sz w:val="30"/>
          <w:lang w:bidi="ar"/>
        </w:rPr>
        <w:t>：</w:t>
      </w:r>
    </w:p>
    <w:p w:rsidR="001C74FE" w:rsidRDefault="00C368AD">
      <w:pPr>
        <w:spacing w:line="600" w:lineRule="exact"/>
        <w:ind w:firstLineChars="200" w:firstLine="602"/>
        <w:jc w:val="center"/>
        <w:rPr>
          <w:rFonts w:ascii="仿宋_GB2312" w:eastAsia="仿宋_GB2312" w:hAnsi="Times New Roman" w:cs="Times New Roman"/>
          <w:b/>
          <w:bCs/>
          <w:sz w:val="30"/>
        </w:rPr>
      </w:pPr>
      <w:r>
        <w:rPr>
          <w:rFonts w:ascii="仿宋_GB2312" w:eastAsia="仿宋_GB2312" w:hAnsi="Times New Roman" w:cs="Times New Roman"/>
          <w:b/>
          <w:bCs/>
          <w:sz w:val="30"/>
        </w:rPr>
        <w:t>表</w:t>
      </w:r>
      <w:r>
        <w:rPr>
          <w:rFonts w:ascii="仿宋_GB2312" w:eastAsia="仿宋_GB2312" w:hAnsi="Times New Roman" w:cs="Times New Roman" w:hint="eastAsia"/>
          <w:b/>
          <w:bCs/>
          <w:sz w:val="30"/>
        </w:rPr>
        <w:t>3：基本公共卫生服务经费</w:t>
      </w:r>
      <w:r>
        <w:rPr>
          <w:rFonts w:ascii="仿宋_GB2312" w:eastAsia="仿宋_GB2312" w:hAnsi="Times New Roman" w:cs="Times New Roman"/>
          <w:b/>
          <w:bCs/>
          <w:sz w:val="30"/>
        </w:rPr>
        <w:t>项目绩效评价指标体系</w:t>
      </w:r>
    </w:p>
    <w:tbl>
      <w:tblPr>
        <w:tblW w:w="9240" w:type="dxa"/>
        <w:jc w:val="center"/>
        <w:tblLook w:val="04A0" w:firstRow="1" w:lastRow="0" w:firstColumn="1" w:lastColumn="0" w:noHBand="0" w:noVBand="1"/>
      </w:tblPr>
      <w:tblGrid>
        <w:gridCol w:w="1320"/>
        <w:gridCol w:w="3266"/>
        <w:gridCol w:w="3147"/>
        <w:gridCol w:w="1507"/>
      </w:tblGrid>
      <w:tr w:rsidR="001C74FE">
        <w:trPr>
          <w:trHeight w:val="329"/>
          <w:tblHeader/>
          <w:jc w:val="center"/>
        </w:trPr>
        <w:tc>
          <w:tcPr>
            <w:tcW w:w="1320"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themeColor="background1"/>
                <w:sz w:val="24"/>
              </w:rPr>
            </w:pPr>
            <w:r>
              <w:rPr>
                <w:rFonts w:ascii="仿宋_GB2312" w:eastAsia="仿宋_GB2312" w:hAnsi="仿宋_GB2312" w:cs="仿宋_GB2312" w:hint="eastAsia"/>
                <w:b/>
                <w:bCs/>
                <w:color w:val="FFFFFF" w:themeColor="background1"/>
                <w:kern w:val="0"/>
                <w:sz w:val="24"/>
                <w:lang w:bidi="ar"/>
              </w:rPr>
              <w:t>一级指标</w:t>
            </w:r>
          </w:p>
        </w:tc>
        <w:tc>
          <w:tcPr>
            <w:tcW w:w="3266"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themeColor="background1"/>
                <w:sz w:val="24"/>
              </w:rPr>
            </w:pPr>
            <w:r>
              <w:rPr>
                <w:rFonts w:ascii="仿宋_GB2312" w:eastAsia="仿宋_GB2312" w:hAnsi="仿宋_GB2312" w:cs="仿宋_GB2312" w:hint="eastAsia"/>
                <w:b/>
                <w:bCs/>
                <w:color w:val="FFFFFF" w:themeColor="background1"/>
                <w:kern w:val="0"/>
                <w:sz w:val="24"/>
                <w:lang w:bidi="ar"/>
              </w:rPr>
              <w:t>二级指标</w:t>
            </w:r>
          </w:p>
        </w:tc>
        <w:tc>
          <w:tcPr>
            <w:tcW w:w="3147"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themeColor="background1"/>
                <w:sz w:val="24"/>
              </w:rPr>
            </w:pPr>
            <w:r>
              <w:rPr>
                <w:rFonts w:ascii="仿宋_GB2312" w:eastAsia="仿宋_GB2312" w:hAnsi="仿宋_GB2312" w:cs="仿宋_GB2312" w:hint="eastAsia"/>
                <w:b/>
                <w:bCs/>
                <w:color w:val="FFFFFF" w:themeColor="background1"/>
                <w:kern w:val="0"/>
                <w:sz w:val="24"/>
                <w:lang w:bidi="ar"/>
              </w:rPr>
              <w:t>三级指标</w:t>
            </w:r>
          </w:p>
        </w:tc>
        <w:tc>
          <w:tcPr>
            <w:tcW w:w="1507"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themeColor="background1"/>
                <w:sz w:val="24"/>
              </w:rPr>
            </w:pPr>
            <w:r>
              <w:rPr>
                <w:rFonts w:ascii="仿宋_GB2312" w:eastAsia="仿宋_GB2312" w:hAnsi="仿宋_GB2312" w:cs="仿宋_GB2312" w:hint="eastAsia"/>
                <w:b/>
                <w:bCs/>
                <w:color w:val="FFFFFF" w:themeColor="background1"/>
                <w:kern w:val="0"/>
                <w:sz w:val="24"/>
                <w:lang w:bidi="ar"/>
              </w:rPr>
              <w:t>分值</w:t>
            </w:r>
          </w:p>
        </w:tc>
      </w:tr>
      <w:tr w:rsidR="001C74FE">
        <w:trPr>
          <w:trHeight w:val="288"/>
          <w:jc w:val="center"/>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决策　</w:t>
            </w:r>
          </w:p>
        </w:tc>
        <w:tc>
          <w:tcPr>
            <w:tcW w:w="326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项目立项　</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立项依据充分性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5</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立项程序规范性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val="restart"/>
            <w:tcBorders>
              <w:top w:val="nil"/>
              <w:left w:val="nil"/>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绩效目标　</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绩效目标合理性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left w:val="nil"/>
              <w:bottom w:val="single" w:sz="8" w:space="0" w:color="000000"/>
              <w:right w:val="single" w:sz="8" w:space="0" w:color="000000"/>
            </w:tcBorders>
            <w:shd w:val="clear" w:color="auto" w:fill="FFFFFF"/>
            <w:vAlign w:val="center"/>
          </w:tcPr>
          <w:p w:rsidR="001C74FE" w:rsidRDefault="001C74FE">
            <w:pPr>
              <w:widowControl/>
              <w:jc w:val="center"/>
              <w:textAlignment w:val="center"/>
              <w:rPr>
                <w:rFonts w:ascii="仿宋_GB2312" w:eastAsia="仿宋_GB2312" w:hAnsi="仿宋_GB2312" w:cs="仿宋_GB2312"/>
                <w:sz w:val="24"/>
              </w:rPr>
            </w:pP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绩效指标明确性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r>
      <w:tr w:rsidR="001C74FE">
        <w:trPr>
          <w:trHeight w:val="303"/>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val="restart"/>
            <w:tcBorders>
              <w:top w:val="nil"/>
              <w:left w:val="nil"/>
              <w:bottom w:val="nil"/>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资金投入</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预算编制科学性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top w:val="nil"/>
              <w:left w:val="nil"/>
              <w:bottom w:val="nil"/>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资金分配合理性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3</w:t>
            </w:r>
          </w:p>
        </w:tc>
      </w:tr>
      <w:tr w:rsidR="001C74FE">
        <w:trPr>
          <w:trHeight w:val="303"/>
          <w:jc w:val="center"/>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过程</w:t>
            </w:r>
          </w:p>
        </w:tc>
        <w:tc>
          <w:tcPr>
            <w:tcW w:w="326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资金管理</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资金到位率</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预算执行率</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r>
      <w:tr w:rsidR="001C74FE">
        <w:trPr>
          <w:trHeight w:val="303"/>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资金使用合规性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r>
      <w:tr w:rsidR="001C74FE">
        <w:trPr>
          <w:trHeight w:val="303"/>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组织实施</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管理制度健全性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2</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制度执行有效性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4</w:t>
            </w:r>
          </w:p>
        </w:tc>
      </w:tr>
      <w:tr w:rsidR="001C74FE">
        <w:trPr>
          <w:trHeight w:val="303"/>
          <w:jc w:val="center"/>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lastRenderedPageBreak/>
              <w:t>产出</w:t>
            </w:r>
          </w:p>
        </w:tc>
        <w:tc>
          <w:tcPr>
            <w:tcW w:w="3266"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产出数量</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实际完成率</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产出质量</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质量达标率</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产出时效</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完成及时性</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r>
      <w:tr w:rsidR="001C74FE">
        <w:trPr>
          <w:trHeight w:val="288"/>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产出成本</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成本节约率</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r>
      <w:tr w:rsidR="001C74FE">
        <w:trPr>
          <w:trHeight w:val="288"/>
          <w:jc w:val="center"/>
        </w:trPr>
        <w:tc>
          <w:tcPr>
            <w:tcW w:w="1320" w:type="dxa"/>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效益　</w:t>
            </w:r>
          </w:p>
        </w:tc>
        <w:tc>
          <w:tcPr>
            <w:tcW w:w="326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 xml:space="preserve">项目效益　</w:t>
            </w:r>
          </w:p>
        </w:tc>
        <w:tc>
          <w:tcPr>
            <w:tcW w:w="31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实施效益</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r>
      <w:tr w:rsidR="001C74FE">
        <w:trPr>
          <w:trHeight w:val="288"/>
          <w:jc w:val="center"/>
        </w:trPr>
        <w:tc>
          <w:tcPr>
            <w:tcW w:w="1320"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266"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sz w:val="24"/>
              </w:rPr>
            </w:pPr>
          </w:p>
        </w:tc>
        <w:tc>
          <w:tcPr>
            <w:tcW w:w="3147" w:type="dxa"/>
            <w:tcBorders>
              <w:top w:val="nil"/>
              <w:left w:val="nil"/>
              <w:bottom w:val="nil"/>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满意度</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w:t>
            </w:r>
          </w:p>
        </w:tc>
      </w:tr>
      <w:tr w:rsidR="001C74FE">
        <w:trPr>
          <w:trHeight w:val="303"/>
          <w:jc w:val="center"/>
        </w:trPr>
        <w:tc>
          <w:tcPr>
            <w:tcW w:w="7733"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1C74FE" w:rsidRDefault="00C368AD">
            <w:pPr>
              <w:widowControl/>
              <w:jc w:val="center"/>
              <w:textAlignment w:val="center"/>
              <w:rPr>
                <w:rFonts w:ascii="仿宋_GB2312" w:eastAsia="仿宋_GB2312" w:hAnsi="仿宋_GB2312" w:cs="仿宋_GB2312"/>
                <w:b/>
                <w:bCs/>
                <w:sz w:val="24"/>
              </w:rPr>
            </w:pPr>
            <w:r>
              <w:rPr>
                <w:rFonts w:ascii="仿宋_GB2312" w:eastAsia="仿宋_GB2312" w:hAnsi="仿宋_GB2312" w:cs="仿宋_GB2312" w:hint="eastAsia"/>
                <w:b/>
                <w:bCs/>
                <w:kern w:val="0"/>
                <w:sz w:val="24"/>
                <w:lang w:bidi="ar"/>
              </w:rPr>
              <w:t>合计</w:t>
            </w:r>
          </w:p>
        </w:tc>
        <w:tc>
          <w:tcPr>
            <w:tcW w:w="150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lang w:bidi="ar"/>
              </w:rPr>
              <w:t>100</w:t>
            </w:r>
          </w:p>
        </w:tc>
      </w:tr>
    </w:tbl>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2</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绩效评价方法和评价标准</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根据财政部《项目支出绩效评价管理办法》（财预</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2020</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10号）等的要求，结合</w:t>
      </w:r>
      <w:r>
        <w:rPr>
          <w:rFonts w:ascii="仿宋_GB2312" w:eastAsia="仿宋_GB2312" w:hAnsi="Times New Roman" w:cs="仿宋_GB2312" w:hint="eastAsia"/>
          <w:sz w:val="30"/>
          <w:lang w:bidi="ar"/>
        </w:rPr>
        <w:t>基本公共卫生服务经费</w:t>
      </w:r>
      <w:r>
        <w:rPr>
          <w:rFonts w:ascii="仿宋_GB2312" w:eastAsia="仿宋_GB2312" w:hAnsi="Times New Roman" w:cs="仿宋_GB2312"/>
          <w:sz w:val="30"/>
          <w:lang w:bidi="ar"/>
        </w:rPr>
        <w:t>项目实施情况，我们采取计划标准作为评价的标准。</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根据评价对象具体情况，绩效评价方法主要采用</w:t>
      </w:r>
      <w:r>
        <w:rPr>
          <w:rFonts w:ascii="仿宋_GB2312" w:eastAsia="仿宋_GB2312" w:hAnsi="Times New Roman" w:cs="仿宋_GB2312" w:hint="eastAsia"/>
          <w:sz w:val="30"/>
          <w:lang w:bidi="ar"/>
        </w:rPr>
        <w:t>成本效益分析法</w:t>
      </w:r>
      <w:r>
        <w:rPr>
          <w:rFonts w:ascii="仿宋_GB2312" w:eastAsia="仿宋_GB2312" w:hAnsi="Times New Roman" w:cs="仿宋_GB2312"/>
          <w:sz w:val="30"/>
          <w:lang w:bidi="ar"/>
        </w:rPr>
        <w:t>、比较法、</w:t>
      </w:r>
      <w:r>
        <w:rPr>
          <w:rFonts w:ascii="仿宋_GB2312" w:eastAsia="仿宋_GB2312" w:hAnsi="Times New Roman" w:cs="仿宋_GB2312" w:hint="eastAsia"/>
          <w:sz w:val="30"/>
          <w:lang w:bidi="ar"/>
        </w:rPr>
        <w:t>因素分析法、</w:t>
      </w:r>
      <w:r>
        <w:rPr>
          <w:rFonts w:ascii="仿宋_GB2312" w:eastAsia="仿宋_GB2312" w:hAnsi="Times New Roman" w:cs="仿宋_GB2312"/>
          <w:sz w:val="30"/>
          <w:lang w:bidi="ar"/>
        </w:rPr>
        <w:t>公众评判法，通过分析影响绩效目标实现的内外部因素，比较绩效目标设置与实施情况，向</w:t>
      </w:r>
      <w:r>
        <w:rPr>
          <w:rFonts w:ascii="仿宋_GB2312" w:eastAsia="仿宋_GB2312" w:hAnsi="Times New Roman" w:cs="仿宋_GB2312" w:hint="eastAsia"/>
          <w:sz w:val="30"/>
          <w:lang w:bidi="ar"/>
        </w:rPr>
        <w:t>公众</w:t>
      </w:r>
      <w:r>
        <w:rPr>
          <w:rFonts w:ascii="仿宋_GB2312" w:eastAsia="仿宋_GB2312" w:hAnsi="Times New Roman" w:cs="仿宋_GB2312"/>
          <w:sz w:val="30"/>
          <w:lang w:bidi="ar"/>
        </w:rPr>
        <w:t>发放调查问卷等综合分析绩效目标实现程度。</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3</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评价等级设置情况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为更好地反映项目单位的绩效目标实现情况，绩效评价结果采取评分和评级相结合的方式，</w:t>
      </w:r>
      <w:r>
        <w:rPr>
          <w:rFonts w:ascii="仿宋_GB2312" w:eastAsia="仿宋_GB2312" w:hAnsi="Times New Roman" w:cs="仿宋_GB2312" w:hint="eastAsia"/>
          <w:sz w:val="30"/>
          <w:lang w:bidi="ar"/>
        </w:rPr>
        <w:t>具体分值和等级可根据不同评价内容设定。总分一般设置为100分，等级一般划分为四档：</w:t>
      </w:r>
    </w:p>
    <w:tbl>
      <w:tblPr>
        <w:tblW w:w="8040" w:type="dxa"/>
        <w:jc w:val="center"/>
        <w:tblLook w:val="04A0" w:firstRow="1" w:lastRow="0" w:firstColumn="1" w:lastColumn="0" w:noHBand="0" w:noVBand="1"/>
      </w:tblPr>
      <w:tblGrid>
        <w:gridCol w:w="972"/>
        <w:gridCol w:w="2052"/>
        <w:gridCol w:w="1944"/>
        <w:gridCol w:w="1836"/>
        <w:gridCol w:w="1236"/>
      </w:tblGrid>
      <w:tr w:rsidR="001C74FE">
        <w:trPr>
          <w:trHeight w:val="327"/>
          <w:jc w:val="center"/>
        </w:trPr>
        <w:tc>
          <w:tcPr>
            <w:tcW w:w="972" w:type="dxa"/>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themeColor="background1"/>
                <w:sz w:val="24"/>
              </w:rPr>
            </w:pPr>
            <w:r>
              <w:rPr>
                <w:rFonts w:ascii="仿宋_GB2312" w:eastAsia="仿宋_GB2312" w:hAnsi="宋体" w:cs="仿宋_GB2312" w:hint="eastAsia"/>
                <w:b/>
                <w:bCs/>
                <w:color w:val="FFFFFF" w:themeColor="background1"/>
                <w:kern w:val="0"/>
                <w:sz w:val="24"/>
                <w:lang w:bidi="ar"/>
              </w:rPr>
              <w:t>项目</w:t>
            </w:r>
          </w:p>
        </w:tc>
        <w:tc>
          <w:tcPr>
            <w:tcW w:w="2052" w:type="dxa"/>
            <w:tcBorders>
              <w:top w:val="single" w:sz="8" w:space="0" w:color="000000"/>
              <w:left w:val="nil"/>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themeColor="background1"/>
                <w:sz w:val="24"/>
              </w:rPr>
            </w:pPr>
            <w:r>
              <w:rPr>
                <w:rFonts w:ascii="仿宋_GB2312" w:eastAsia="仿宋_GB2312" w:hAnsi="宋体" w:cs="仿宋_GB2312" w:hint="eastAsia"/>
                <w:b/>
                <w:bCs/>
                <w:color w:val="FFFFFF" w:themeColor="background1"/>
                <w:kern w:val="0"/>
                <w:sz w:val="24"/>
                <w:lang w:bidi="ar"/>
              </w:rPr>
              <w:t>优</w:t>
            </w:r>
          </w:p>
        </w:tc>
        <w:tc>
          <w:tcPr>
            <w:tcW w:w="1944" w:type="dxa"/>
            <w:tcBorders>
              <w:top w:val="single" w:sz="8" w:space="0" w:color="000000"/>
              <w:left w:val="nil"/>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themeColor="background1"/>
                <w:sz w:val="24"/>
              </w:rPr>
            </w:pPr>
            <w:r>
              <w:rPr>
                <w:rFonts w:ascii="仿宋_GB2312" w:eastAsia="仿宋_GB2312" w:hAnsi="宋体" w:cs="仿宋_GB2312" w:hint="eastAsia"/>
                <w:b/>
                <w:bCs/>
                <w:color w:val="FFFFFF" w:themeColor="background1"/>
                <w:kern w:val="0"/>
                <w:sz w:val="24"/>
                <w:lang w:bidi="ar"/>
              </w:rPr>
              <w:t>良</w:t>
            </w:r>
          </w:p>
        </w:tc>
        <w:tc>
          <w:tcPr>
            <w:tcW w:w="1836" w:type="dxa"/>
            <w:tcBorders>
              <w:top w:val="single" w:sz="8" w:space="0" w:color="000000"/>
              <w:left w:val="nil"/>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themeColor="background1"/>
                <w:sz w:val="24"/>
              </w:rPr>
            </w:pPr>
            <w:r>
              <w:rPr>
                <w:rFonts w:ascii="仿宋_GB2312" w:eastAsia="仿宋_GB2312" w:hAnsi="宋体" w:cs="仿宋_GB2312" w:hint="eastAsia"/>
                <w:b/>
                <w:bCs/>
                <w:color w:val="FFFFFF" w:themeColor="background1"/>
                <w:kern w:val="0"/>
                <w:sz w:val="24"/>
                <w:lang w:bidi="ar"/>
              </w:rPr>
              <w:t>中</w:t>
            </w:r>
          </w:p>
        </w:tc>
        <w:tc>
          <w:tcPr>
            <w:tcW w:w="1236" w:type="dxa"/>
            <w:tcBorders>
              <w:top w:val="single" w:sz="8" w:space="0" w:color="000000"/>
              <w:left w:val="nil"/>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宋体" w:cs="仿宋_GB2312"/>
                <w:b/>
                <w:bCs/>
                <w:color w:val="FFFFFF" w:themeColor="background1"/>
                <w:sz w:val="24"/>
              </w:rPr>
            </w:pPr>
            <w:r>
              <w:rPr>
                <w:rFonts w:ascii="仿宋_GB2312" w:eastAsia="仿宋_GB2312" w:hAnsi="宋体" w:cs="仿宋_GB2312" w:hint="eastAsia"/>
                <w:b/>
                <w:bCs/>
                <w:color w:val="FFFFFF" w:themeColor="background1"/>
                <w:kern w:val="0"/>
                <w:sz w:val="24"/>
                <w:lang w:bidi="ar"/>
              </w:rPr>
              <w:t>差</w:t>
            </w:r>
          </w:p>
        </w:tc>
      </w:tr>
      <w:tr w:rsidR="001C74FE">
        <w:trPr>
          <w:trHeight w:val="639"/>
          <w:jc w:val="center"/>
        </w:trPr>
        <w:tc>
          <w:tcPr>
            <w:tcW w:w="972" w:type="dxa"/>
            <w:tcBorders>
              <w:top w:val="nil"/>
              <w:left w:val="single" w:sz="8" w:space="0" w:color="000000"/>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bidi="ar"/>
              </w:rPr>
              <w:t>分值</w:t>
            </w:r>
          </w:p>
        </w:tc>
        <w:tc>
          <w:tcPr>
            <w:tcW w:w="2052" w:type="dxa"/>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bidi="ar"/>
              </w:rPr>
              <w:t>90（含）-100分</w:t>
            </w:r>
          </w:p>
        </w:tc>
        <w:tc>
          <w:tcPr>
            <w:tcW w:w="1944" w:type="dxa"/>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bidi="ar"/>
              </w:rPr>
              <w:t>80（含）-90分</w:t>
            </w:r>
          </w:p>
        </w:tc>
        <w:tc>
          <w:tcPr>
            <w:tcW w:w="1836" w:type="dxa"/>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bidi="ar"/>
              </w:rPr>
              <w:t>60（含）-80分</w:t>
            </w:r>
          </w:p>
        </w:tc>
        <w:tc>
          <w:tcPr>
            <w:tcW w:w="1236" w:type="dxa"/>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lang w:bidi="ar"/>
              </w:rPr>
              <w:t>60分以下</w:t>
            </w:r>
          </w:p>
        </w:tc>
      </w:tr>
    </w:tbl>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（三）绩效评价工作过程。</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项目绩效评价是指对项目决策、准备、实施、竣工和运营过程</w:t>
      </w:r>
      <w:r>
        <w:rPr>
          <w:rFonts w:ascii="仿宋_GB2312" w:eastAsia="仿宋_GB2312" w:hAnsi="Times New Roman" w:cs="仿宋_GB2312" w:hint="eastAsia"/>
          <w:sz w:val="30"/>
          <w:lang w:bidi="ar"/>
        </w:rPr>
        <w:lastRenderedPageBreak/>
        <w:t>中某一阶段或全过程进行评价的活动。项目绩效评价应符合国家法律、法规及有关部门制定的强制性标准；遵循独立、客观、科学、公正的原则；建立畅通、快捷的信息管理和反馈机制。</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本次项目绩效评价过程主要包括资金管理和组织实施两部分。资金管理主要从资金到位率、预算执行率、资金使用合规性三方面开展；组织实施主要从管理制度健全性和制度执行有效性两方面开展。</w:t>
      </w:r>
    </w:p>
    <w:p w:rsidR="001C74FE" w:rsidRDefault="00C368AD">
      <w:pPr>
        <w:spacing w:line="600" w:lineRule="exact"/>
        <w:ind w:firstLineChars="200" w:firstLine="600"/>
        <w:outlineLvl w:val="0"/>
        <w:rPr>
          <w:rFonts w:ascii="仿宋_GB2312" w:eastAsia="仿宋_GB2312" w:hAnsi="Times New Roman" w:cs="仿宋_GB2312"/>
          <w:sz w:val="30"/>
          <w:lang w:bidi="ar"/>
        </w:rPr>
      </w:pPr>
      <w:r>
        <w:rPr>
          <w:rFonts w:ascii="黑体" w:eastAsia="黑体" w:hAnsi="宋体" w:cs="黑体" w:hint="eastAsia"/>
          <w:sz w:val="30"/>
          <w:lang w:bidi="ar"/>
        </w:rPr>
        <w:t>三、综合评价情况及评价结论</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通过分析基本公共卫生服务经费项目绩效目标和指标完成情况，综合评价得分99.5分，评价等级为“优”，详见附件1。</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2021年，基本公共卫生服务经费项目资金使用符合本项目本年度的主要工作任务和履职目标，项目按照要求实施，与政策要求相关性高；项目管理完善，项目资金拨付及时、预算管理准确；项目产出有效完成，根据深圳市健康管理委员会2021年度共计四次医疗行业服务公众满意度调查监测结果的通报结果，深圳市大鹏新区是我患者满意度较高，项目的绩效目标基本实现。</w:t>
      </w:r>
    </w:p>
    <w:p w:rsidR="001C74FE" w:rsidRDefault="00C368AD">
      <w:pPr>
        <w:spacing w:line="600" w:lineRule="exact"/>
        <w:ind w:firstLineChars="200" w:firstLine="600"/>
        <w:outlineLvl w:val="0"/>
        <w:rPr>
          <w:rFonts w:ascii="黑体" w:eastAsia="黑体" w:hAnsi="宋体" w:cs="黑体"/>
        </w:rPr>
      </w:pPr>
      <w:r>
        <w:rPr>
          <w:rFonts w:ascii="黑体" w:eastAsia="黑体" w:hAnsi="宋体" w:cs="黑体" w:hint="eastAsia"/>
          <w:sz w:val="30"/>
          <w:lang w:bidi="ar"/>
        </w:rPr>
        <w:t>四、绩效评价指标分析</w:t>
      </w:r>
    </w:p>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（一）项目决策情况。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项目依据财政相关规章制度、政府采购法规及政府会计制度，结合实际情况，制定了可执行、可量化、可考评的年度目标。遵循了“实事求是、尊重客观、力求精准”的原则，使项目整体绩效评价能充分反映成效，如实反映问题，并在此基础上形成了绩效评价</w:t>
      </w:r>
      <w:r>
        <w:rPr>
          <w:rFonts w:ascii="仿宋_GB2312" w:eastAsia="仿宋_GB2312" w:hAnsi="Times New Roman" w:cs="仿宋_GB2312" w:hint="eastAsia"/>
          <w:sz w:val="30"/>
          <w:lang w:bidi="ar"/>
        </w:rPr>
        <w:lastRenderedPageBreak/>
        <w:t>结论。例如产出目标下设的数量指标“2021年社康门诊人次”，指标目标值“≥20万人次”，该项指标明确、量化可衡量，充分反映项目执行达到预期目标。</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项目决策依据符合深圳市大鹏新区医疗健康集团年度工作计划，并根据需要制定了本项目的中长期实施规划。项目决策程序合规并履行相应手续，严格按照《关于进一步加强国库集中支付管理的通知》</w:t>
      </w:r>
      <w:r>
        <w:rPr>
          <w:rFonts w:ascii="仿宋_GB2312" w:eastAsia="仿宋_GB2312" w:hAnsi="Times New Roman" w:cs="仿宋_GB2312"/>
          <w:sz w:val="30"/>
          <w:lang w:bidi="ar"/>
        </w:rPr>
        <w:t>《深圳市大鹏新区医疗健康集团关于印发</w:t>
      </w:r>
      <w:r>
        <w:rPr>
          <w:rFonts w:ascii="仿宋_GB2312" w:eastAsia="仿宋_GB2312" w:hAnsi="Times New Roman" w:cs="仿宋_GB2312" w:hint="eastAsia"/>
          <w:sz w:val="30"/>
          <w:lang w:bidi="ar"/>
        </w:rPr>
        <w:t>&lt;</w:t>
      </w:r>
      <w:r>
        <w:rPr>
          <w:rFonts w:ascii="仿宋_GB2312" w:eastAsia="仿宋_GB2312" w:hAnsi="Times New Roman" w:cs="仿宋_GB2312"/>
          <w:sz w:val="30"/>
          <w:lang w:bidi="ar"/>
        </w:rPr>
        <w:t>深圳市大鹏新区医疗健康集团基本公共卫生服务项目资金管理办法</w:t>
      </w:r>
      <w:r>
        <w:rPr>
          <w:rFonts w:ascii="仿宋_GB2312" w:eastAsia="仿宋_GB2312" w:hAnsi="Times New Roman" w:cs="仿宋_GB2312" w:hint="eastAsia"/>
          <w:sz w:val="30"/>
          <w:lang w:bidi="ar"/>
        </w:rPr>
        <w:t>&gt;</w:t>
      </w:r>
      <w:r>
        <w:rPr>
          <w:rFonts w:ascii="仿宋_GB2312" w:eastAsia="仿宋_GB2312" w:hAnsi="Times New Roman" w:cs="仿宋_GB2312"/>
          <w:sz w:val="30"/>
          <w:lang w:bidi="ar"/>
        </w:rPr>
        <w:t>的通知》</w:t>
      </w:r>
      <w:r>
        <w:rPr>
          <w:rFonts w:ascii="仿宋_GB2312" w:eastAsia="仿宋_GB2312" w:hAnsi="Times New Roman" w:cs="仿宋_GB2312" w:hint="eastAsia"/>
          <w:sz w:val="30"/>
          <w:lang w:bidi="ar"/>
        </w:rPr>
        <w:t>(深鹏医集团〔2021〕55号)及单位内部控制制度，对资金支出情况进行申报审批管理，确保资金支出及其会计核算的规范性。资金分配因素全面合理，资金分配结果合理。</w:t>
      </w:r>
    </w:p>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（二）项目过程情况。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本项目2021年度资金预算调整数为2,238.49万元，实际到位2,238.49万元，资金到位率100%，资金到位及时。项目资金严格按照上级财政制度执行，严控资金的拨付使用，支出符合财政法规和财务管理制度规定，资金拨付有完整的审批程序和手续；支付符合部门预算批复的用途，资金使用无截留、挤占、挪用、虚列支出等情况。本项目合理制定了项目目标、年度计划及落实方案，确保年度资金拨付与任务相匹配，项目组织实施机构健全、分工明确，严格履行资金管理办法，资金的分配和使用均合理、合法和合规。</w:t>
      </w:r>
    </w:p>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（三）项目产出情况。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根据年初设置的绩效目标表，</w:t>
      </w:r>
      <w:r>
        <w:rPr>
          <w:rFonts w:ascii="仿宋_GB2312" w:eastAsia="仿宋_GB2312" w:hAnsi="Times New Roman" w:cs="仿宋_GB2312" w:hint="eastAsia"/>
          <w:sz w:val="30"/>
          <w:lang w:bidi="ar"/>
        </w:rPr>
        <w:t>本</w:t>
      </w:r>
      <w:r>
        <w:rPr>
          <w:rFonts w:ascii="仿宋_GB2312" w:eastAsia="仿宋_GB2312" w:hAnsi="Times New Roman" w:cs="仿宋_GB2312"/>
          <w:sz w:val="30"/>
          <w:lang w:bidi="ar"/>
        </w:rPr>
        <w:t>项目的各项产出指标均已实现</w:t>
      </w:r>
      <w:r>
        <w:rPr>
          <w:rFonts w:ascii="仿宋_GB2312" w:eastAsia="仿宋_GB2312" w:hAnsi="Times New Roman" w:cs="仿宋_GB2312"/>
          <w:sz w:val="30"/>
          <w:lang w:bidi="ar"/>
        </w:rPr>
        <w:lastRenderedPageBreak/>
        <w:t>预期目标值</w:t>
      </w:r>
      <w:r>
        <w:rPr>
          <w:rFonts w:ascii="仿宋_GB2312" w:eastAsia="仿宋_GB2312" w:hAnsi="Times New Roman" w:cs="仿宋_GB2312" w:hint="eastAsia"/>
          <w:sz w:val="30"/>
          <w:lang w:bidi="ar"/>
        </w:rPr>
        <w:t>，详见表4。产出指标主要完成情况如下：</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1.全面提升健康深圳及基本公卫重点考核指标完成率</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65岁以上老年人免费健康体检4424人，老年人健康管理率83.92%，同比增长33.23%；高血压患者管理任务完成率102.40%，同比增长20.40%；糖尿病患者管理任务完成率100%，同比增长22.02%。</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2.精卫中心持续开展精神障碍患者管理服务</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累计建立精神障碍患者个案95人，其中结案21人，剩余74人仍接受个案管理。精神障碍患者管理率、面访率、社区康复参与率，较2020年分别上升1.56%、3.88%和11.86%。</w:t>
      </w:r>
    </w:p>
    <w:p w:rsidR="001C74FE" w:rsidRDefault="00C368AD">
      <w:pPr>
        <w:spacing w:line="600" w:lineRule="exact"/>
        <w:ind w:firstLineChars="200" w:firstLine="602"/>
        <w:outlineLvl w:val="0"/>
        <w:rPr>
          <w:rFonts w:ascii="仿宋_GB2312" w:eastAsia="仿宋_GB2312" w:hAnsi="Times New Roman" w:cs="仿宋_GB2312"/>
          <w:b/>
          <w:bCs/>
          <w:sz w:val="30"/>
          <w:lang w:bidi="ar"/>
        </w:rPr>
      </w:pPr>
      <w:r>
        <w:rPr>
          <w:rFonts w:ascii="仿宋_GB2312" w:eastAsia="仿宋_GB2312" w:hAnsi="Times New Roman" w:cs="仿宋_GB2312" w:hint="eastAsia"/>
          <w:b/>
          <w:bCs/>
          <w:sz w:val="30"/>
          <w:lang w:bidi="ar"/>
        </w:rPr>
        <w:t>（四）项目效益情况。</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根据年初设置的绩效目标表，</w:t>
      </w:r>
      <w:r>
        <w:rPr>
          <w:rFonts w:ascii="仿宋_GB2312" w:eastAsia="仿宋_GB2312" w:hAnsi="Times New Roman" w:cs="仿宋_GB2312" w:hint="eastAsia"/>
          <w:sz w:val="30"/>
          <w:lang w:bidi="ar"/>
        </w:rPr>
        <w:t>本</w:t>
      </w:r>
      <w:r>
        <w:rPr>
          <w:rFonts w:ascii="仿宋_GB2312" w:eastAsia="仿宋_GB2312" w:hAnsi="Times New Roman" w:cs="仿宋_GB2312"/>
          <w:sz w:val="30"/>
          <w:lang w:bidi="ar"/>
        </w:rPr>
        <w:t>项目的各项</w:t>
      </w:r>
      <w:r>
        <w:rPr>
          <w:rFonts w:ascii="仿宋_GB2312" w:eastAsia="仿宋_GB2312" w:hAnsi="Times New Roman" w:cs="仿宋_GB2312" w:hint="eastAsia"/>
          <w:sz w:val="30"/>
          <w:lang w:bidi="ar"/>
        </w:rPr>
        <w:t>效益</w:t>
      </w:r>
      <w:r>
        <w:rPr>
          <w:rFonts w:ascii="仿宋_GB2312" w:eastAsia="仿宋_GB2312" w:hAnsi="Times New Roman" w:cs="仿宋_GB2312"/>
          <w:sz w:val="30"/>
          <w:lang w:bidi="ar"/>
        </w:rPr>
        <w:t>指标均已实现预期目标值</w:t>
      </w:r>
      <w:r>
        <w:rPr>
          <w:rFonts w:ascii="仿宋_GB2312" w:eastAsia="仿宋_GB2312" w:hAnsi="Times New Roman" w:cs="仿宋_GB2312" w:hint="eastAsia"/>
          <w:sz w:val="30"/>
          <w:lang w:bidi="ar"/>
        </w:rPr>
        <w:t>，详见表4。效益指标主要完成情况如下：</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1.</w:t>
      </w:r>
      <w:r>
        <w:rPr>
          <w:rFonts w:ascii="仿宋_GB2312" w:eastAsia="仿宋_GB2312" w:hAnsi="Times New Roman" w:cs="仿宋_GB2312"/>
          <w:sz w:val="30"/>
          <w:lang w:bidi="ar"/>
        </w:rPr>
        <w:t>落实基本医疗业务和基本公共卫生服务</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202</w:t>
      </w:r>
      <w:r>
        <w:rPr>
          <w:rFonts w:ascii="仿宋_GB2312" w:eastAsia="仿宋_GB2312" w:hAnsi="Times New Roman" w:cs="仿宋_GB2312" w:hint="eastAsia"/>
          <w:sz w:val="30"/>
          <w:lang w:bidi="ar"/>
        </w:rPr>
        <w:t>1</w:t>
      </w:r>
      <w:r>
        <w:rPr>
          <w:rFonts w:ascii="仿宋_GB2312" w:eastAsia="仿宋_GB2312" w:hAnsi="Times New Roman" w:cs="仿宋_GB2312"/>
          <w:sz w:val="30"/>
          <w:lang w:bidi="ar"/>
        </w:rPr>
        <w:t>年1至1</w:t>
      </w:r>
      <w:r>
        <w:rPr>
          <w:rFonts w:ascii="仿宋_GB2312" w:eastAsia="仿宋_GB2312" w:hAnsi="Times New Roman" w:cs="仿宋_GB2312" w:hint="eastAsia"/>
          <w:sz w:val="30"/>
          <w:lang w:bidi="ar"/>
        </w:rPr>
        <w:t>2</w:t>
      </w:r>
      <w:r>
        <w:rPr>
          <w:rFonts w:ascii="仿宋_GB2312" w:eastAsia="仿宋_GB2312" w:hAnsi="Times New Roman" w:cs="仿宋_GB2312"/>
          <w:sz w:val="30"/>
          <w:lang w:bidi="ar"/>
        </w:rPr>
        <w:t>月份，全区社康机构诊疗服务人次为</w:t>
      </w:r>
      <w:r>
        <w:rPr>
          <w:rFonts w:ascii="仿宋_GB2312" w:eastAsia="仿宋_GB2312" w:hAnsi="Times New Roman" w:cs="仿宋_GB2312" w:hint="eastAsia"/>
          <w:sz w:val="30"/>
          <w:lang w:bidi="ar"/>
        </w:rPr>
        <w:t>268417</w:t>
      </w:r>
      <w:r>
        <w:rPr>
          <w:rFonts w:ascii="仿宋_GB2312" w:eastAsia="仿宋_GB2312" w:hAnsi="Times New Roman" w:cs="仿宋_GB2312"/>
          <w:sz w:val="30"/>
          <w:lang w:bidi="ar"/>
        </w:rPr>
        <w:t>人次，比去年同期</w:t>
      </w:r>
      <w:r>
        <w:rPr>
          <w:rFonts w:ascii="仿宋_GB2312" w:eastAsia="仿宋_GB2312" w:hAnsi="Times New Roman" w:cs="仿宋_GB2312" w:hint="eastAsia"/>
          <w:sz w:val="30"/>
          <w:lang w:bidi="ar"/>
        </w:rPr>
        <w:t>增长29.36</w:t>
      </w:r>
      <w:r>
        <w:rPr>
          <w:rFonts w:ascii="仿宋_GB2312" w:eastAsia="仿宋_GB2312" w:hAnsi="Times New Roman" w:cs="仿宋_GB2312"/>
          <w:sz w:val="30"/>
          <w:lang w:bidi="ar"/>
        </w:rPr>
        <w:t>%。业务收入为</w:t>
      </w:r>
      <w:r>
        <w:rPr>
          <w:rFonts w:ascii="仿宋_GB2312" w:eastAsia="仿宋_GB2312" w:hAnsi="Times New Roman" w:cs="仿宋_GB2312" w:hint="eastAsia"/>
          <w:sz w:val="30"/>
          <w:lang w:bidi="ar"/>
        </w:rPr>
        <w:t>3074.91</w:t>
      </w:r>
      <w:r>
        <w:rPr>
          <w:rFonts w:ascii="仿宋_GB2312" w:eastAsia="仿宋_GB2312" w:hAnsi="Times New Roman" w:cs="仿宋_GB2312"/>
          <w:sz w:val="30"/>
          <w:lang w:bidi="ar"/>
        </w:rPr>
        <w:t>万元，比上一年同期增加</w:t>
      </w:r>
      <w:r>
        <w:rPr>
          <w:rFonts w:ascii="仿宋_GB2312" w:eastAsia="仿宋_GB2312" w:hAnsi="Times New Roman" w:cs="仿宋_GB2312" w:hint="eastAsia"/>
          <w:sz w:val="30"/>
          <w:lang w:bidi="ar"/>
        </w:rPr>
        <w:t>22.23</w:t>
      </w:r>
      <w:r>
        <w:rPr>
          <w:rFonts w:ascii="仿宋_GB2312" w:eastAsia="仿宋_GB2312" w:hAnsi="Times New Roman" w:cs="仿宋_GB2312"/>
          <w:sz w:val="30"/>
          <w:lang w:bidi="ar"/>
        </w:rPr>
        <w:t>%。</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sz w:val="30"/>
          <w:lang w:bidi="ar"/>
        </w:rPr>
        <w:t>加强与社区工作站沟通，利用网格大数据进一步发现社区老年人、高血压和糖尿病患者。202</w:t>
      </w:r>
      <w:r w:rsidR="002B1D9C">
        <w:rPr>
          <w:rFonts w:ascii="仿宋_GB2312" w:eastAsia="仿宋_GB2312" w:hAnsi="Times New Roman" w:cs="仿宋_GB2312"/>
          <w:sz w:val="30"/>
          <w:lang w:bidi="ar"/>
        </w:rPr>
        <w:t>1</w:t>
      </w:r>
      <w:r>
        <w:rPr>
          <w:rFonts w:ascii="仿宋_GB2312" w:eastAsia="仿宋_GB2312" w:hAnsi="Times New Roman" w:cs="仿宋_GB2312"/>
          <w:sz w:val="30"/>
          <w:lang w:bidi="ar"/>
        </w:rPr>
        <w:t>年老年人体检工作持续至12月底，为社区老年人进行免费体检预约服务，进一步提升老年人健康管理率至</w:t>
      </w:r>
      <w:r>
        <w:rPr>
          <w:rFonts w:ascii="仿宋_GB2312" w:eastAsia="仿宋_GB2312" w:hAnsi="Times New Roman" w:cs="仿宋_GB2312" w:hint="eastAsia"/>
          <w:sz w:val="30"/>
          <w:lang w:bidi="ar"/>
        </w:rPr>
        <w:t>83.92</w:t>
      </w:r>
      <w:r>
        <w:rPr>
          <w:rFonts w:ascii="仿宋_GB2312" w:eastAsia="仿宋_GB2312" w:hAnsi="Times New Roman" w:cs="仿宋_GB2312"/>
          <w:sz w:val="30"/>
          <w:lang w:bidi="ar"/>
        </w:rPr>
        <w:t>%。目前高血压管理率</w:t>
      </w:r>
      <w:r>
        <w:rPr>
          <w:rFonts w:ascii="仿宋_GB2312" w:eastAsia="仿宋_GB2312" w:hAnsi="Times New Roman" w:cs="仿宋_GB2312" w:hint="eastAsia"/>
          <w:sz w:val="30"/>
          <w:lang w:bidi="ar"/>
        </w:rPr>
        <w:t>102.40</w:t>
      </w:r>
      <w:r>
        <w:rPr>
          <w:rFonts w:ascii="仿宋_GB2312" w:eastAsia="仿宋_GB2312" w:hAnsi="Times New Roman" w:cs="仿宋_GB2312"/>
          <w:sz w:val="30"/>
          <w:lang w:bidi="ar"/>
        </w:rPr>
        <w:t>%，糖尿病管理率</w:t>
      </w:r>
      <w:r>
        <w:rPr>
          <w:rFonts w:ascii="仿宋_GB2312" w:eastAsia="仿宋_GB2312" w:hAnsi="Times New Roman" w:cs="仿宋_GB2312" w:hint="eastAsia"/>
          <w:sz w:val="30"/>
          <w:lang w:bidi="ar"/>
        </w:rPr>
        <w:t>100</w:t>
      </w:r>
      <w:r>
        <w:rPr>
          <w:rFonts w:ascii="仿宋_GB2312" w:eastAsia="仿宋_GB2312" w:hAnsi="Times New Roman" w:cs="仿宋_GB2312"/>
          <w:sz w:val="30"/>
          <w:lang w:bidi="ar"/>
        </w:rPr>
        <w:t>%。</w:t>
      </w:r>
    </w:p>
    <w:p w:rsidR="001C74FE" w:rsidRDefault="001C74FE">
      <w:pPr>
        <w:pStyle w:val="a0"/>
        <w:ind w:firstLineChars="500" w:firstLine="1506"/>
        <w:rPr>
          <w:rFonts w:ascii="仿宋_GB2312" w:eastAsia="仿宋_GB2312" w:hAnsi="Times New Roman" w:cs="Times New Roman"/>
          <w:b/>
          <w:bCs/>
          <w:sz w:val="30"/>
        </w:rPr>
      </w:pPr>
    </w:p>
    <w:p w:rsidR="001C74FE" w:rsidRDefault="001C74FE">
      <w:pPr>
        <w:pStyle w:val="a0"/>
        <w:spacing w:line="320" w:lineRule="exact"/>
        <w:ind w:firstLineChars="500" w:firstLine="1506"/>
        <w:rPr>
          <w:rFonts w:ascii="仿宋_GB2312" w:eastAsia="仿宋_GB2312" w:hAnsi="Times New Roman" w:cs="Times New Roman"/>
          <w:b/>
          <w:bCs/>
          <w:color w:val="FF0000"/>
          <w:sz w:val="30"/>
        </w:rPr>
      </w:pPr>
    </w:p>
    <w:p w:rsidR="001C74FE" w:rsidRDefault="001C74FE">
      <w:pPr>
        <w:pStyle w:val="a0"/>
        <w:spacing w:line="320" w:lineRule="exact"/>
        <w:ind w:firstLineChars="500" w:firstLine="1506"/>
        <w:rPr>
          <w:rFonts w:ascii="仿宋_GB2312" w:eastAsia="仿宋_GB2312" w:hAnsi="Times New Roman" w:cs="Times New Roman"/>
          <w:b/>
          <w:bCs/>
          <w:color w:val="FF0000"/>
          <w:sz w:val="30"/>
        </w:rPr>
      </w:pPr>
    </w:p>
    <w:p w:rsidR="001C74FE" w:rsidRDefault="00C368AD">
      <w:pPr>
        <w:pStyle w:val="a0"/>
        <w:spacing w:line="320" w:lineRule="exact"/>
        <w:ind w:firstLineChars="500" w:firstLine="1506"/>
        <w:rPr>
          <w:rFonts w:ascii="仿宋_GB2312" w:eastAsia="仿宋_GB2312" w:hAnsi="Times New Roman" w:cs="Times New Roman"/>
          <w:b/>
          <w:bCs/>
          <w:sz w:val="30"/>
          <w:szCs w:val="24"/>
        </w:rPr>
      </w:pPr>
      <w:r>
        <w:rPr>
          <w:rFonts w:ascii="仿宋_GB2312" w:eastAsia="仿宋_GB2312" w:hAnsi="Times New Roman" w:cs="Times New Roman"/>
          <w:b/>
          <w:bCs/>
          <w:sz w:val="30"/>
          <w:szCs w:val="24"/>
        </w:rPr>
        <w:lastRenderedPageBreak/>
        <w:t>表</w:t>
      </w:r>
      <w:r>
        <w:rPr>
          <w:rFonts w:ascii="仿宋_GB2312" w:eastAsia="仿宋_GB2312" w:hAnsi="Times New Roman" w:cs="Times New Roman" w:hint="eastAsia"/>
          <w:b/>
          <w:bCs/>
          <w:sz w:val="30"/>
          <w:szCs w:val="24"/>
        </w:rPr>
        <w:t>4：基本公共卫生服务重点指标完成情况</w:t>
      </w:r>
    </w:p>
    <w:tbl>
      <w:tblPr>
        <w:tblW w:w="4998" w:type="pct"/>
        <w:tblLook w:val="04A0" w:firstRow="1" w:lastRow="0" w:firstColumn="1" w:lastColumn="0" w:noHBand="0" w:noVBand="1"/>
      </w:tblPr>
      <w:tblGrid>
        <w:gridCol w:w="2410"/>
        <w:gridCol w:w="3116"/>
        <w:gridCol w:w="1349"/>
        <w:gridCol w:w="2181"/>
      </w:tblGrid>
      <w:tr w:rsidR="001C74FE">
        <w:trPr>
          <w:trHeight w:val="327"/>
        </w:trPr>
        <w:tc>
          <w:tcPr>
            <w:tcW w:w="3050" w:type="pct"/>
            <w:gridSpan w:val="2"/>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sz w:val="24"/>
              </w:rPr>
            </w:pPr>
            <w:r>
              <w:rPr>
                <w:rFonts w:ascii="仿宋_GB2312" w:eastAsia="仿宋_GB2312" w:hAnsi="仿宋_GB2312" w:cs="仿宋_GB2312" w:hint="eastAsia"/>
                <w:b/>
                <w:bCs/>
                <w:color w:val="FFFFFF"/>
                <w:kern w:val="0"/>
                <w:sz w:val="24"/>
                <w:lang w:bidi="ar"/>
              </w:rPr>
              <w:t>项   目</w:t>
            </w:r>
          </w:p>
        </w:tc>
        <w:tc>
          <w:tcPr>
            <w:tcW w:w="745" w:type="pct"/>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sz w:val="24"/>
              </w:rPr>
            </w:pPr>
            <w:r>
              <w:rPr>
                <w:rFonts w:ascii="仿宋_GB2312" w:eastAsia="仿宋_GB2312" w:hAnsi="仿宋_GB2312" w:cs="仿宋_GB2312" w:hint="eastAsia"/>
                <w:b/>
                <w:bCs/>
                <w:color w:val="FFFFFF"/>
                <w:kern w:val="0"/>
                <w:sz w:val="24"/>
                <w:lang w:bidi="ar"/>
              </w:rPr>
              <w:t>2021年</w:t>
            </w:r>
          </w:p>
        </w:tc>
        <w:tc>
          <w:tcPr>
            <w:tcW w:w="1204" w:type="pct"/>
            <w:tcBorders>
              <w:top w:val="single" w:sz="8" w:space="0" w:color="000000"/>
              <w:left w:val="single" w:sz="8" w:space="0" w:color="000000"/>
              <w:bottom w:val="single" w:sz="8" w:space="0" w:color="000000"/>
              <w:right w:val="single" w:sz="8" w:space="0" w:color="000000"/>
            </w:tcBorders>
            <w:shd w:val="clear" w:color="auto" w:fill="0070C0"/>
            <w:vAlign w:val="center"/>
          </w:tcPr>
          <w:p w:rsidR="001C74FE" w:rsidRDefault="00C368AD">
            <w:pPr>
              <w:widowControl/>
              <w:jc w:val="center"/>
              <w:textAlignment w:val="center"/>
              <w:rPr>
                <w:rFonts w:ascii="仿宋_GB2312" w:eastAsia="仿宋_GB2312" w:hAnsi="仿宋_GB2312" w:cs="仿宋_GB2312"/>
                <w:b/>
                <w:bCs/>
                <w:color w:val="FFFFFF"/>
                <w:sz w:val="24"/>
              </w:rPr>
            </w:pPr>
            <w:r>
              <w:rPr>
                <w:rFonts w:ascii="仿宋_GB2312" w:eastAsia="仿宋_GB2312" w:hAnsi="仿宋_GB2312" w:cs="仿宋_GB2312" w:hint="eastAsia"/>
                <w:b/>
                <w:bCs/>
                <w:color w:val="FFFFFF"/>
                <w:kern w:val="0"/>
                <w:sz w:val="24"/>
                <w:lang w:bidi="ar"/>
              </w:rPr>
              <w:t>年终考核情况</w:t>
            </w:r>
          </w:p>
        </w:tc>
      </w:tr>
      <w:tr w:rsidR="001C74FE">
        <w:trPr>
          <w:trHeight w:val="639"/>
        </w:trPr>
        <w:tc>
          <w:tcPr>
            <w:tcW w:w="133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老年人健康管理率</w:t>
            </w: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健康管理率</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83.92%</w:t>
            </w:r>
          </w:p>
        </w:tc>
        <w:tc>
          <w:tcPr>
            <w:tcW w:w="1204"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327"/>
        </w:trPr>
        <w:tc>
          <w:tcPr>
            <w:tcW w:w="1330" w:type="pct"/>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高血压健康管理</w:t>
            </w: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任务完成率</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102.40%</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327"/>
        </w:trPr>
        <w:tc>
          <w:tcPr>
            <w:tcW w:w="1330" w:type="pct"/>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color w:val="000000"/>
                <w:sz w:val="24"/>
              </w:rPr>
            </w:pP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规范管理率</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66.80%</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327"/>
        </w:trPr>
        <w:tc>
          <w:tcPr>
            <w:tcW w:w="1330" w:type="pct"/>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糖尿病健康管理</w:t>
            </w: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任务完成率</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100%</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327"/>
        </w:trPr>
        <w:tc>
          <w:tcPr>
            <w:tcW w:w="1330" w:type="pct"/>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color w:val="000000"/>
                <w:sz w:val="24"/>
              </w:rPr>
            </w:pP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规范管理率</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81.98%</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639"/>
        </w:trPr>
        <w:tc>
          <w:tcPr>
            <w:tcW w:w="1330" w:type="pct"/>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中医药管理</w:t>
            </w: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老年人中医药健康管</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76.30%</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639"/>
        </w:trPr>
        <w:tc>
          <w:tcPr>
            <w:tcW w:w="1330" w:type="pct"/>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color w:val="000000"/>
                <w:sz w:val="24"/>
              </w:rPr>
            </w:pP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儿童中医药健康管理</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85.84%</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327"/>
        </w:trPr>
        <w:tc>
          <w:tcPr>
            <w:tcW w:w="1330" w:type="pct"/>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家庭医生服务</w:t>
            </w: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家庭医生团队数</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41个团队</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r w:rsidR="001C74FE">
        <w:trPr>
          <w:trHeight w:val="639"/>
        </w:trPr>
        <w:tc>
          <w:tcPr>
            <w:tcW w:w="1330" w:type="pct"/>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仿宋_GB2312" w:cs="仿宋_GB2312"/>
                <w:color w:val="000000"/>
                <w:sz w:val="24"/>
              </w:rPr>
            </w:pPr>
          </w:p>
        </w:tc>
        <w:tc>
          <w:tcPr>
            <w:tcW w:w="1720"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家庭医生重点人群签约率</w:t>
            </w:r>
          </w:p>
        </w:tc>
        <w:tc>
          <w:tcPr>
            <w:tcW w:w="745"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85.94%</w:t>
            </w:r>
          </w:p>
        </w:tc>
        <w:tc>
          <w:tcPr>
            <w:tcW w:w="1204" w:type="pc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达标</w:t>
            </w:r>
          </w:p>
        </w:tc>
      </w:tr>
    </w:tbl>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2.</w:t>
      </w:r>
      <w:r>
        <w:rPr>
          <w:rFonts w:ascii="仿宋_GB2312" w:eastAsia="仿宋_GB2312" w:hAnsi="Times New Roman" w:cs="仿宋_GB2312"/>
          <w:sz w:val="30"/>
          <w:lang w:bidi="ar"/>
        </w:rPr>
        <w:t>注重岗位培训，提高业务技能</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1</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开展了14期全科诊疗技能业务培训，培训人次达305人次，促使医务人员基本医疗服务能力进一步提升。</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2</w:t>
      </w:r>
      <w:r>
        <w:rPr>
          <w:rFonts w:ascii="仿宋_GB2312" w:eastAsia="仿宋_GB2312" w:hAnsi="Times New Roman" w:cs="仿宋_GB2312" w:hint="eastAsia"/>
          <w:sz w:val="30"/>
          <w:lang w:bidi="ar"/>
        </w:rPr>
        <w:t>）</w:t>
      </w:r>
      <w:r>
        <w:rPr>
          <w:rFonts w:ascii="仿宋_GB2312" w:eastAsia="仿宋_GB2312" w:hAnsi="Times New Roman" w:cs="仿宋_GB2312"/>
          <w:sz w:val="30"/>
          <w:lang w:bidi="ar"/>
        </w:rPr>
        <w:t>与新区公卫中心合办了肺结核患者管理、慢病管理规范和老年人规范管理等基本公共卫生服务项目的培训，并组织举办了1期基本公共卫生服务管理人员培训班，进一步提高社康人员基本公共卫生服务水平。</w:t>
      </w:r>
    </w:p>
    <w:p w:rsidR="001C74FE" w:rsidRDefault="00C368AD">
      <w:pPr>
        <w:spacing w:line="600" w:lineRule="exact"/>
        <w:jc w:val="center"/>
        <w:rPr>
          <w:rFonts w:ascii="仿宋_GB2312" w:eastAsia="仿宋_GB2312" w:hAnsi="Times New Roman" w:cs="Times New Roman"/>
          <w:b/>
          <w:bCs/>
          <w:sz w:val="30"/>
        </w:rPr>
      </w:pPr>
      <w:r>
        <w:rPr>
          <w:rFonts w:ascii="仿宋_GB2312" w:eastAsia="仿宋_GB2312" w:hAnsi="Times New Roman" w:cs="Times New Roman"/>
          <w:b/>
          <w:bCs/>
          <w:sz w:val="30"/>
        </w:rPr>
        <w:t>表</w:t>
      </w:r>
      <w:r>
        <w:rPr>
          <w:rFonts w:ascii="仿宋_GB2312" w:eastAsia="仿宋_GB2312" w:hAnsi="Times New Roman" w:cs="Times New Roman" w:hint="eastAsia"/>
          <w:b/>
          <w:bCs/>
          <w:sz w:val="30"/>
        </w:rPr>
        <w:t>5</w:t>
      </w:r>
      <w:r>
        <w:rPr>
          <w:rFonts w:ascii="仿宋_GB2312" w:eastAsia="仿宋_GB2312" w:hAnsi="Times New Roman" w:cs="Times New Roman"/>
          <w:b/>
          <w:bCs/>
          <w:sz w:val="30"/>
        </w:rPr>
        <w:t>：2021年基本公共卫生服务经费项目自评表</w:t>
      </w:r>
    </w:p>
    <w:tbl>
      <w:tblPr>
        <w:tblW w:w="10646" w:type="dxa"/>
        <w:jc w:val="center"/>
        <w:tblLayout w:type="fixed"/>
        <w:tblLook w:val="04A0" w:firstRow="1" w:lastRow="0" w:firstColumn="1" w:lastColumn="0" w:noHBand="0" w:noVBand="1"/>
      </w:tblPr>
      <w:tblGrid>
        <w:gridCol w:w="1096"/>
        <w:gridCol w:w="1168"/>
        <w:gridCol w:w="1133"/>
        <w:gridCol w:w="1454"/>
        <w:gridCol w:w="1480"/>
        <w:gridCol w:w="1466"/>
        <w:gridCol w:w="779"/>
        <w:gridCol w:w="1075"/>
        <w:gridCol w:w="995"/>
      </w:tblGrid>
      <w:tr w:rsidR="001C74FE">
        <w:trPr>
          <w:trHeight w:val="288"/>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项目名称</w:t>
            </w:r>
          </w:p>
        </w:tc>
        <w:tc>
          <w:tcPr>
            <w:tcW w:w="52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基本公共卫生服务经费</w:t>
            </w:r>
          </w:p>
        </w:tc>
        <w:tc>
          <w:tcPr>
            <w:tcW w:w="1466"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rsidR="001C74FE" w:rsidRDefault="00C368AD">
            <w:pPr>
              <w:widowControl/>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项目金额</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22384880.00 </w:t>
            </w:r>
          </w:p>
        </w:tc>
      </w:tr>
      <w:tr w:rsidR="001C74FE">
        <w:trPr>
          <w:trHeight w:val="288"/>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主管部门</w:t>
            </w:r>
          </w:p>
        </w:tc>
        <w:tc>
          <w:tcPr>
            <w:tcW w:w="52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深圳市大鹏新区医疗健康集团</w:t>
            </w:r>
          </w:p>
        </w:tc>
        <w:tc>
          <w:tcPr>
            <w:tcW w:w="1466"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rsidR="001C74FE" w:rsidRDefault="00C368AD">
            <w:pPr>
              <w:widowControl/>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实施单位</w:t>
            </w:r>
          </w:p>
        </w:tc>
        <w:tc>
          <w:tcPr>
            <w:tcW w:w="284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深圳市大鹏新区医疗健康集团</w:t>
            </w:r>
          </w:p>
        </w:tc>
      </w:tr>
      <w:tr w:rsidR="001C74FE">
        <w:trPr>
          <w:trHeight w:val="288"/>
          <w:jc w:val="center"/>
        </w:trPr>
        <w:tc>
          <w:tcPr>
            <w:tcW w:w="109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项目资金（元）</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1C74FE">
            <w:pPr>
              <w:jc w:val="left"/>
              <w:rPr>
                <w:rFonts w:asciiTheme="minorEastAsia" w:hAnsiTheme="minorEastAsia" w:cstheme="minorEastAsia"/>
                <w:color w:val="000000"/>
                <w:sz w:val="22"/>
                <w:szCs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年初预算数</w:t>
            </w:r>
          </w:p>
        </w:tc>
        <w:tc>
          <w:tcPr>
            <w:tcW w:w="14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全年预算数</w:t>
            </w:r>
          </w:p>
        </w:tc>
        <w:tc>
          <w:tcPr>
            <w:tcW w:w="1466"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全年执行数</w:t>
            </w:r>
          </w:p>
        </w:tc>
        <w:tc>
          <w:tcPr>
            <w:tcW w:w="779"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分值</w:t>
            </w:r>
          </w:p>
        </w:tc>
        <w:tc>
          <w:tcPr>
            <w:tcW w:w="107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执行率</w:t>
            </w:r>
          </w:p>
        </w:tc>
        <w:tc>
          <w:tcPr>
            <w:tcW w:w="99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得分</w:t>
            </w: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D9D9D9"/>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年度资金总额</w:t>
            </w: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17766700.00 </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22384880.00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22384880.00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10 </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10.00 </w:t>
            </w: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其中：当年财政拨款</w:t>
            </w: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17766700.00 </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22384880.00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 xml:space="preserve">22384880.00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上年结转资金</w:t>
            </w: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其他资金</w:t>
            </w:r>
          </w:p>
        </w:tc>
        <w:tc>
          <w:tcPr>
            <w:tcW w:w="1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1C74FE">
            <w:pPr>
              <w:jc w:val="right"/>
              <w:rPr>
                <w:rFonts w:asciiTheme="minorEastAsia" w:hAnsiTheme="minorEastAsia" w:cstheme="minorEastAsia"/>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r>
      <w:tr w:rsidR="001C74FE">
        <w:trPr>
          <w:trHeight w:val="288"/>
          <w:jc w:val="center"/>
        </w:trPr>
        <w:tc>
          <w:tcPr>
            <w:tcW w:w="109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年度总体目标</w:t>
            </w:r>
          </w:p>
        </w:tc>
        <w:tc>
          <w:tcPr>
            <w:tcW w:w="523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预期目标</w:t>
            </w:r>
          </w:p>
        </w:tc>
        <w:tc>
          <w:tcPr>
            <w:tcW w:w="431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FF0000"/>
                <w:sz w:val="22"/>
                <w:szCs w:val="22"/>
              </w:rPr>
            </w:pPr>
            <w:r>
              <w:rPr>
                <w:rStyle w:val="font01"/>
                <w:rFonts w:asciiTheme="minorEastAsia" w:eastAsiaTheme="minorEastAsia" w:hAnsiTheme="minorEastAsia" w:cstheme="minorEastAsia" w:hint="default"/>
                <w:sz w:val="22"/>
                <w:szCs w:val="22"/>
                <w:lang w:bidi="ar"/>
              </w:rPr>
              <w:t>*</w:t>
            </w:r>
            <w:r>
              <w:rPr>
                <w:rFonts w:asciiTheme="minorEastAsia" w:hAnsiTheme="minorEastAsia" w:cstheme="minorEastAsia" w:hint="eastAsia"/>
                <w:color w:val="000000"/>
                <w:kern w:val="0"/>
                <w:sz w:val="22"/>
                <w:szCs w:val="22"/>
                <w:lang w:bidi="ar"/>
              </w:rPr>
              <w:t>实际完成情况</w:t>
            </w:r>
          </w:p>
        </w:tc>
      </w:tr>
      <w:tr w:rsidR="001C74FE">
        <w:trPr>
          <w:trHeight w:val="436"/>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52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Theme="minorEastAsia" w:hAnsiTheme="minorEastAsia" w:cstheme="minorEastAsia"/>
                <w:color w:val="000000"/>
                <w:kern w:val="0"/>
                <w:sz w:val="22"/>
                <w:szCs w:val="22"/>
                <w:lang w:bidi="ar"/>
              </w:rPr>
            </w:pPr>
            <w:r>
              <w:rPr>
                <w:rFonts w:asciiTheme="minorEastAsia" w:hAnsiTheme="minorEastAsia" w:cstheme="minorEastAsia" w:hint="eastAsia"/>
                <w:color w:val="000000"/>
                <w:kern w:val="0"/>
                <w:sz w:val="22"/>
                <w:szCs w:val="22"/>
                <w:lang w:bidi="ar"/>
              </w:rPr>
              <w:t>目标1：增强基本公卫服务质量，探索家庭医生签约新模式：一是在区域社康中心的部署下，完善“1+N”的模式，全区社康中心（站）职能分工明确，分别承担区域内各项国家基本公共卫生服务工作；推进家庭医生团队以 “1+N”的模式开展签约服务，实现“签”而有“约”。二是进一步加强对社康中心基本公共卫生服务的督导和考核，考核结果与社康中心绩效紧密挂钩。三是持续改进精神卫生工作，将社区精防工作专职化；加强社区精神和心理卫生建设，组织“心理卫生”进企业、进学校、进社区活动。</w:t>
            </w:r>
          </w:p>
          <w:p w:rsidR="001C74FE" w:rsidRDefault="00C368AD">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目标2：提高医疗服务质量，保持医疗业务稳定增长。</w:t>
            </w:r>
          </w:p>
        </w:tc>
        <w:tc>
          <w:tcPr>
            <w:tcW w:w="43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left"/>
              <w:textAlignment w:val="center"/>
              <w:rPr>
                <w:rFonts w:asciiTheme="minorEastAsia" w:hAnsiTheme="minorEastAsia" w:cstheme="minorEastAsia"/>
                <w:color w:val="000000"/>
                <w:kern w:val="0"/>
                <w:sz w:val="22"/>
                <w:szCs w:val="22"/>
                <w:lang w:bidi="ar"/>
              </w:rPr>
            </w:pPr>
            <w:r>
              <w:rPr>
                <w:rFonts w:asciiTheme="minorEastAsia" w:hAnsiTheme="minorEastAsia" w:cstheme="minorEastAsia" w:hint="eastAsia"/>
                <w:color w:val="000000"/>
                <w:kern w:val="0"/>
                <w:sz w:val="22"/>
                <w:szCs w:val="22"/>
                <w:lang w:bidi="ar"/>
              </w:rPr>
              <w:t>完成：目标1：增强基本公卫服务质量，探索家庭医生签约新模式：一是在区域社康中心的部署下，完善“1+N”的模式，全区社康中心（站）职能分工明确，分别承担区域内各项国家基本公共卫生服务工作；推进家庭医生团队以 “1+N”的模式开展签约服务，实现“签”而有“约”。二是进一步加强对社康中心基本公共卫生服务的督导和考核，考核结果与社康中心绩效紧密挂钩。三是持续改进精神卫生工作，将社区精防工作专职化；加强社区精神和心理卫生建设，组织“心理卫生”进企业、进学校、进社区活动。</w:t>
            </w:r>
          </w:p>
          <w:p w:rsidR="001C74FE" w:rsidRDefault="00C368AD">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目标2：提高医疗服务质量，保持医疗业务稳定增长。</w:t>
            </w:r>
          </w:p>
        </w:tc>
      </w:tr>
      <w:tr w:rsidR="001C74FE">
        <w:trPr>
          <w:trHeight w:val="660"/>
          <w:jc w:val="center"/>
        </w:trPr>
        <w:tc>
          <w:tcPr>
            <w:tcW w:w="109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年度绩效指标</w:t>
            </w:r>
          </w:p>
        </w:tc>
        <w:tc>
          <w:tcPr>
            <w:tcW w:w="1168" w:type="dxa"/>
            <w:tcBorders>
              <w:top w:val="single" w:sz="4" w:space="0" w:color="000000"/>
              <w:left w:val="single" w:sz="4" w:space="0" w:color="000000"/>
              <w:bottom w:val="nil"/>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一级指标</w:t>
            </w:r>
          </w:p>
        </w:tc>
        <w:tc>
          <w:tcPr>
            <w:tcW w:w="1133" w:type="dxa"/>
            <w:tcBorders>
              <w:top w:val="single" w:sz="4" w:space="0" w:color="000000"/>
              <w:left w:val="single" w:sz="4" w:space="0" w:color="000000"/>
              <w:bottom w:val="nil"/>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二级指标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三级指标</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年度指标值</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FF0000"/>
                <w:sz w:val="22"/>
                <w:szCs w:val="22"/>
              </w:rPr>
            </w:pPr>
            <w:r>
              <w:rPr>
                <w:rStyle w:val="font01"/>
                <w:rFonts w:asciiTheme="minorEastAsia" w:eastAsiaTheme="minorEastAsia" w:hAnsiTheme="minorEastAsia" w:cstheme="minorEastAsia" w:hint="default"/>
                <w:sz w:val="22"/>
                <w:szCs w:val="22"/>
                <w:lang w:bidi="ar"/>
              </w:rPr>
              <w:t>*</w:t>
            </w:r>
            <w:r>
              <w:rPr>
                <w:rFonts w:asciiTheme="minorEastAsia" w:hAnsiTheme="minorEastAsia" w:cstheme="minorEastAsia" w:hint="eastAsia"/>
                <w:color w:val="000000"/>
                <w:kern w:val="0"/>
                <w:sz w:val="22"/>
                <w:szCs w:val="22"/>
                <w:lang w:bidi="ar"/>
              </w:rPr>
              <w:t>实际完成值</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FF0000"/>
                <w:sz w:val="22"/>
                <w:szCs w:val="22"/>
              </w:rPr>
            </w:pPr>
            <w:r>
              <w:rPr>
                <w:rStyle w:val="font01"/>
                <w:rFonts w:asciiTheme="minorEastAsia" w:eastAsiaTheme="minorEastAsia" w:hAnsiTheme="minorEastAsia" w:cstheme="minorEastAsia" w:hint="default"/>
                <w:sz w:val="22"/>
                <w:szCs w:val="22"/>
                <w:lang w:bidi="ar"/>
              </w:rPr>
              <w:t>*</w:t>
            </w:r>
            <w:r>
              <w:rPr>
                <w:rFonts w:asciiTheme="minorEastAsia" w:hAnsiTheme="minorEastAsia" w:cstheme="minorEastAsia" w:hint="eastAsia"/>
                <w:color w:val="000000"/>
                <w:kern w:val="0"/>
                <w:sz w:val="22"/>
                <w:szCs w:val="22"/>
                <w:lang w:bidi="ar"/>
              </w:rPr>
              <w:t>分值</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FF0000"/>
                <w:sz w:val="22"/>
                <w:szCs w:val="22"/>
              </w:rPr>
            </w:pPr>
            <w:r>
              <w:rPr>
                <w:rStyle w:val="font01"/>
                <w:rFonts w:asciiTheme="minorEastAsia" w:eastAsiaTheme="minorEastAsia" w:hAnsiTheme="minorEastAsia" w:cstheme="minorEastAsia" w:hint="default"/>
                <w:sz w:val="22"/>
                <w:szCs w:val="22"/>
                <w:lang w:bidi="ar"/>
              </w:rPr>
              <w:t>*</w:t>
            </w:r>
            <w:r>
              <w:rPr>
                <w:rFonts w:asciiTheme="minorEastAsia" w:hAnsiTheme="minorEastAsia" w:cstheme="minorEastAsia" w:hint="eastAsia"/>
                <w:color w:val="000000"/>
                <w:kern w:val="0"/>
                <w:sz w:val="22"/>
                <w:szCs w:val="22"/>
                <w:lang w:bidi="ar"/>
              </w:rPr>
              <w:t>得分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偏差原因分析及改进措施</w:t>
            </w:r>
          </w:p>
        </w:tc>
      </w:tr>
      <w:tr w:rsidR="001C74FE">
        <w:trPr>
          <w:trHeight w:val="52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kern w:val="0"/>
                <w:sz w:val="22"/>
                <w:szCs w:val="22"/>
                <w:lang w:bidi="ar"/>
              </w:rPr>
            </w:pPr>
            <w:r>
              <w:rPr>
                <w:rFonts w:asciiTheme="minorEastAsia" w:hAnsiTheme="minorEastAsia" w:cstheme="minorEastAsia" w:hint="eastAsia"/>
                <w:color w:val="000000"/>
                <w:kern w:val="0"/>
                <w:sz w:val="22"/>
                <w:szCs w:val="22"/>
                <w:lang w:bidi="ar"/>
              </w:rPr>
              <w:t>产出指标</w:t>
            </w:r>
          </w:p>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（50分）</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数量指标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2021年社康门诊人次</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≥20万人次</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sz w:val="22"/>
                <w:szCs w:val="22"/>
              </w:rPr>
            </w:pPr>
            <w:r>
              <w:rPr>
                <w:rFonts w:asciiTheme="minorEastAsia" w:hAnsiTheme="minorEastAsia" w:cstheme="minorEastAsia" w:hint="eastAsia"/>
                <w:kern w:val="0"/>
                <w:sz w:val="22"/>
                <w:szCs w:val="22"/>
                <w:lang w:bidi="ar"/>
              </w:rPr>
              <w:t>2</w:t>
            </w:r>
            <w:r>
              <w:rPr>
                <w:rFonts w:asciiTheme="minorEastAsia" w:hAnsiTheme="minorEastAsia" w:cstheme="minorEastAsia"/>
                <w:kern w:val="0"/>
                <w:sz w:val="22"/>
                <w:szCs w:val="22"/>
                <w:lang w:bidi="ar"/>
              </w:rPr>
              <w:t>6</w:t>
            </w:r>
            <w:r>
              <w:rPr>
                <w:rFonts w:asciiTheme="minorEastAsia" w:hAnsiTheme="minorEastAsia" w:cstheme="minorEastAsia" w:hint="eastAsia"/>
                <w:kern w:val="0"/>
                <w:sz w:val="22"/>
                <w:szCs w:val="22"/>
                <w:lang w:bidi="ar"/>
              </w:rPr>
              <w:t>万人次</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sz w:val="22"/>
                <w:szCs w:val="22"/>
              </w:rPr>
            </w:pPr>
            <w:r>
              <w:rPr>
                <w:rFonts w:asciiTheme="minorEastAsia" w:hAnsiTheme="minorEastAsia" w:cstheme="minorEastAsia" w:hint="eastAsia"/>
                <w:kern w:val="0"/>
                <w:sz w:val="22"/>
                <w:szCs w:val="22"/>
                <w:lang w:bidi="ar"/>
              </w:rPr>
              <w:t>13</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质量指标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资金到位率</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13</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792"/>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时效指标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基本公共卫生服务经费支出完成时间</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2021年12月25日前</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2021年12月</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12</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成本指标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支付进度达标率</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≥90%</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12</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kern w:val="0"/>
                <w:sz w:val="22"/>
                <w:szCs w:val="22"/>
                <w:lang w:bidi="ar"/>
              </w:rPr>
            </w:pPr>
            <w:r>
              <w:rPr>
                <w:rFonts w:asciiTheme="minorEastAsia" w:hAnsiTheme="minorEastAsia" w:cstheme="minorEastAsia" w:hint="eastAsia"/>
                <w:color w:val="000000"/>
                <w:kern w:val="0"/>
                <w:sz w:val="22"/>
                <w:szCs w:val="22"/>
                <w:lang w:bidi="ar"/>
              </w:rPr>
              <w:t>效益指标</w:t>
            </w:r>
          </w:p>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（40分）</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经济效益指标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不适用</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不适用</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52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社会效益指标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基层医疗单位整体医疗水平</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有效提高</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有效提高</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生态效益指标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不适用</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不适用</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288"/>
          <w:jc w:val="center"/>
        </w:trPr>
        <w:tc>
          <w:tcPr>
            <w:tcW w:w="10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C74FE" w:rsidRDefault="001C74FE">
            <w:pPr>
              <w:jc w:val="center"/>
              <w:rPr>
                <w:rFonts w:asciiTheme="minorEastAsia" w:hAnsiTheme="minorEastAsia" w:cstheme="minorEastAsia"/>
                <w:color w:val="000000"/>
                <w:sz w:val="22"/>
                <w:szCs w:val="22"/>
              </w:rPr>
            </w:pPr>
          </w:p>
        </w:tc>
        <w:tc>
          <w:tcPr>
            <w:tcW w:w="11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1C74FE">
            <w:pPr>
              <w:jc w:val="center"/>
              <w:rPr>
                <w:rFonts w:asciiTheme="minorEastAsia" w:hAnsiTheme="minorEastAsia" w:cstheme="minorEastAsia"/>
                <w:color w:val="000000"/>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满意度指标</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患者满意度</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≥85%</w:t>
            </w:r>
          </w:p>
        </w:tc>
        <w:tc>
          <w:tcPr>
            <w:tcW w:w="1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C74FE" w:rsidRDefault="001C74FE">
            <w:pPr>
              <w:jc w:val="left"/>
              <w:rPr>
                <w:rFonts w:asciiTheme="minorEastAsia" w:hAnsiTheme="minorEastAsia" w:cstheme="minorEastAsia"/>
                <w:color w:val="000000"/>
                <w:sz w:val="22"/>
                <w:szCs w:val="22"/>
              </w:rPr>
            </w:pPr>
          </w:p>
        </w:tc>
      </w:tr>
      <w:tr w:rsidR="001C74FE">
        <w:trPr>
          <w:trHeight w:val="330"/>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D9D9D9"/>
            <w:noWrap/>
            <w:vAlign w:val="bottom"/>
          </w:tcPr>
          <w:p w:rsidR="001C74FE" w:rsidRDefault="001C74FE">
            <w:pPr>
              <w:rPr>
                <w:rFonts w:asciiTheme="minorEastAsia" w:hAnsiTheme="minorEastAsia" w:cstheme="minorEastAsia"/>
                <w:color w:val="000000"/>
                <w:sz w:val="22"/>
                <w:szCs w:val="22"/>
              </w:rPr>
            </w:pPr>
          </w:p>
        </w:tc>
        <w:tc>
          <w:tcPr>
            <w:tcW w:w="6701" w:type="dxa"/>
            <w:gridSpan w:val="5"/>
            <w:tcBorders>
              <w:top w:val="single" w:sz="4" w:space="0" w:color="000000"/>
              <w:left w:val="single" w:sz="4" w:space="0" w:color="000000"/>
              <w:bottom w:val="single" w:sz="4" w:space="0" w:color="000000"/>
              <w:right w:val="single" w:sz="4" w:space="0" w:color="000000"/>
            </w:tcBorders>
            <w:shd w:val="clear" w:color="auto" w:fill="D9D9D9"/>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总分</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74FE" w:rsidRDefault="00C368AD">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100</w:t>
            </w:r>
          </w:p>
        </w:tc>
        <w:tc>
          <w:tcPr>
            <w:tcW w:w="9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1C74FE" w:rsidRDefault="00C368AD">
            <w:pPr>
              <w:widowControl/>
              <w:jc w:val="center"/>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lang w:bidi="ar"/>
              </w:rPr>
              <w:t>—</w:t>
            </w:r>
          </w:p>
        </w:tc>
      </w:tr>
    </w:tbl>
    <w:p w:rsidR="001C74FE" w:rsidRDefault="001C74FE">
      <w:pPr>
        <w:spacing w:line="600" w:lineRule="exact"/>
        <w:ind w:firstLineChars="200" w:firstLine="602"/>
        <w:rPr>
          <w:rFonts w:ascii="仿宋_GB2312" w:eastAsia="仿宋_GB2312" w:hAnsi="Times New Roman" w:cs="仿宋_GB2312"/>
          <w:b/>
          <w:bCs/>
          <w:sz w:val="30"/>
          <w:lang w:bidi="ar"/>
        </w:rPr>
      </w:pPr>
    </w:p>
    <w:p w:rsidR="001C74FE" w:rsidRDefault="00C368AD">
      <w:pPr>
        <w:spacing w:line="600" w:lineRule="exact"/>
        <w:ind w:firstLineChars="200" w:firstLine="600"/>
        <w:outlineLvl w:val="0"/>
        <w:rPr>
          <w:rFonts w:ascii="黑体" w:eastAsia="黑体" w:hAnsi="宋体" w:cs="黑体"/>
          <w:sz w:val="30"/>
          <w:lang w:bidi="ar"/>
        </w:rPr>
      </w:pPr>
      <w:r>
        <w:rPr>
          <w:rFonts w:ascii="黑体" w:eastAsia="黑体" w:hAnsi="宋体" w:cs="黑体" w:hint="eastAsia"/>
          <w:sz w:val="30"/>
          <w:lang w:bidi="ar"/>
        </w:rPr>
        <w:t>五、主要经验及做法、存在的问题及原因分析</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结合本项目的绩效分析情况，全面梳理项目中存在的问题，具体如下：</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一是绩效目标编制覆盖面不足。例如：本项目2021年度《项目支出绩效自评表》中产出指标下设二级指标的数量指标仅设置一个指标，指标设置覆盖面较少。本项目的指标范围设置不足，不能全面反映项目绩效情况，绩效目标编制时需加强对项目覆盖面的关注。</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二是相关人员预算绩效编制能力较低。由于缺乏专业性、系统性的预算绩效培训，相关人员不能全面地熟悉掌握绩效管理相关知识，无法深刻了解绩效管理的整体性，影响了预算绩效管理工作的开展。</w:t>
      </w:r>
    </w:p>
    <w:p w:rsidR="001C74FE" w:rsidRDefault="00C368AD">
      <w:pPr>
        <w:spacing w:line="600" w:lineRule="exact"/>
        <w:ind w:firstLineChars="200" w:firstLine="600"/>
        <w:outlineLvl w:val="0"/>
        <w:rPr>
          <w:rFonts w:ascii="黑体" w:eastAsia="黑体" w:hAnsi="宋体" w:cs="黑体"/>
          <w:sz w:val="30"/>
          <w:lang w:bidi="ar"/>
        </w:rPr>
      </w:pPr>
      <w:r>
        <w:rPr>
          <w:rFonts w:ascii="黑体" w:eastAsia="黑体" w:hAnsi="宋体" w:cs="黑体" w:hint="eastAsia"/>
          <w:sz w:val="30"/>
          <w:lang w:bidi="ar"/>
        </w:rPr>
        <w:t>六、有关建议</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 xml:space="preserve">针对本项目绩效目标编制情况存在的问题，提出工作建议和整改措施，具体如下： </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一是在后续的预算绩效管理工作中，将结合项目计划设置绩效</w:t>
      </w:r>
      <w:r>
        <w:rPr>
          <w:rFonts w:ascii="仿宋_GB2312" w:eastAsia="仿宋_GB2312" w:hAnsi="Times New Roman" w:cs="仿宋_GB2312" w:hint="eastAsia"/>
          <w:sz w:val="30"/>
          <w:lang w:bidi="ar"/>
        </w:rPr>
        <w:lastRenderedPageBreak/>
        <w:t>指标，提高绩效目标覆盖面。根据年度工作实际情况，科学规范编制预算支出绩效总目标，并将绩效总目标分解为若干个具体的绩效指标，从数量、质量、成本、时效和效益等方面尽可能量化，不能量化的，采用分级分档的形式定性表述，科学设定绩效目标。</w:t>
      </w:r>
    </w:p>
    <w:p w:rsidR="001C74FE" w:rsidRDefault="00C368AD">
      <w:pPr>
        <w:spacing w:line="600" w:lineRule="exact"/>
        <w:ind w:firstLineChars="200" w:firstLine="600"/>
        <w:rPr>
          <w:rFonts w:ascii="仿宋_GB2312" w:eastAsia="仿宋_GB2312" w:hAnsi="Times New Roman" w:cs="仿宋_GB2312"/>
          <w:sz w:val="30"/>
          <w:lang w:bidi="ar"/>
        </w:rPr>
      </w:pPr>
      <w:r>
        <w:rPr>
          <w:rFonts w:ascii="仿宋_GB2312" w:eastAsia="仿宋_GB2312" w:hAnsi="Times New Roman" w:cs="仿宋_GB2312" w:hint="eastAsia"/>
          <w:sz w:val="30"/>
          <w:lang w:bidi="ar"/>
        </w:rPr>
        <w:t>二是提升绩效自评工作质量。通过政策研究、会议研讨、团队协作等方式，提高绩效自评工作质量，加强业务和财务的融合。建立绩效评价结果与预算安排关联机制，确保资金使用效益最大化。构建预算绩效评价结果反馈机制，及时向相关部门反馈评价结果，立行立改。完善追责问效机制，实行项目责任人制度，加大结果通报和问责力度。</w:t>
      </w:r>
    </w:p>
    <w:p w:rsidR="001C74FE" w:rsidRDefault="001C74FE">
      <w:pPr>
        <w:spacing w:line="600" w:lineRule="exact"/>
        <w:ind w:firstLineChars="200" w:firstLine="600"/>
        <w:rPr>
          <w:rFonts w:ascii="仿宋_GB2312" w:eastAsia="仿宋_GB2312" w:hAnsi="Times New Roman" w:cs="仿宋_GB2312"/>
          <w:sz w:val="30"/>
          <w:lang w:bidi="ar"/>
        </w:rPr>
        <w:sectPr w:rsidR="001C74FE">
          <w:footerReference w:type="default" r:id="rId7"/>
          <w:pgSz w:w="11906" w:h="16838"/>
          <w:pgMar w:top="1928" w:right="1531" w:bottom="1702" w:left="1531" w:header="737" w:footer="851" w:gutter="0"/>
          <w:pgNumType w:start="1"/>
          <w:cols w:space="425"/>
          <w:docGrid w:type="lines" w:linePitch="408"/>
        </w:sectPr>
      </w:pPr>
    </w:p>
    <w:p w:rsidR="001C74FE" w:rsidRDefault="00C368AD">
      <w:pPr>
        <w:spacing w:line="600" w:lineRule="exact"/>
        <w:ind w:firstLineChars="200" w:firstLine="600"/>
        <w:rPr>
          <w:rFonts w:ascii="黑体" w:eastAsia="黑体" w:hAnsi="宋体" w:cs="黑体"/>
          <w:sz w:val="30"/>
          <w:lang w:bidi="ar"/>
        </w:rPr>
      </w:pPr>
      <w:r>
        <w:rPr>
          <w:rFonts w:ascii="黑体" w:eastAsia="黑体" w:hAnsi="宋体" w:cs="黑体" w:hint="eastAsia"/>
          <w:sz w:val="30"/>
          <w:lang w:bidi="ar"/>
        </w:rPr>
        <w:lastRenderedPageBreak/>
        <w:t>附件1：项目支出绩效评价指标体系框架</w:t>
      </w:r>
    </w:p>
    <w:tbl>
      <w:tblPr>
        <w:tblW w:w="15817" w:type="dxa"/>
        <w:jc w:val="center"/>
        <w:tblLayout w:type="fixed"/>
        <w:tblLook w:val="04A0" w:firstRow="1" w:lastRow="0" w:firstColumn="1" w:lastColumn="0" w:noHBand="0" w:noVBand="1"/>
      </w:tblPr>
      <w:tblGrid>
        <w:gridCol w:w="732"/>
        <w:gridCol w:w="744"/>
        <w:gridCol w:w="1447"/>
        <w:gridCol w:w="653"/>
        <w:gridCol w:w="2976"/>
        <w:gridCol w:w="6343"/>
        <w:gridCol w:w="907"/>
        <w:gridCol w:w="2015"/>
      </w:tblGrid>
      <w:tr w:rsidR="001C74FE">
        <w:trPr>
          <w:trHeight w:val="720"/>
          <w:tblHeader/>
          <w:jc w:val="center"/>
        </w:trPr>
        <w:tc>
          <w:tcPr>
            <w:tcW w:w="732" w:type="dxa"/>
            <w:tcBorders>
              <w:top w:val="single" w:sz="8" w:space="0" w:color="000000"/>
              <w:left w:val="single" w:sz="8" w:space="0" w:color="000000"/>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一级指标</w:t>
            </w:r>
          </w:p>
        </w:tc>
        <w:tc>
          <w:tcPr>
            <w:tcW w:w="744"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二级指标</w:t>
            </w:r>
          </w:p>
        </w:tc>
        <w:tc>
          <w:tcPr>
            <w:tcW w:w="1447"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三级指标</w:t>
            </w:r>
          </w:p>
        </w:tc>
        <w:tc>
          <w:tcPr>
            <w:tcW w:w="653"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分值</w:t>
            </w:r>
          </w:p>
        </w:tc>
        <w:tc>
          <w:tcPr>
            <w:tcW w:w="2976"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指标解释</w:t>
            </w:r>
          </w:p>
        </w:tc>
        <w:tc>
          <w:tcPr>
            <w:tcW w:w="6343"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指标说明</w:t>
            </w:r>
          </w:p>
        </w:tc>
        <w:tc>
          <w:tcPr>
            <w:tcW w:w="907"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得分</w:t>
            </w:r>
          </w:p>
        </w:tc>
        <w:tc>
          <w:tcPr>
            <w:tcW w:w="2015" w:type="dxa"/>
            <w:tcBorders>
              <w:top w:val="single" w:sz="8" w:space="0" w:color="000000"/>
              <w:left w:val="nil"/>
              <w:bottom w:val="single" w:sz="8" w:space="0" w:color="000000"/>
              <w:right w:val="single" w:sz="8" w:space="0" w:color="000000"/>
            </w:tcBorders>
            <w:shd w:val="clear" w:color="auto" w:fill="4472C4"/>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扣分点说明</w:t>
            </w:r>
          </w:p>
        </w:tc>
      </w:tr>
      <w:tr w:rsidR="001C74FE">
        <w:trPr>
          <w:trHeight w:val="327"/>
          <w:jc w:val="center"/>
        </w:trPr>
        <w:tc>
          <w:tcPr>
            <w:tcW w:w="732" w:type="dxa"/>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决策　</w:t>
            </w: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项目立项　</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立项依据充分性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5</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项目立项是否符合法律法规、相关政策、发展规划以及部门职责，用以反映和考核项目立项依据情况。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5</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①项目立项是否符合国家法律法规、国民经济发展规划和相关政策；</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②项目立项是否符合行业发展规划和政策要求；</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③项目立项是否与部门职责范围相符，属于部门履职所需；</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④项目是否属于公共财政支持范围，是否符合中央、地方事权支出责任划分原则；</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⑤项目是否与相关部门同类项目或部门内部相关项目重复。</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立项程序规范性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项目申请、设立过程是否符合相关要求，用以反映和考核项目立项的规范情况。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①项目是否按照规定的程序申请设立；</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②审批文件、材料是否符合相关要求；</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③事前是否已经过必要的可行性研究、专家论证、风险评估、绩效评估、集体决策。</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绩效目标　</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绩效目标合理性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项目所设定的绩效目标是否依据充分，是否符合客观</w:t>
            </w:r>
            <w:r>
              <w:rPr>
                <w:rFonts w:ascii="仿宋_GB2312" w:eastAsia="仿宋_GB2312" w:hAnsi="宋体" w:cs="仿宋_GB2312" w:hint="eastAsia"/>
                <w:color w:val="000000"/>
                <w:kern w:val="0"/>
                <w:sz w:val="24"/>
                <w:lang w:bidi="ar"/>
              </w:rPr>
              <w:lastRenderedPageBreak/>
              <w:t>实际，用以反映和考核项目绩效目标与项目实施的相符情况。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lastRenderedPageBreak/>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3.5</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因二级指标下的三级指标仅设置</w:t>
            </w:r>
            <w:r>
              <w:rPr>
                <w:rFonts w:ascii="仿宋_GB2312" w:eastAsia="仿宋_GB2312" w:hAnsi="宋体" w:cs="仿宋_GB2312" w:hint="eastAsia"/>
                <w:color w:val="000000"/>
                <w:kern w:val="0"/>
                <w:sz w:val="24"/>
                <w:lang w:bidi="ar"/>
              </w:rPr>
              <w:lastRenderedPageBreak/>
              <w:t>1个，指标设置覆盖不足，扣0.5分。</w:t>
            </w: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4" w:space="0" w:color="auto"/>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（如未设定预算绩效目标，也可考核其他工作任务目标）</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single" w:sz="4" w:space="0" w:color="auto"/>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①项目是否有绩效目标；</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②项目绩效目标与实际工作内容是否具有相关性；</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③项目预期产出效益和效果是否符合正常的业绩水平；</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④是否与预算确定的项目投资额或资金量相匹配。</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绩效目标</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绩效指标明确性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依据绩效目标设定的绩效指标是否清晰、细化、可衡量等，用以反映和考核项目绩效目标的明细化情况。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①是否将项目绩效目标细化分解为具体的绩效指标；</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②是否通过清晰、可衡量的指标值予以体现；</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③是否与项目目标任务数或计划数相对应。</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资金投入</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预算编制科学性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项目预算编制是否经过科学论证、有明确标准，资金额度与年度目标是否相适应，用以反映和考核项目预算编制的科学性、合理性情况。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①预算编制是否经过科学论证；</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②预算内容与项目内容是否匹配；</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③预算额度测算依据是否充分，是否按照标准编制；</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④预算确定的项目投资额或资金量是否与工作任务相匹配。</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资金分配合理性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项目预算资金分配是否有测算依据，与补助单位或地方实际是否相适应，用以反映和考核项目预算资金分配的科学性、合理性情况。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3</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①预算资金分配依据是否充分；</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②资金分配额度是否合理，与项目单位或地方实际是否相适应。</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lastRenderedPageBreak/>
              <w:t>过程</w:t>
            </w: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资金管理</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资金到位率</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实际到位资金与预算资金的比率，用以反映和考核资金落实情况对项目实施的总体保障程度。</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资金到位率=（实际到位资金/预算资金）×100%。</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实际到位资金：一定时期（本年度或项目期）内落实到具体项目的资金。</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预算资金：一定时期（本年度或项目期）内预算安排到具体项目的资金。</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预算执行率</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项目预算资金是否按照计划执行，用以反映或考核项目预算执行情况。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预算执行率=（实际支出资金/实际到位资金）×100%。</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实际支出资金：一定时期（本年度或项目期）内项目实际拨付的资金。</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资金使用合规性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项目资金使用是否符合相关的财务管理制度规定，用以反映和考核项目资金的规范运行情况。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①是否符合国家财经法规和财务管理制度以及有关专项资金管理办法的规定；</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②资金的拨付是否有完整的审批程序和手续；</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③是否符合项目预算批复或合同规定的用途；</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④是否存在截留、挤占、挪用、虚列支出等情况。</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组织实施</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管理制度健全性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2</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项目实施单位的财务和业务管理制度是否健全，用以反映和考核财务和业务管理制度对项目顺利实施的保障情况。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2</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①是否已制定或具有相应的财务和业务管理制度；</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②财务和业务管理制度是否合法、合规、完整。</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制度执行有效性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项目实施是否符合相关管理规定，用以反映和考核相关管理制度的有效执行情况。</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评价要点：</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4</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①是否遵守相关法律法规和相关管理规定；</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②项目调整及支出调整手续是否完备；</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③项目合同书、验收报告、技术鉴定等资料是否齐全并及时归档；</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④项目实施的人员条件、场地设备、信息支撑等是否落实到位。</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产出</w:t>
            </w: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产出数量</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实际完成率</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项目实施的实际产出数与计划产出数的比率，用以反映和考核项目产出数量目标的实现程度。</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实际完成率=（实际产出数/计划产出数）×100%。</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实际产出数：一定时期（本年度或项目期）内项目实际产出的产品或提供的服务数量。</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计划产出数：项目绩效目标确定的在一定时期（本年度或项目期）内计划产出的产品或提供的服务数量。</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产出质量</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质量达标率</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项目完成的质量达标产出数与实际产出数的比率，用以反映和考核项目产出质量目标的实现程度。</w:t>
            </w: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质量达标率=（质量达标产出数/实际产出数）×100%。</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1263"/>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产出时效</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完成及时性</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项目实际完成时间与计划完成时间的比较，用以反映</w:t>
            </w:r>
            <w:r>
              <w:rPr>
                <w:rFonts w:ascii="仿宋_GB2312" w:eastAsia="仿宋_GB2312" w:hAnsi="宋体" w:cs="仿宋_GB2312" w:hint="eastAsia"/>
                <w:color w:val="000000"/>
                <w:kern w:val="0"/>
                <w:sz w:val="24"/>
                <w:lang w:bidi="ar"/>
              </w:rPr>
              <w:lastRenderedPageBreak/>
              <w:t>和考核项目产出时效目标的实现程度。</w:t>
            </w:r>
          </w:p>
        </w:tc>
        <w:tc>
          <w:tcPr>
            <w:tcW w:w="6343" w:type="dxa"/>
            <w:tcBorders>
              <w:top w:val="nil"/>
              <w:left w:val="nil"/>
              <w:bottom w:val="single" w:sz="4" w:space="0" w:color="auto"/>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lastRenderedPageBreak/>
              <w:t>实际完成时间：项目实施单位完成该项目实际所耗用的时间。</w:t>
            </w: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single" w:sz="4" w:space="0" w:color="auto"/>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计划完成时间：按照项目实施计划或相关规定完成该项目所需的时间。</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产出成本</w:t>
            </w:r>
          </w:p>
        </w:tc>
        <w:tc>
          <w:tcPr>
            <w:tcW w:w="1447"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成本节约率</w:t>
            </w:r>
          </w:p>
        </w:tc>
        <w:tc>
          <w:tcPr>
            <w:tcW w:w="653"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976"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完成项目计划工作目标的实际节约成本与计划成本的比率，用以反映和考核项目的成本节约程度。</w:t>
            </w:r>
          </w:p>
        </w:tc>
        <w:tc>
          <w:tcPr>
            <w:tcW w:w="6343" w:type="dxa"/>
            <w:tcBorders>
              <w:top w:val="nil"/>
              <w:left w:val="nil"/>
              <w:bottom w:val="nil"/>
              <w:right w:val="single" w:sz="8" w:space="0" w:color="000000"/>
            </w:tcBorders>
            <w:shd w:val="clear" w:color="auto" w:fill="FFFFFF"/>
            <w:noWrap/>
            <w:vAlign w:val="center"/>
          </w:tcPr>
          <w:p w:rsidR="001C74FE" w:rsidRDefault="001C74FE">
            <w:pPr>
              <w:rPr>
                <w:rFonts w:ascii="仿宋_GB2312" w:eastAsia="仿宋_GB2312" w:hAnsi="宋体" w:cs="仿宋_GB2312"/>
                <w:color w:val="000000"/>
                <w:sz w:val="24"/>
              </w:rPr>
            </w:pPr>
          </w:p>
        </w:tc>
        <w:tc>
          <w:tcPr>
            <w:tcW w:w="907" w:type="dxa"/>
            <w:vMerge w:val="restart"/>
            <w:tcBorders>
              <w:top w:val="nil"/>
              <w:left w:val="nil"/>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015" w:type="dxa"/>
            <w:vMerge w:val="restart"/>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成本节约率=[（计划成本-实际成本）/计划成本]×100%。</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nil"/>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实际成本：项目实施单位如期、保质、保量完成既定工作目标实际所耗费的支出。</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653"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2976" w:type="dxa"/>
            <w:vMerge/>
            <w:tcBorders>
              <w:top w:val="nil"/>
              <w:left w:val="nil"/>
              <w:bottom w:val="single" w:sz="8" w:space="0" w:color="000000"/>
              <w:right w:val="single" w:sz="8" w:space="0" w:color="000000"/>
            </w:tcBorders>
            <w:shd w:val="clear" w:color="auto" w:fill="FFFFFF"/>
            <w:vAlign w:val="center"/>
          </w:tcPr>
          <w:p w:rsidR="001C74FE" w:rsidRDefault="001C74FE">
            <w:pPr>
              <w:rPr>
                <w:rFonts w:ascii="仿宋_GB2312" w:eastAsia="仿宋_GB2312" w:hAnsi="宋体" w:cs="仿宋_GB2312"/>
                <w:color w:val="000000"/>
                <w:sz w:val="24"/>
              </w:rPr>
            </w:pP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计划成本：项目实施单位为完成工作目标计划安排的支出，一般以项目预算为参考。</w:t>
            </w:r>
          </w:p>
        </w:tc>
        <w:tc>
          <w:tcPr>
            <w:tcW w:w="907" w:type="dxa"/>
            <w:vMerge/>
            <w:tcBorders>
              <w:top w:val="nil"/>
              <w:left w:val="nil"/>
              <w:bottom w:val="single" w:sz="8" w:space="0" w:color="000000"/>
              <w:right w:val="single" w:sz="8" w:space="0" w:color="000000"/>
            </w:tcBorders>
            <w:shd w:val="clear" w:color="auto" w:fill="auto"/>
            <w:vAlign w:val="center"/>
          </w:tcPr>
          <w:p w:rsidR="001C74FE" w:rsidRDefault="001C74FE">
            <w:pPr>
              <w:jc w:val="center"/>
              <w:rPr>
                <w:rFonts w:ascii="仿宋_GB2312" w:eastAsia="仿宋_GB2312" w:hAnsi="宋体" w:cs="仿宋_GB2312"/>
                <w:color w:val="000000"/>
                <w:sz w:val="24"/>
              </w:rPr>
            </w:pPr>
          </w:p>
        </w:tc>
        <w:tc>
          <w:tcPr>
            <w:tcW w:w="2015" w:type="dxa"/>
            <w:vMerge/>
            <w:tcBorders>
              <w:top w:val="nil"/>
              <w:left w:val="nil"/>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951"/>
          <w:jc w:val="center"/>
        </w:trPr>
        <w:tc>
          <w:tcPr>
            <w:tcW w:w="732" w:type="dxa"/>
            <w:vMerge w:val="restart"/>
            <w:tcBorders>
              <w:top w:val="nil"/>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效益　</w:t>
            </w:r>
          </w:p>
        </w:tc>
        <w:tc>
          <w:tcPr>
            <w:tcW w:w="744" w:type="dxa"/>
            <w:vMerge w:val="restart"/>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 xml:space="preserve">项目效益　</w:t>
            </w:r>
          </w:p>
        </w:tc>
        <w:tc>
          <w:tcPr>
            <w:tcW w:w="1447" w:type="dxa"/>
            <w:tcBorders>
              <w:top w:val="nil"/>
              <w:left w:val="nil"/>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实施效益</w:t>
            </w:r>
          </w:p>
        </w:tc>
        <w:tc>
          <w:tcPr>
            <w:tcW w:w="653" w:type="dxa"/>
            <w:tcBorders>
              <w:top w:val="nil"/>
              <w:left w:val="nil"/>
              <w:bottom w:val="nil"/>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976" w:type="dxa"/>
            <w:tcBorders>
              <w:top w:val="nil"/>
              <w:left w:val="nil"/>
              <w:bottom w:val="single" w:sz="8" w:space="0" w:color="000000"/>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项目实施所产生的效益。</w:t>
            </w: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项目实施所产生的社会效益、经济效益、生态效益、可持续影响等。可根据项目实际情况有选择地设置和细化。</w:t>
            </w:r>
          </w:p>
        </w:tc>
        <w:tc>
          <w:tcPr>
            <w:tcW w:w="907" w:type="dxa"/>
            <w:tcBorders>
              <w:top w:val="nil"/>
              <w:left w:val="nil"/>
              <w:bottom w:val="nil"/>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015" w:type="dxa"/>
            <w:tcBorders>
              <w:top w:val="nil"/>
              <w:left w:val="nil"/>
              <w:bottom w:val="nil"/>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639"/>
          <w:jc w:val="center"/>
        </w:trPr>
        <w:tc>
          <w:tcPr>
            <w:tcW w:w="732" w:type="dxa"/>
            <w:vMerge/>
            <w:tcBorders>
              <w:top w:val="nil"/>
              <w:left w:val="single" w:sz="8" w:space="0" w:color="000000"/>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744" w:type="dxa"/>
            <w:vMerge/>
            <w:tcBorders>
              <w:top w:val="nil"/>
              <w:left w:val="nil"/>
              <w:bottom w:val="single" w:sz="8" w:space="0" w:color="000000"/>
              <w:right w:val="single" w:sz="8" w:space="0" w:color="000000"/>
            </w:tcBorders>
            <w:shd w:val="clear" w:color="auto" w:fill="FFFFFF"/>
            <w:vAlign w:val="center"/>
          </w:tcPr>
          <w:p w:rsidR="001C74FE" w:rsidRDefault="001C74FE">
            <w:pPr>
              <w:jc w:val="center"/>
              <w:rPr>
                <w:rFonts w:ascii="仿宋_GB2312" w:eastAsia="仿宋_GB2312" w:hAnsi="宋体" w:cs="仿宋_GB2312"/>
                <w:color w:val="000000"/>
                <w:sz w:val="24"/>
              </w:rPr>
            </w:pPr>
          </w:p>
        </w:tc>
        <w:tc>
          <w:tcPr>
            <w:tcW w:w="1447" w:type="dxa"/>
            <w:tcBorders>
              <w:top w:val="nil"/>
              <w:left w:val="nil"/>
              <w:bottom w:val="nil"/>
              <w:right w:val="nil"/>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满意度</w:t>
            </w:r>
          </w:p>
        </w:tc>
        <w:tc>
          <w:tcPr>
            <w:tcW w:w="65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976" w:type="dxa"/>
            <w:tcBorders>
              <w:top w:val="nil"/>
              <w:left w:val="nil"/>
              <w:bottom w:val="nil"/>
              <w:right w:val="single" w:sz="8" w:space="0" w:color="000000"/>
            </w:tcBorders>
            <w:shd w:val="clear" w:color="auto" w:fill="FFFFFF"/>
            <w:vAlign w:val="center"/>
          </w:tcPr>
          <w:p w:rsidR="001C74FE" w:rsidRDefault="00C368AD">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社会公众或服务对象对项目实施效果的满意程度。</w:t>
            </w:r>
          </w:p>
        </w:tc>
        <w:tc>
          <w:tcPr>
            <w:tcW w:w="6343" w:type="dxa"/>
            <w:tcBorders>
              <w:top w:val="nil"/>
              <w:left w:val="nil"/>
              <w:bottom w:val="single" w:sz="8" w:space="0" w:color="000000"/>
              <w:right w:val="single" w:sz="8" w:space="0" w:color="000000"/>
            </w:tcBorders>
            <w:shd w:val="clear" w:color="auto" w:fill="FFFFFF"/>
            <w:vAlign w:val="center"/>
          </w:tcPr>
          <w:p w:rsidR="001C74FE" w:rsidRDefault="00C368AD">
            <w:pPr>
              <w:widowControl/>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社会公众或服务对象是指因该项目实施而受到影响的部门（单位）、群体或个人。一般采取社会调查的方式。</w:t>
            </w:r>
          </w:p>
        </w:tc>
        <w:tc>
          <w:tcPr>
            <w:tcW w:w="9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C74FE" w:rsidRDefault="00C368AD">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10</w:t>
            </w:r>
          </w:p>
        </w:tc>
        <w:tc>
          <w:tcPr>
            <w:tcW w:w="20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C74FE" w:rsidRDefault="001C74FE">
            <w:pPr>
              <w:jc w:val="left"/>
              <w:rPr>
                <w:rFonts w:ascii="仿宋_GB2312" w:eastAsia="仿宋_GB2312" w:hAnsi="宋体" w:cs="仿宋_GB2312"/>
                <w:color w:val="000000"/>
                <w:sz w:val="24"/>
              </w:rPr>
            </w:pPr>
          </w:p>
        </w:tc>
      </w:tr>
      <w:tr w:rsidR="001C74FE">
        <w:trPr>
          <w:trHeight w:val="327"/>
          <w:jc w:val="center"/>
        </w:trPr>
        <w:tc>
          <w:tcPr>
            <w:tcW w:w="2923"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总计</w:t>
            </w:r>
          </w:p>
        </w:tc>
        <w:tc>
          <w:tcPr>
            <w:tcW w:w="653" w:type="dxa"/>
            <w:tcBorders>
              <w:top w:val="nil"/>
              <w:left w:val="nil"/>
              <w:bottom w:val="single" w:sz="8" w:space="0" w:color="000000"/>
              <w:right w:val="nil"/>
            </w:tcBorders>
            <w:shd w:val="clear" w:color="auto" w:fill="FFFFFF"/>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100</w:t>
            </w:r>
          </w:p>
        </w:tc>
        <w:tc>
          <w:tcPr>
            <w:tcW w:w="29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left"/>
              <w:rPr>
                <w:rFonts w:ascii="仿宋_GB2312" w:eastAsia="仿宋_GB2312" w:hAnsi="宋体" w:cs="仿宋_GB2312"/>
                <w:b/>
                <w:bCs/>
                <w:color w:val="000000"/>
                <w:sz w:val="24"/>
              </w:rPr>
            </w:pPr>
          </w:p>
        </w:tc>
        <w:tc>
          <w:tcPr>
            <w:tcW w:w="6343" w:type="dxa"/>
            <w:tcBorders>
              <w:top w:val="nil"/>
              <w:left w:val="nil"/>
              <w:bottom w:val="single" w:sz="8" w:space="0" w:color="000000"/>
              <w:right w:val="nil"/>
            </w:tcBorders>
            <w:shd w:val="clear" w:color="auto" w:fill="FFFFFF"/>
            <w:vAlign w:val="center"/>
          </w:tcPr>
          <w:p w:rsidR="001C74FE" w:rsidRDefault="001C74FE">
            <w:pPr>
              <w:rPr>
                <w:rFonts w:ascii="仿宋_GB2312" w:eastAsia="仿宋_GB2312" w:hAnsi="宋体" w:cs="仿宋_GB2312"/>
                <w:b/>
                <w:bCs/>
                <w:color w:val="000000"/>
                <w:sz w:val="24"/>
              </w:rPr>
            </w:pPr>
          </w:p>
        </w:tc>
        <w:tc>
          <w:tcPr>
            <w:tcW w:w="9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C368AD">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lang w:bidi="ar"/>
              </w:rPr>
              <w:t>99.5</w:t>
            </w:r>
          </w:p>
        </w:tc>
        <w:tc>
          <w:tcPr>
            <w:tcW w:w="20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C74FE" w:rsidRDefault="001C74FE">
            <w:pPr>
              <w:jc w:val="left"/>
              <w:rPr>
                <w:rFonts w:ascii="仿宋_GB2312" w:eastAsia="仿宋_GB2312" w:hAnsi="宋体" w:cs="仿宋_GB2312"/>
                <w:b/>
                <w:bCs/>
                <w:color w:val="000000"/>
                <w:sz w:val="24"/>
              </w:rPr>
            </w:pPr>
          </w:p>
        </w:tc>
      </w:tr>
    </w:tbl>
    <w:p w:rsidR="001C74FE" w:rsidRDefault="001C74FE">
      <w:pPr>
        <w:spacing w:line="600" w:lineRule="exact"/>
        <w:ind w:firstLineChars="200" w:firstLine="600"/>
        <w:rPr>
          <w:rFonts w:ascii="黑体" w:eastAsia="黑体" w:hAnsi="宋体" w:cs="黑体"/>
          <w:sz w:val="30"/>
          <w:highlight w:val="green"/>
          <w:lang w:bidi="ar"/>
        </w:rPr>
      </w:pPr>
    </w:p>
    <w:sectPr w:rsidR="001C74FE">
      <w:pgSz w:w="16838" w:h="11906" w:orient="landscape"/>
      <w:pgMar w:top="1531" w:right="1928" w:bottom="1531" w:left="1702" w:header="737" w:footer="851"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6A6" w:rsidRDefault="001816A6">
      <w:r>
        <w:separator/>
      </w:r>
    </w:p>
  </w:endnote>
  <w:endnote w:type="continuationSeparator" w:id="0">
    <w:p w:rsidR="001816A6" w:rsidRDefault="0018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4FE" w:rsidRDefault="00C368A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74FE" w:rsidRDefault="00C368AD">
                          <w:pPr>
                            <w:pStyle w:val="a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C74FE" w:rsidRDefault="00C368AD">
                    <w:pPr>
                      <w:pStyle w:val="a4"/>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6A6" w:rsidRDefault="001816A6">
      <w:r>
        <w:separator/>
      </w:r>
    </w:p>
  </w:footnote>
  <w:footnote w:type="continuationSeparator" w:id="0">
    <w:p w:rsidR="001816A6" w:rsidRDefault="00181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JmMWZkMDE1N2VjMWY2ZWJhNWVmMDcxZGNmYzJhZDQifQ=="/>
  </w:docVars>
  <w:rsids>
    <w:rsidRoot w:val="00103182"/>
    <w:rsid w:val="000B0E82"/>
    <w:rsid w:val="00103182"/>
    <w:rsid w:val="001816A6"/>
    <w:rsid w:val="001C74FE"/>
    <w:rsid w:val="00235564"/>
    <w:rsid w:val="002B1D9C"/>
    <w:rsid w:val="0034739E"/>
    <w:rsid w:val="00383D7B"/>
    <w:rsid w:val="007218BB"/>
    <w:rsid w:val="007D147B"/>
    <w:rsid w:val="008908FF"/>
    <w:rsid w:val="00A31E2A"/>
    <w:rsid w:val="00C368AD"/>
    <w:rsid w:val="00ED3EA7"/>
    <w:rsid w:val="00F01A8A"/>
    <w:rsid w:val="00F852A2"/>
    <w:rsid w:val="038401B5"/>
    <w:rsid w:val="16F93855"/>
    <w:rsid w:val="18F33E44"/>
    <w:rsid w:val="1F9B67EF"/>
    <w:rsid w:val="214045B0"/>
    <w:rsid w:val="26514785"/>
    <w:rsid w:val="2A4C4C70"/>
    <w:rsid w:val="2C0226EA"/>
    <w:rsid w:val="2F362165"/>
    <w:rsid w:val="3FE92722"/>
    <w:rsid w:val="40364DC4"/>
    <w:rsid w:val="47DC6B73"/>
    <w:rsid w:val="49A44531"/>
    <w:rsid w:val="514D279D"/>
    <w:rsid w:val="64FD4BAB"/>
    <w:rsid w:val="66262E7C"/>
    <w:rsid w:val="6F124F5C"/>
    <w:rsid w:val="786B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3B929"/>
  <w15:docId w15:val="{6FFD5720-0021-4203-9856-D92978A7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仿宋" w:eastAsia="仿宋" w:hAnsi="仿宋" w:cs="宋体"/>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qFormat/>
    <w:pPr>
      <w:widowControl w:val="0"/>
      <w:spacing w:beforeAutospacing="1" w:afterAutospacing="1"/>
    </w:pPr>
    <w:rPr>
      <w:rFonts w:eastAsia="仿宋_GB2312"/>
      <w:sz w:val="24"/>
      <w:szCs w:val="24"/>
    </w:rPr>
  </w:style>
  <w:style w:type="paragraph" w:customStyle="1" w:styleId="Heading3">
    <w:name w:val="Heading #3"/>
    <w:qFormat/>
    <w:pPr>
      <w:widowControl w:val="0"/>
      <w:shd w:val="clear" w:color="auto" w:fill="FFFFFF"/>
      <w:spacing w:before="100" w:beforeAutospacing="1" w:after="3420" w:line="0" w:lineRule="atLeast"/>
      <w:outlineLvl w:val="2"/>
    </w:pPr>
    <w:rPr>
      <w:rFonts w:ascii="宋体" w:eastAsia="仿宋_GB2312" w:hAnsi="宋体" w:cs="宋体"/>
      <w:color w:val="000000"/>
      <w:sz w:val="44"/>
      <w:szCs w:val="44"/>
    </w:rPr>
  </w:style>
  <w:style w:type="paragraph" w:customStyle="1" w:styleId="Bodytext2">
    <w:name w:val="Body text (2)"/>
    <w:qFormat/>
    <w:pPr>
      <w:widowControl w:val="0"/>
      <w:shd w:val="clear" w:color="auto" w:fill="FFFFFF"/>
      <w:spacing w:before="840" w:after="240" w:line="0" w:lineRule="atLeast"/>
    </w:pPr>
    <w:rPr>
      <w:rFonts w:ascii="宋体" w:eastAsiaTheme="minorEastAsia" w:hAnsi="宋体" w:cs="宋体"/>
      <w:spacing w:val="20"/>
      <w:kern w:val="2"/>
      <w:sz w:val="30"/>
      <w:szCs w:val="30"/>
    </w:rPr>
  </w:style>
  <w:style w:type="paragraph" w:customStyle="1" w:styleId="a7">
    <w:name w:val="闻政封面项目信息"/>
    <w:next w:val="a8"/>
    <w:qFormat/>
    <w:pPr>
      <w:widowControl w:val="0"/>
      <w:spacing w:before="120"/>
      <w:ind w:leftChars="800" w:left="800"/>
      <w:jc w:val="both"/>
    </w:pPr>
    <w:rPr>
      <w:rFonts w:eastAsia="黑体"/>
      <w:kern w:val="2"/>
      <w:sz w:val="28"/>
      <w:szCs w:val="28"/>
      <w:lang w:val="zh-CN"/>
    </w:rPr>
  </w:style>
  <w:style w:type="paragraph" w:customStyle="1" w:styleId="a8">
    <w:name w:val="闻政封面完成时间"/>
    <w:qFormat/>
    <w:pPr>
      <w:widowControl w:val="0"/>
      <w:spacing w:before="120"/>
      <w:jc w:val="center"/>
    </w:pPr>
    <w:rPr>
      <w:rFonts w:eastAsia="黑体"/>
      <w:b/>
      <w:kern w:val="2"/>
      <w:sz w:val="28"/>
      <w:szCs w:val="28"/>
      <w:lang w:val="zh-CN"/>
    </w:rPr>
  </w:style>
  <w:style w:type="character" w:customStyle="1" w:styleId="10">
    <w:name w:val="标题 1 字符"/>
    <w:basedOn w:val="a1"/>
    <w:link w:val="1"/>
    <w:qFormat/>
    <w:rPr>
      <w:b/>
      <w:bCs/>
      <w:kern w:val="44"/>
      <w:sz w:val="44"/>
      <w:szCs w:val="44"/>
    </w:rPr>
  </w:style>
  <w:style w:type="character" w:customStyle="1" w:styleId="font21">
    <w:name w:val="font2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Calibri" w:hAnsi="Calibri" w:cs="Calibri"/>
      <w:color w:val="FF0000"/>
      <w:sz w:val="22"/>
      <w:szCs w:val="22"/>
      <w:u w:val="none"/>
    </w:rPr>
  </w:style>
  <w:style w:type="character" w:customStyle="1" w:styleId="font61">
    <w:name w:val="font61"/>
    <w:basedOn w:val="a1"/>
    <w:rPr>
      <w:rFonts w:ascii="宋体" w:eastAsia="宋体" w:hAnsi="宋体" w:cs="宋体" w:hint="eastAsia"/>
      <w:color w:val="000000"/>
      <w:sz w:val="22"/>
      <w:szCs w:val="22"/>
      <w:u w:val="none"/>
    </w:rPr>
  </w:style>
  <w:style w:type="character" w:customStyle="1" w:styleId="font01">
    <w:name w:val="font01"/>
    <w:basedOn w:val="a1"/>
    <w:rPr>
      <w:rFonts w:ascii="微软雅黑" w:eastAsia="微软雅黑" w:hAnsi="微软雅黑" w:cs="微软雅黑"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killy</dc:creator>
  <cp:lastModifiedBy>张广宁</cp:lastModifiedBy>
  <cp:revision>11</cp:revision>
  <dcterms:created xsi:type="dcterms:W3CDTF">2022-07-13T02:08:00Z</dcterms:created>
  <dcterms:modified xsi:type="dcterms:W3CDTF">2022-10-28T09:29:00Z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91E766C9A96846E7BB32E72DF6601C91</vt:lpwstr>
  </property>
</Properties>
</file>