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方正小标宋简体" w:cs="Times New Roman"/>
          <w:sz w:val="44"/>
          <w:szCs w:val="44"/>
          <w:lang w:val="zh-CN"/>
        </w:rPr>
      </w:pPr>
    </w:p>
    <w:p>
      <w:pPr>
        <w:spacing w:line="360" w:lineRule="auto"/>
        <w:jc w:val="center"/>
        <w:rPr>
          <w:rFonts w:ascii="Times New Roman" w:hAnsi="Times New Roman" w:eastAsia="方正小标宋简体" w:cs="Times New Roman"/>
          <w:sz w:val="44"/>
          <w:szCs w:val="44"/>
          <w:lang w:val="zh-CN"/>
        </w:rPr>
      </w:pPr>
    </w:p>
    <w:p>
      <w:pPr>
        <w:spacing w:line="360" w:lineRule="auto"/>
        <w:jc w:val="center"/>
        <w:rPr>
          <w:rFonts w:ascii="Times New Roman" w:hAnsi="Times New Roman" w:eastAsia="方正小标宋简体" w:cs="Times New Roman"/>
          <w:sz w:val="44"/>
          <w:szCs w:val="44"/>
          <w:lang w:val="zh-CN"/>
        </w:rPr>
      </w:pPr>
    </w:p>
    <w:p>
      <w:pPr>
        <w:spacing w:line="360" w:lineRule="auto"/>
        <w:jc w:val="center"/>
        <w:rPr>
          <w:rFonts w:ascii="方正小标宋_GBK" w:hAnsi="Times New Roman" w:eastAsia="方正小标宋_GBK" w:cs="Times New Roman"/>
          <w:sz w:val="44"/>
          <w:szCs w:val="44"/>
          <w:lang w:val="zh-CN"/>
        </w:rPr>
      </w:pPr>
      <w:r>
        <w:rPr>
          <w:rFonts w:hint="eastAsia" w:ascii="方正小标宋_GBK" w:hAnsi="Times New Roman" w:eastAsia="方正小标宋_GBK" w:cs="Times New Roman"/>
          <w:sz w:val="44"/>
          <w:szCs w:val="44"/>
          <w:lang w:val="zh-CN"/>
        </w:rPr>
        <w:t>202</w:t>
      </w:r>
      <w:r>
        <w:rPr>
          <w:rFonts w:hint="eastAsia" w:ascii="方正小标宋_GBK" w:hAnsi="Times New Roman" w:eastAsia="方正小标宋_GBK" w:cs="Times New Roman"/>
          <w:sz w:val="44"/>
          <w:szCs w:val="44"/>
        </w:rPr>
        <w:t>1</w:t>
      </w:r>
      <w:r>
        <w:rPr>
          <w:rFonts w:hint="eastAsia" w:ascii="方正小标宋_GBK" w:hAnsi="Times New Roman" w:eastAsia="方正小标宋_GBK" w:cs="Times New Roman"/>
          <w:sz w:val="44"/>
          <w:szCs w:val="44"/>
          <w:lang w:val="zh-CN"/>
        </w:rPr>
        <w:t>年度部门评价报告</w:t>
      </w:r>
    </w:p>
    <w:p>
      <w:pPr>
        <w:spacing w:line="360" w:lineRule="auto"/>
      </w:pPr>
      <w:bookmarkStart w:id="48" w:name="_GoBack"/>
      <w:bookmarkEnd w:id="48"/>
    </w:p>
    <w:p/>
    <w:p/>
    <w:p/>
    <w:p/>
    <w:p/>
    <w:p/>
    <w:p/>
    <w:p/>
    <w:p/>
    <w:p>
      <w:pPr>
        <w:ind w:firstLine="1244" w:firstLineChars="400"/>
        <w:rPr>
          <w:rFonts w:ascii="仿宋_GB2312"/>
        </w:rPr>
      </w:pPr>
      <w:r>
        <w:rPr>
          <w:rFonts w:hint="eastAsia" w:ascii="仿宋_GB2312"/>
        </w:rPr>
        <w:t>项目名称：“</w:t>
      </w:r>
      <w:r>
        <w:rPr>
          <w:rFonts w:hint="eastAsia" w:ascii="仿宋_GB2312"/>
          <w:lang w:val="en-US" w:eastAsia="zh-CN"/>
        </w:rPr>
        <w:t>幼儿园发展经费</w:t>
      </w:r>
      <w:r>
        <w:rPr>
          <w:rFonts w:hint="eastAsia" w:ascii="仿宋_GB2312"/>
        </w:rPr>
        <w:t>”项目</w:t>
      </w:r>
    </w:p>
    <w:p>
      <w:pPr>
        <w:ind w:firstLine="1244" w:firstLineChars="400"/>
        <w:rPr>
          <w:rFonts w:ascii="仿宋_GB2312"/>
        </w:rPr>
      </w:pPr>
      <w:r>
        <w:rPr>
          <w:rFonts w:hint="eastAsia" w:ascii="仿宋_GB2312"/>
        </w:rPr>
        <w:t>评价单位：深圳市大鹏新区</w:t>
      </w:r>
      <w:r>
        <w:rPr>
          <w:rFonts w:hint="eastAsia" w:ascii="仿宋_GB2312"/>
          <w:lang w:val="en-US" w:eastAsia="zh-CN"/>
        </w:rPr>
        <w:t>教育和卫生健康</w:t>
      </w:r>
      <w:r>
        <w:rPr>
          <w:rFonts w:hint="eastAsia" w:ascii="仿宋_GB2312"/>
        </w:rPr>
        <w:t>局</w:t>
      </w:r>
    </w:p>
    <w:p>
      <w:pPr>
        <w:ind w:firstLine="1244" w:firstLineChars="400"/>
        <w:rPr>
          <w:rFonts w:ascii="仿宋_GB2312"/>
        </w:rPr>
      </w:pPr>
    </w:p>
    <w:p>
      <w:pPr>
        <w:ind w:firstLine="1244" w:firstLineChars="400"/>
        <w:rPr>
          <w:rFonts w:ascii="仿宋_GB2312"/>
        </w:rPr>
      </w:pPr>
      <w:r>
        <w:rPr>
          <w:rFonts w:hint="eastAsia" w:ascii="仿宋_GB2312"/>
        </w:rPr>
        <w:t xml:space="preserve"> </w:t>
      </w:r>
    </w:p>
    <w:p>
      <w:pPr>
        <w:rPr>
          <w:rFonts w:hint="eastAsia" w:ascii="仿宋_GB2312"/>
        </w:rPr>
        <w:sectPr>
          <w:footerReference r:id="rId3" w:type="default"/>
          <w:footerReference r:id="rId4" w:type="even"/>
          <w:pgSz w:w="11906" w:h="16838"/>
          <w:pgMar w:top="2098" w:right="1474" w:bottom="1985" w:left="1588" w:header="851" w:footer="1418" w:gutter="0"/>
          <w:pgNumType w:fmt="upperRoman" w:start="1"/>
          <w:cols w:space="425" w:num="1"/>
          <w:docGrid w:type="linesAndChars" w:linePitch="579" w:charSpace="-2048"/>
        </w:sectPr>
      </w:pPr>
    </w:p>
    <w:p>
      <w:pPr>
        <w:spacing w:line="560" w:lineRule="exact"/>
        <w:ind w:firstLine="622" w:firstLineChars="200"/>
        <w:rPr>
          <w:rFonts w:ascii="黑体" w:eastAsia="黑体" w:cs="黑体"/>
          <w:szCs w:val="32"/>
        </w:rPr>
      </w:pPr>
      <w:r>
        <w:rPr>
          <w:rFonts w:hint="eastAsia" w:ascii="仿宋_GB2312" w:hAnsi="Times New Roman" w:cs="Times New Roman"/>
          <w:szCs w:val="32"/>
        </w:rPr>
        <w:t>为贯彻落实《中共中央国务院关于全面实施预算绩效管理的意见》（中发〔</w:t>
      </w:r>
      <w:r>
        <w:rPr>
          <w:rFonts w:ascii="仿宋_GB2312" w:hAnsi="Times New Roman" w:cs="Times New Roman"/>
          <w:szCs w:val="32"/>
        </w:rPr>
        <w:t>2018</w:t>
      </w:r>
      <w:r>
        <w:rPr>
          <w:rFonts w:hint="eastAsia" w:ascii="仿宋_GB2312" w:hAnsi="Times New Roman" w:cs="Times New Roman"/>
          <w:szCs w:val="32"/>
        </w:rPr>
        <w:t>〕</w:t>
      </w:r>
      <w:r>
        <w:rPr>
          <w:rFonts w:ascii="仿宋_GB2312" w:hAnsi="Times New Roman" w:cs="Times New Roman"/>
          <w:szCs w:val="32"/>
        </w:rPr>
        <w:t>34</w:t>
      </w:r>
      <w:r>
        <w:rPr>
          <w:rFonts w:hint="eastAsia" w:ascii="仿宋_GB2312" w:hAnsi="Times New Roman" w:cs="Times New Roman"/>
          <w:szCs w:val="32"/>
        </w:rPr>
        <w:t>号）精神，强化预算绩效管理主体责任和绩效意识，根据财政部印发的《项目支出绩效评价管理办法》（财预〔</w:t>
      </w:r>
      <w:r>
        <w:rPr>
          <w:rFonts w:ascii="仿宋_GB2312" w:hAnsi="Times New Roman" w:cs="Times New Roman"/>
          <w:szCs w:val="32"/>
        </w:rPr>
        <w:t>2020</w:t>
      </w:r>
      <w:r>
        <w:rPr>
          <w:rFonts w:hint="eastAsia" w:ascii="仿宋_GB2312" w:hAnsi="Times New Roman" w:cs="Times New Roman"/>
          <w:szCs w:val="32"/>
        </w:rPr>
        <w:t>〕</w:t>
      </w:r>
      <w:r>
        <w:rPr>
          <w:rFonts w:ascii="仿宋_GB2312" w:hAnsi="Times New Roman" w:cs="Times New Roman"/>
          <w:szCs w:val="32"/>
        </w:rPr>
        <w:t>10</w:t>
      </w:r>
      <w:r>
        <w:rPr>
          <w:rFonts w:hint="eastAsia" w:ascii="仿宋_GB2312" w:hAnsi="Times New Roman" w:cs="Times New Roman"/>
          <w:szCs w:val="32"/>
        </w:rPr>
        <w:t>号）和</w:t>
      </w:r>
      <w:bookmarkStart w:id="0" w:name="OLE_LINK8"/>
      <w:r>
        <w:rPr>
          <w:rFonts w:hint="eastAsia" w:ascii="仿宋_GB2312" w:hAnsi="Times New Roman" w:cs="Times New Roman"/>
          <w:szCs w:val="32"/>
        </w:rPr>
        <w:t>《深圳市大鹏新区发展和财政局关于开展2021年绩效评价工作的通知》</w:t>
      </w:r>
      <w:bookmarkEnd w:id="0"/>
      <w:r>
        <w:rPr>
          <w:rFonts w:hint="eastAsia" w:ascii="仿宋_GB2312"/>
          <w:szCs w:val="32"/>
        </w:rPr>
        <w:t>关于部门评价工作的相关要求</w:t>
      </w:r>
      <w:r>
        <w:rPr>
          <w:rFonts w:hint="eastAsia" w:ascii="仿宋_GB2312" w:hAnsi="Times New Roman" w:cs="Times New Roman"/>
          <w:szCs w:val="32"/>
        </w:rPr>
        <w:t>，深圳市大鹏新区</w:t>
      </w:r>
      <w:r>
        <w:rPr>
          <w:rFonts w:hint="eastAsia" w:ascii="仿宋_GB2312" w:hAnsi="Times New Roman" w:cs="Times New Roman"/>
          <w:szCs w:val="32"/>
          <w:lang w:val="en-US" w:eastAsia="zh-CN"/>
        </w:rPr>
        <w:t>教育和卫生健康</w:t>
      </w:r>
      <w:r>
        <w:rPr>
          <w:rFonts w:hint="eastAsia" w:ascii="仿宋_GB2312" w:hAnsi="Times New Roman" w:cs="Times New Roman"/>
          <w:szCs w:val="32"/>
        </w:rPr>
        <w:t>局</w:t>
      </w:r>
      <w:r>
        <w:rPr>
          <w:rFonts w:hint="eastAsia" w:ascii="仿宋_GB2312"/>
          <w:szCs w:val="32"/>
        </w:rPr>
        <w:t>组织绩效评价小组对</w:t>
      </w:r>
      <w:r>
        <w:rPr>
          <w:rFonts w:hint="eastAsia" w:ascii="仿宋_GB2312"/>
          <w:szCs w:val="32"/>
          <w:lang w:val="en-US" w:eastAsia="zh-CN"/>
        </w:rPr>
        <w:t>2021年</w:t>
      </w:r>
      <w:r>
        <w:rPr>
          <w:rFonts w:hint="eastAsia" w:ascii="仿宋_GB2312"/>
          <w:szCs w:val="32"/>
        </w:rPr>
        <w:t>“</w:t>
      </w:r>
      <w:r>
        <w:rPr>
          <w:rFonts w:hint="eastAsia" w:ascii="仿宋_GB2312"/>
          <w:szCs w:val="32"/>
          <w:lang w:val="en-US" w:eastAsia="zh-CN"/>
        </w:rPr>
        <w:t>幼儿园发展经费</w:t>
      </w:r>
      <w:r>
        <w:rPr>
          <w:rFonts w:hint="eastAsia" w:ascii="仿宋_GB2312"/>
          <w:szCs w:val="32"/>
        </w:rPr>
        <w:t>”</w:t>
      </w:r>
      <w:r>
        <w:rPr>
          <w:rFonts w:hint="eastAsia" w:ascii="仿宋_GB2312" w:hAnsi="Times New Roman" w:cs="Times New Roman"/>
          <w:szCs w:val="32"/>
        </w:rPr>
        <w:t>项目开展部门评价工作，综合评价“</w:t>
      </w:r>
      <w:r>
        <w:rPr>
          <w:rFonts w:hint="eastAsia" w:ascii="仿宋_GB2312" w:hAnsi="Times New Roman" w:cs="Times New Roman"/>
          <w:szCs w:val="32"/>
          <w:lang w:val="en-US" w:eastAsia="zh-CN"/>
        </w:rPr>
        <w:t>幼儿园发展经费</w:t>
      </w:r>
      <w:r>
        <w:rPr>
          <w:rFonts w:hint="eastAsia" w:ascii="仿宋_GB2312" w:hAnsi="Times New Roman" w:cs="Times New Roman"/>
          <w:szCs w:val="32"/>
        </w:rPr>
        <w:t>”项目的组织实施、监督管理及产出效果，提高财政资金使用效益。</w:t>
      </w:r>
      <w:r>
        <w:rPr>
          <w:rFonts w:hint="eastAsia" w:ascii="仿宋_GB2312"/>
          <w:szCs w:val="32"/>
        </w:rPr>
        <w:t>具体情况如下：</w:t>
      </w:r>
    </w:p>
    <w:p>
      <w:pPr>
        <w:ind w:firstLine="622" w:firstLineChars="200"/>
        <w:outlineLvl w:val="0"/>
        <w:rPr>
          <w:rFonts w:ascii="黑体" w:hAnsi="黑体" w:eastAsia="黑体"/>
        </w:rPr>
      </w:pPr>
      <w:bookmarkStart w:id="1" w:name="_Toc3812"/>
      <w:bookmarkStart w:id="2" w:name="_Toc32394"/>
      <w:r>
        <w:rPr>
          <w:rFonts w:hint="eastAsia" w:ascii="黑体" w:hAnsi="黑体" w:eastAsia="黑体"/>
        </w:rPr>
        <w:t>一、基本情况</w:t>
      </w:r>
      <w:bookmarkEnd w:id="1"/>
      <w:bookmarkEnd w:id="2"/>
    </w:p>
    <w:p>
      <w:pPr>
        <w:ind w:firstLine="622" w:firstLineChars="200"/>
        <w:outlineLvl w:val="1"/>
        <w:rPr>
          <w:rFonts w:ascii="仿宋_GB2312"/>
          <w:b w:val="0"/>
          <w:bCs w:val="0"/>
        </w:rPr>
      </w:pPr>
      <w:bookmarkStart w:id="3" w:name="_Toc2499"/>
      <w:bookmarkStart w:id="4" w:name="_Toc8637"/>
      <w:r>
        <w:rPr>
          <w:rFonts w:hint="eastAsia" w:ascii="楷体_GB2312" w:eastAsia="楷体_GB2312"/>
          <w:b w:val="0"/>
          <w:bCs w:val="0"/>
        </w:rPr>
        <w:t>（一）项目背景</w:t>
      </w:r>
      <w:bookmarkEnd w:id="3"/>
      <w:bookmarkEnd w:id="4"/>
    </w:p>
    <w:p>
      <w:pPr>
        <w:ind w:firstLine="622" w:firstLineChars="200"/>
        <w:rPr>
          <w:rFonts w:hint="eastAsia" w:ascii="仿宋_GB2312"/>
        </w:rPr>
      </w:pPr>
      <w:r>
        <w:rPr>
          <w:rFonts w:hint="eastAsia" w:ascii="仿宋_GB2312"/>
        </w:rPr>
        <w:t>自2012年以来，我市按照国家和省的总体部署，连续实施两期学前教育发展行动计划，大力推进学前教育公益普惠发展，初步构建起以普惠性幼儿园为主体，广覆盖、保基本的学前教育公共服务体系。但学前教育仍然是教育体系中的薄弱环节，是民生领域的短板，存在一些亟待解决的问题，如学位供给矛盾突出，财政投入规模较小，办学结构不合理，民办幼儿园逐利倾向较突出，保教队伍待遇、整体素质仍然偏低，行业吸引力不高，优质发展乏力等。</w:t>
      </w:r>
    </w:p>
    <w:p>
      <w:pPr>
        <w:ind w:firstLine="622" w:firstLineChars="200"/>
        <w:rPr>
          <w:rFonts w:hint="eastAsia" w:ascii="仿宋_GB2312"/>
        </w:rPr>
      </w:pPr>
      <w:r>
        <w:rPr>
          <w:rFonts w:hint="eastAsia" w:ascii="仿宋_GB2312"/>
        </w:rPr>
        <w:t>办好学前教育</w:t>
      </w:r>
      <w:r>
        <w:rPr>
          <w:rFonts w:hint="default" w:ascii="仿宋_GB2312"/>
        </w:rPr>
        <w:t>，</w:t>
      </w:r>
      <w:r>
        <w:rPr>
          <w:rFonts w:hint="eastAsia" w:ascii="仿宋_GB2312"/>
        </w:rPr>
        <w:t>实现幼有所育，是党的十九大作出的重大决策部署，是建设中国特色社会主义先行示范区和现代化强国城市范例的必然选择，是推进教育现代化、促进教育公平、保障和改善民生的迫切需求。要全面贯彻党的教育方针，认真落实立德树人根本任务，把学前教育放在更加重要的位置，牢牢把握学前教育公益普惠发展方向，切实履职尽责，持续有力推进学前教育改革发展，努力满足人民群众对普惠优质学前教育的期盼。</w:t>
      </w:r>
    </w:p>
    <w:p>
      <w:pPr>
        <w:ind w:firstLine="622" w:firstLineChars="200"/>
        <w:rPr>
          <w:rFonts w:ascii="仿宋_GB2312"/>
        </w:rPr>
      </w:pPr>
      <w:r>
        <w:rPr>
          <w:rFonts w:hint="eastAsia" w:ascii="仿宋_GB2312"/>
        </w:rPr>
        <w:t>大鹏新区</w:t>
      </w:r>
      <w:r>
        <w:rPr>
          <w:rFonts w:hint="eastAsia" w:ascii="仿宋_GB2312"/>
          <w:lang w:val="en-US" w:eastAsia="zh-CN"/>
        </w:rPr>
        <w:t>教育和卫生健康</w:t>
      </w:r>
      <w:r>
        <w:rPr>
          <w:rFonts w:hint="eastAsia" w:ascii="仿宋_GB2312"/>
        </w:rPr>
        <w:t>局是大鹏新区的主要</w:t>
      </w:r>
      <w:r>
        <w:rPr>
          <w:rFonts w:hint="eastAsia" w:ascii="仿宋_GB2312"/>
          <w:lang w:val="en-US" w:eastAsia="zh-CN"/>
        </w:rPr>
        <w:t>教育</w:t>
      </w:r>
      <w:r>
        <w:rPr>
          <w:rFonts w:hint="eastAsia" w:ascii="仿宋_GB2312"/>
        </w:rPr>
        <w:t>管理职能部门，</w:t>
      </w:r>
      <w:r>
        <w:rPr>
          <w:rFonts w:hint="eastAsia" w:ascii="仿宋_GB2312"/>
          <w:lang w:val="en-US" w:eastAsia="zh-CN"/>
        </w:rPr>
        <w:t>依据《深圳市人民政府办公厅关于进一步深化改革促进学前教育普惠优质发展的意见》（深府办规〔2019〕2号）《深圳市学前教育专项经费管理暂行办法》等文件，设置“幼儿园发展经费”项目，纳入部门预算管理。</w:t>
      </w:r>
    </w:p>
    <w:p>
      <w:pPr>
        <w:ind w:firstLine="622" w:firstLineChars="200"/>
        <w:outlineLvl w:val="1"/>
        <w:rPr>
          <w:rFonts w:ascii="楷体_GB2312" w:hAnsi="楷体_GB2312" w:eastAsia="楷体_GB2312" w:cs="楷体_GB2312"/>
          <w:b w:val="0"/>
          <w:bCs w:val="0"/>
        </w:rPr>
      </w:pPr>
      <w:bookmarkStart w:id="5" w:name="_Toc8955"/>
      <w:bookmarkStart w:id="6" w:name="_Toc26900"/>
      <w:r>
        <w:rPr>
          <w:rFonts w:hint="eastAsia" w:ascii="楷体_GB2312" w:hAnsi="楷体_GB2312" w:eastAsia="楷体_GB2312" w:cs="楷体_GB2312"/>
          <w:b w:val="0"/>
          <w:bCs w:val="0"/>
        </w:rPr>
        <w:t>（二）项目内容及实施情况</w:t>
      </w:r>
      <w:bookmarkEnd w:id="5"/>
      <w:bookmarkEnd w:id="6"/>
    </w:p>
    <w:p>
      <w:pPr>
        <w:ind w:firstLine="622" w:firstLineChars="200"/>
        <w:rPr>
          <w:rFonts w:hint="eastAsia" w:ascii="仿宋_GB2312"/>
          <w:b/>
          <w:bCs/>
        </w:rPr>
      </w:pPr>
      <w:r>
        <w:rPr>
          <w:rFonts w:hint="eastAsia" w:ascii="仿宋_GB2312"/>
        </w:rPr>
        <w:t>2021年，</w:t>
      </w:r>
      <w:r>
        <w:rPr>
          <w:rFonts w:hint="eastAsia" w:ascii="仿宋_GB2312"/>
          <w:lang w:val="en-US" w:eastAsia="zh-CN"/>
        </w:rPr>
        <w:t>幼儿园发展经费</w:t>
      </w:r>
      <w:r>
        <w:rPr>
          <w:rFonts w:hint="eastAsia" w:ascii="仿宋_GB2312"/>
        </w:rPr>
        <w:t>项目实施内容</w:t>
      </w:r>
      <w:r>
        <w:rPr>
          <w:rFonts w:hint="eastAsia" w:ascii="仿宋_GB2312"/>
          <w:lang w:val="en-US" w:eastAsia="zh-CN"/>
        </w:rPr>
        <w:t>包括：幼儿园在园儿童资助、幼儿园在园儿童健康成长补贴、幼儿园保教人员长期从教津贴、民办普惠园奖励金和通过市一级幼儿园督导评估区级奖励经费等五个部分</w:t>
      </w:r>
      <w:r>
        <w:rPr>
          <w:rFonts w:hint="eastAsia" w:ascii="仿宋_GB2312"/>
        </w:rPr>
        <w:t>。</w:t>
      </w:r>
      <w:r>
        <w:rPr>
          <w:rFonts w:hint="eastAsia" w:ascii="仿宋_GB2312"/>
          <w:lang w:val="en-US" w:eastAsia="zh-CN"/>
        </w:rPr>
        <w:t>因为大鹏新区公办幼儿园在园儿童成长补贴、保教人员长期从教津贴和普惠幼儿园奖励金已经通过部门预算的形式下达，所以未包含在幼儿园发展经费项目当中，此处所指的在园儿童健康成长补贴、保教人员长期从教津贴和普惠园奖励金仅涉及民办幼儿园。</w:t>
      </w:r>
    </w:p>
    <w:p>
      <w:pPr>
        <w:ind w:firstLine="622" w:firstLineChars="200"/>
        <w:jc w:val="center"/>
        <w:outlineLvl w:val="9"/>
        <w:rPr>
          <w:rFonts w:hint="default" w:ascii="仿宋_GB2312" w:hAnsi="仿宋_GB2312" w:eastAsia="仿宋_GB2312" w:cs="仿宋_GB2312"/>
          <w:sz w:val="24"/>
          <w:szCs w:val="24"/>
          <w:lang w:val="en-US" w:eastAsia="zh-CN"/>
        </w:rPr>
      </w:pPr>
      <w:r>
        <w:rPr>
          <w:rFonts w:hint="eastAsia" w:ascii="仿宋_GB2312" w:hAnsi="仿宋_GB2312" w:cs="仿宋_GB2312"/>
          <w:lang w:val="en-US" w:eastAsia="zh-CN"/>
        </w:rPr>
        <w:t>2021年幼儿园发展经费包含的各项内容实施情况详见表1-1。</w:t>
      </w:r>
      <w:r>
        <w:rPr>
          <w:rFonts w:hint="eastAsia" w:ascii="仿宋_GB2312" w:hAnsi="仿宋_GB2312" w:cs="仿宋_GB2312"/>
          <w:b/>
          <w:bCs/>
          <w:sz w:val="24"/>
          <w:szCs w:val="24"/>
          <w:lang w:val="en-US" w:eastAsia="zh-CN"/>
        </w:rPr>
        <w:t>表1-1  2021年幼儿园发展经费项目实施情况一览表</w:t>
      </w:r>
    </w:p>
    <w:tbl>
      <w:tblPr>
        <w:tblStyle w:val="2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650"/>
        <w:gridCol w:w="1883"/>
        <w:gridCol w:w="1600"/>
        <w:gridCol w:w="1684"/>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序号</w:t>
            </w:r>
          </w:p>
        </w:tc>
        <w:tc>
          <w:tcPr>
            <w:tcW w:w="165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项目内容</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补贴对象数量</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补贴金额（元）</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bCs/>
                <w:sz w:val="22"/>
                <w:szCs w:val="22"/>
                <w:vertAlign w:val="baseline"/>
              </w:rPr>
            </w:pPr>
            <w:r>
              <w:rPr>
                <w:rFonts w:hint="eastAsia" w:ascii="仿宋_GB2312" w:hAnsi="仿宋_GB2312" w:eastAsia="仿宋_GB2312" w:cs="仿宋_GB2312"/>
                <w:b/>
                <w:bCs/>
                <w:sz w:val="22"/>
                <w:szCs w:val="22"/>
                <w:vertAlign w:val="baseline"/>
              </w:rPr>
              <w:t>拨付时间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幼儿园在园儿童资助</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2020年秋季学期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6人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12,000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2021</w:t>
            </w:r>
            <w:r>
              <w:rPr>
                <w:rFonts w:hint="eastAsia" w:ascii="仿宋_GB2312" w:hAnsi="仿宋_GB2312" w:cs="仿宋_GB2312"/>
                <w:b w:val="0"/>
                <w:bCs w:val="0"/>
                <w:sz w:val="22"/>
                <w:szCs w:val="22"/>
                <w:vertAlign w:val="baseline"/>
                <w:lang w:val="en-US" w:eastAsia="zh-CN"/>
              </w:rPr>
              <w:t>年2月3日</w:t>
            </w:r>
            <w:r>
              <w:rPr>
                <w:rFonts w:hint="eastAsia" w:ascii="仿宋_GB2312" w:hAnsi="仿宋_GB2312" w:eastAsia="仿宋_GB2312" w:cs="仿宋_GB2312"/>
                <w:b w:val="0"/>
                <w:bCs w:val="0"/>
                <w:sz w:val="22"/>
                <w:szCs w:val="22"/>
                <w:vertAlign w:val="baseline"/>
              </w:rPr>
              <w:t>（直接拨付学生家长账户）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6人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12,000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2021</w:t>
            </w:r>
            <w:r>
              <w:rPr>
                <w:rFonts w:hint="eastAsia" w:ascii="仿宋_GB2312" w:hAnsi="仿宋_GB2312" w:cs="仿宋_GB2312"/>
                <w:b w:val="0"/>
                <w:bCs w:val="0"/>
                <w:sz w:val="22"/>
                <w:szCs w:val="22"/>
                <w:vertAlign w:val="baseline"/>
                <w:lang w:val="en-US" w:eastAsia="zh-CN"/>
              </w:rPr>
              <w:t>年8月5日</w:t>
            </w:r>
            <w:r>
              <w:rPr>
                <w:rFonts w:hint="eastAsia" w:ascii="仿宋_GB2312" w:hAnsi="仿宋_GB2312" w:eastAsia="仿宋_GB2312" w:cs="仿宋_GB2312"/>
                <w:b w:val="0"/>
                <w:bCs w:val="0"/>
                <w:sz w:val="22"/>
                <w:szCs w:val="22"/>
                <w:vertAlign w:val="baseline"/>
              </w:rPr>
              <w:t>（直接拨付学生家长账户）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5人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8,750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r>
              <w:rPr>
                <w:rFonts w:hint="eastAsia" w:ascii="仿宋_GB2312" w:hAnsi="仿宋_GB2312" w:eastAsia="仿宋_GB2312" w:cs="仿宋_GB2312"/>
                <w:b w:val="0"/>
                <w:bCs w:val="0"/>
                <w:sz w:val="22"/>
                <w:szCs w:val="22"/>
                <w:vertAlign w:val="baseline"/>
              </w:rPr>
              <w:t>2021年12月17日、22日（直接拨付学生家长账户）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幼儿园在园儿童成长补贴</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2100人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1,485,000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w:t>
            </w:r>
            <w:r>
              <w:rPr>
                <w:rFonts w:hint="eastAsia" w:ascii="仿宋_GB2312" w:hAnsi="仿宋_GB2312" w:cs="仿宋_GB2312"/>
                <w:b w:val="0"/>
                <w:bCs w:val="0"/>
                <w:sz w:val="22"/>
                <w:szCs w:val="22"/>
                <w:vertAlign w:val="baseline"/>
                <w:lang w:val="en-US" w:eastAsia="zh-CN"/>
              </w:rPr>
              <w:t>年6月30日拨付至三方监管账户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2161人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1,620,750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2021年11月30日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3</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幼儿园保教人员长期从教津贴</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164人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1,242,000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2021年7月30日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cs="仿宋_GB2312"/>
                <w:b w:val="0"/>
                <w:bCs w:val="0"/>
                <w:sz w:val="22"/>
                <w:szCs w:val="22"/>
                <w:vertAlign w:val="baseline"/>
                <w:lang w:val="en-US" w:eastAsia="zh-CN"/>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160人</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1,355,400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2021年12月17日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4</w:t>
            </w:r>
          </w:p>
        </w:tc>
        <w:tc>
          <w:tcPr>
            <w:tcW w:w="1650"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民办普惠园奖励金</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2021年春季学期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7所普惠园，62个班级</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366,000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2021年6月30日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rPr>
            </w:pPr>
          </w:p>
        </w:tc>
        <w:tc>
          <w:tcPr>
            <w:tcW w:w="1650"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cs="仿宋_GB2312"/>
                <w:b w:val="0"/>
                <w:bCs w:val="0"/>
                <w:sz w:val="22"/>
                <w:szCs w:val="22"/>
                <w:vertAlign w:val="baseline"/>
                <w:lang w:val="en-US" w:eastAsia="zh-CN"/>
              </w:rPr>
            </w:pP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2021年秋季学期</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7所普惠园，61个班级</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1,790,000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eastAsia="仿宋_GB2312" w:cs="仿宋_GB2312"/>
                <w:b w:val="0"/>
                <w:bCs w:val="0"/>
                <w:sz w:val="22"/>
                <w:szCs w:val="22"/>
                <w:vertAlign w:val="baseline"/>
              </w:rPr>
              <w:t>2021年10月28日</w:t>
            </w:r>
            <w:r>
              <w:rPr>
                <w:rFonts w:hint="eastAsia" w:ascii="仿宋_GB2312" w:hAnsi="仿宋_GB2312" w:cs="仿宋_GB2312"/>
                <w:b w:val="0"/>
                <w:bCs w:val="0"/>
                <w:sz w:val="22"/>
                <w:szCs w:val="22"/>
                <w:vertAlign w:val="baseline"/>
                <w:lang w:val="en-US" w:eastAsia="zh-CN"/>
              </w:rPr>
              <w:t>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5</w:t>
            </w:r>
          </w:p>
        </w:tc>
        <w:tc>
          <w:tcPr>
            <w:tcW w:w="165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eastAsia"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通过市一级幼儿园督导评估区级奖励经费</w:t>
            </w:r>
          </w:p>
        </w:tc>
        <w:tc>
          <w:tcPr>
            <w:tcW w:w="1883"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w:t>
            </w:r>
          </w:p>
        </w:tc>
        <w:tc>
          <w:tcPr>
            <w:tcW w:w="16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1所幼儿园</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150,000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eastAsia="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2021年3月10日拨付至三方监管账户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49" w:type="dxa"/>
            <w:gridSpan w:val="4"/>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合计</w:t>
            </w:r>
          </w:p>
        </w:tc>
        <w:tc>
          <w:tcPr>
            <w:tcW w:w="1684"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bCs/>
                <w:sz w:val="22"/>
                <w:szCs w:val="22"/>
                <w:vertAlign w:val="baseline"/>
                <w:lang w:val="en-US" w:eastAsia="zh-CN"/>
              </w:rPr>
            </w:pPr>
            <w:r>
              <w:rPr>
                <w:rFonts w:hint="eastAsia" w:ascii="仿宋_GB2312" w:hAnsi="仿宋_GB2312" w:cs="仿宋_GB2312"/>
                <w:b/>
                <w:bCs/>
                <w:sz w:val="22"/>
                <w:szCs w:val="22"/>
                <w:vertAlign w:val="baseline"/>
                <w:lang w:val="en-US" w:eastAsia="zh-CN"/>
              </w:rPr>
              <w:t>8,041,900</w:t>
            </w:r>
          </w:p>
        </w:tc>
        <w:tc>
          <w:tcPr>
            <w:tcW w:w="22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outlineLvl w:val="9"/>
              <w:rPr>
                <w:rFonts w:hint="default" w:ascii="仿宋_GB2312" w:hAnsi="仿宋_GB2312" w:cs="仿宋_GB2312"/>
                <w:b w:val="0"/>
                <w:bCs w:val="0"/>
                <w:sz w:val="22"/>
                <w:szCs w:val="22"/>
                <w:vertAlign w:val="baseline"/>
                <w:lang w:val="en-US" w:eastAsia="zh-CN"/>
              </w:rPr>
            </w:pPr>
            <w:r>
              <w:rPr>
                <w:rFonts w:hint="eastAsia" w:ascii="仿宋_GB2312" w:hAnsi="仿宋_GB2312" w:cs="仿宋_GB2312"/>
                <w:b w:val="0"/>
                <w:bCs w:val="0"/>
                <w:sz w:val="22"/>
                <w:szCs w:val="22"/>
                <w:vertAlign w:val="baseline"/>
                <w:lang w:val="en-US" w:eastAsia="zh-CN"/>
              </w:rPr>
              <w:t>--</w:t>
            </w:r>
          </w:p>
        </w:tc>
      </w:tr>
    </w:tbl>
    <w:p>
      <w:pPr>
        <w:ind w:firstLine="622" w:firstLineChars="200"/>
        <w:outlineLvl w:val="9"/>
        <w:rPr>
          <w:rFonts w:hint="eastAsia" w:ascii="楷体_GB2312" w:hAnsi="楷体_GB2312" w:eastAsia="楷体_GB2312" w:cs="楷体_GB2312"/>
          <w:b/>
          <w:bCs/>
        </w:rPr>
      </w:pPr>
    </w:p>
    <w:p>
      <w:pPr>
        <w:ind w:firstLine="622" w:firstLineChars="200"/>
        <w:outlineLvl w:val="1"/>
        <w:rPr>
          <w:rFonts w:ascii="楷体_GB2312" w:hAnsi="楷体_GB2312" w:eastAsia="楷体_GB2312" w:cs="楷体_GB2312"/>
          <w:b w:val="0"/>
          <w:bCs w:val="0"/>
        </w:rPr>
      </w:pPr>
      <w:bookmarkStart w:id="7" w:name="_Toc24378"/>
      <w:bookmarkStart w:id="8" w:name="_Toc15083"/>
      <w:r>
        <w:rPr>
          <w:rFonts w:hint="eastAsia" w:ascii="楷体_GB2312" w:hAnsi="楷体_GB2312" w:eastAsia="楷体_GB2312" w:cs="楷体_GB2312"/>
          <w:b w:val="0"/>
          <w:bCs w:val="0"/>
        </w:rPr>
        <w:t>（三）项目管理及监督情况</w:t>
      </w:r>
      <w:bookmarkEnd w:id="7"/>
      <w:bookmarkEnd w:id="8"/>
    </w:p>
    <w:p>
      <w:pPr>
        <w:pStyle w:val="30"/>
        <w:ind w:firstLine="620"/>
        <w:rPr>
          <w:lang w:val="en-US"/>
        </w:rPr>
      </w:pPr>
      <w:r>
        <w:rPr>
          <w:rFonts w:hint="eastAsia"/>
          <w:lang w:val="en-US"/>
        </w:rPr>
        <w:t>大鹏新区</w:t>
      </w:r>
      <w:r>
        <w:rPr>
          <w:rFonts w:hint="eastAsia"/>
          <w:lang w:val="en-US" w:eastAsia="zh-CN"/>
        </w:rPr>
        <w:t>教育和卫生健康局</w:t>
      </w:r>
      <w:r>
        <w:rPr>
          <w:rFonts w:hint="eastAsia"/>
        </w:rPr>
        <w:t>是</w:t>
      </w:r>
      <w:r>
        <w:rPr>
          <w:rFonts w:hint="eastAsia"/>
          <w:lang w:val="en-US" w:eastAsia="zh-CN"/>
        </w:rPr>
        <w:t>幼儿园发展经费</w:t>
      </w:r>
      <w:r>
        <w:rPr>
          <w:rFonts w:hint="eastAsia"/>
          <w:lang w:val="en-US"/>
        </w:rPr>
        <w:t>项目</w:t>
      </w:r>
      <w:r>
        <w:rPr>
          <w:rFonts w:hint="eastAsia"/>
        </w:rPr>
        <w:t>的责任主体，</w:t>
      </w:r>
      <w:r>
        <w:rPr>
          <w:rFonts w:hint="eastAsia"/>
          <w:lang w:val="en-US" w:eastAsia="zh-CN"/>
        </w:rPr>
        <w:t>教育科是项目的实施主体。</w:t>
      </w:r>
      <w:r>
        <w:rPr>
          <w:rFonts w:hint="eastAsia"/>
          <w:lang w:val="en-US"/>
        </w:rPr>
        <w:t>根据</w:t>
      </w:r>
      <w:r>
        <w:rPr>
          <w:rFonts w:hint="eastAsia"/>
          <w:lang w:val="en-US" w:eastAsia="zh-CN"/>
        </w:rPr>
        <w:t>各项补贴政策规定开展项目业务工作</w:t>
      </w:r>
      <w:r>
        <w:rPr>
          <w:rFonts w:hint="eastAsia"/>
          <w:lang w:val="en-US"/>
        </w:rPr>
        <w:t>，根据</w:t>
      </w:r>
      <w:r>
        <w:rPr>
          <w:rFonts w:hint="eastAsia"/>
          <w:lang w:val="en-US" w:eastAsia="zh-CN"/>
        </w:rPr>
        <w:t>《大鹏新区教育和卫生健康局财政资金收支管理制度》拨付项目资金，根据市、新区财政部门有关预算和绩效管理一体化的要求组织开展绩效目标编报、绩效运行监控、绩效评价和评价结果应用等工作。</w:t>
      </w:r>
      <w:r>
        <w:rPr>
          <w:rFonts w:hint="eastAsia"/>
          <w:lang w:val="en-US"/>
        </w:rPr>
        <w:t>本项目实施涉及各方的职责分工如下：</w:t>
      </w:r>
    </w:p>
    <w:p>
      <w:pPr>
        <w:pStyle w:val="30"/>
        <w:ind w:firstLine="623"/>
        <w:rPr>
          <w:lang w:val="en-US"/>
        </w:rPr>
      </w:pPr>
      <w:r>
        <w:rPr>
          <w:rFonts w:hint="eastAsia"/>
          <w:b/>
          <w:bCs/>
          <w:lang w:val="en-US"/>
        </w:rPr>
        <w:t>大鹏新区</w:t>
      </w:r>
      <w:r>
        <w:rPr>
          <w:rFonts w:hint="eastAsia"/>
          <w:b/>
          <w:bCs/>
          <w:lang w:val="en-US" w:eastAsia="zh-CN"/>
        </w:rPr>
        <w:t>教育和卫生健康</w:t>
      </w:r>
      <w:r>
        <w:rPr>
          <w:rFonts w:hint="eastAsia"/>
          <w:b/>
          <w:bCs/>
          <w:lang w:val="en-US"/>
        </w:rPr>
        <w:t>局</w:t>
      </w:r>
      <w:r>
        <w:rPr>
          <w:rFonts w:hint="eastAsia"/>
        </w:rPr>
        <w:t>是</w:t>
      </w:r>
      <w:r>
        <w:rPr>
          <w:rFonts w:hint="eastAsia"/>
          <w:lang w:val="en-US" w:eastAsia="zh-CN"/>
        </w:rPr>
        <w:t>幼儿园发展经费</w:t>
      </w:r>
      <w:r>
        <w:rPr>
          <w:rFonts w:hint="eastAsia"/>
          <w:lang w:val="en-US"/>
        </w:rPr>
        <w:t>项目</w:t>
      </w:r>
      <w:r>
        <w:rPr>
          <w:rFonts w:hint="eastAsia"/>
        </w:rPr>
        <w:t>的责任主体，</w:t>
      </w:r>
      <w:r>
        <w:rPr>
          <w:rFonts w:hint="eastAsia"/>
          <w:lang w:val="en-US"/>
        </w:rPr>
        <w:t>在本项目中，主要负责项目的预算安排、资金审批等。</w:t>
      </w:r>
    </w:p>
    <w:p>
      <w:pPr>
        <w:pStyle w:val="30"/>
        <w:ind w:firstLine="623"/>
      </w:pPr>
      <w:r>
        <w:rPr>
          <w:rFonts w:hint="eastAsia"/>
          <w:b/>
          <w:bCs/>
          <w:lang w:val="en-US" w:eastAsia="zh-CN"/>
        </w:rPr>
        <w:t>教育</w:t>
      </w:r>
      <w:r>
        <w:rPr>
          <w:rFonts w:hint="eastAsia"/>
          <w:b/>
          <w:bCs/>
          <w:lang w:val="en-US"/>
        </w:rPr>
        <w:t>科</w:t>
      </w:r>
      <w:r>
        <w:rPr>
          <w:rFonts w:hint="eastAsia"/>
        </w:rPr>
        <w:t>为本项目的</w:t>
      </w:r>
      <w:r>
        <w:rPr>
          <w:rFonts w:hint="eastAsia"/>
          <w:lang w:val="en-US"/>
        </w:rPr>
        <w:t>实施</w:t>
      </w:r>
      <w:r>
        <w:rPr>
          <w:rFonts w:hint="eastAsia"/>
        </w:rPr>
        <w:t>主体，</w:t>
      </w:r>
      <w:r>
        <w:rPr>
          <w:rFonts w:hint="eastAsia"/>
          <w:lang w:val="en-US" w:eastAsia="zh-CN"/>
        </w:rPr>
        <w:t>根据各类补贴政策和深圳市教育局文件要求</w:t>
      </w:r>
      <w:r>
        <w:rPr>
          <w:rFonts w:hint="eastAsia"/>
        </w:rPr>
        <w:t>组织实施</w:t>
      </w:r>
      <w:r>
        <w:rPr>
          <w:rFonts w:hint="eastAsia"/>
          <w:lang w:val="en-US"/>
        </w:rPr>
        <w:t>项目</w:t>
      </w:r>
      <w:r>
        <w:rPr>
          <w:rFonts w:hint="eastAsia"/>
        </w:rPr>
        <w:t>工作，包括预算编制、</w:t>
      </w:r>
      <w:r>
        <w:rPr>
          <w:rFonts w:hint="eastAsia"/>
          <w:lang w:val="en-US" w:eastAsia="zh-CN"/>
        </w:rPr>
        <w:t>补贴申请</w:t>
      </w:r>
      <w:r>
        <w:rPr>
          <w:rFonts w:hint="eastAsia"/>
        </w:rPr>
        <w:t>、</w:t>
      </w:r>
      <w:r>
        <w:rPr>
          <w:rFonts w:hint="eastAsia"/>
          <w:lang w:val="en-US" w:eastAsia="zh-CN"/>
        </w:rPr>
        <w:t>补贴审核</w:t>
      </w:r>
      <w:r>
        <w:rPr>
          <w:rFonts w:hint="eastAsia"/>
        </w:rPr>
        <w:t>、支付款项申请、项目日常监督检查等。</w:t>
      </w:r>
    </w:p>
    <w:p>
      <w:pPr>
        <w:pStyle w:val="30"/>
        <w:ind w:firstLine="623"/>
        <w:rPr>
          <w:rFonts w:ascii="仿宋_GB2312"/>
          <w:b/>
          <w:bCs/>
        </w:rPr>
      </w:pPr>
      <w:r>
        <w:rPr>
          <w:rFonts w:hint="eastAsia"/>
          <w:b/>
          <w:bCs/>
        </w:rPr>
        <w:t>各</w:t>
      </w:r>
      <w:r>
        <w:rPr>
          <w:rFonts w:hint="eastAsia"/>
          <w:b/>
          <w:bCs/>
          <w:lang w:val="en-US" w:eastAsia="zh-CN"/>
        </w:rPr>
        <w:t>幼儿园</w:t>
      </w:r>
      <w:r>
        <w:rPr>
          <w:rFonts w:hint="eastAsia"/>
        </w:rPr>
        <w:t>为</w:t>
      </w:r>
      <w:r>
        <w:rPr>
          <w:rFonts w:hint="eastAsia"/>
          <w:lang w:val="en-US" w:eastAsia="zh-CN"/>
        </w:rPr>
        <w:t>本项目</w:t>
      </w:r>
      <w:r>
        <w:rPr>
          <w:rFonts w:hint="default"/>
          <w:lang w:eastAsia="zh-CN"/>
        </w:rPr>
        <w:t>所</w:t>
      </w:r>
      <w:r>
        <w:rPr>
          <w:rFonts w:hint="eastAsia"/>
          <w:lang w:val="en-US" w:eastAsia="zh-CN"/>
        </w:rPr>
        <w:t>涉及各类补贴的发放主体</w:t>
      </w:r>
      <w:r>
        <w:rPr>
          <w:rFonts w:hint="eastAsia"/>
        </w:rPr>
        <w:t>，主要负责</w:t>
      </w:r>
      <w:r>
        <w:rPr>
          <w:rFonts w:hint="eastAsia"/>
          <w:lang w:val="en-US" w:eastAsia="zh-CN"/>
        </w:rPr>
        <w:t>将各类补贴按照发放名单拨付至家长和保教人员账户。</w:t>
      </w:r>
    </w:p>
    <w:p>
      <w:pPr>
        <w:ind w:firstLine="622" w:firstLineChars="200"/>
        <w:outlineLvl w:val="1"/>
        <w:rPr>
          <w:rFonts w:ascii="楷体_GB2312" w:hAnsi="楷体_GB2312" w:eastAsia="楷体_GB2312" w:cs="楷体_GB2312"/>
          <w:b w:val="0"/>
          <w:bCs w:val="0"/>
        </w:rPr>
      </w:pPr>
      <w:bookmarkStart w:id="9" w:name="_Toc6535"/>
      <w:bookmarkStart w:id="10" w:name="_Toc2360"/>
      <w:r>
        <w:rPr>
          <w:rFonts w:hint="eastAsia" w:ascii="楷体_GB2312" w:hAnsi="楷体_GB2312" w:eastAsia="楷体_GB2312" w:cs="楷体_GB2312"/>
          <w:b w:val="0"/>
          <w:bCs w:val="0"/>
        </w:rPr>
        <w:t>（四）预算安排和执行情况</w:t>
      </w:r>
      <w:bookmarkEnd w:id="9"/>
      <w:bookmarkEnd w:id="10"/>
    </w:p>
    <w:p>
      <w:pPr>
        <w:pStyle w:val="3"/>
        <w:numPr>
          <w:ilvl w:val="2"/>
          <w:numId w:val="0"/>
        </w:numPr>
        <w:ind w:left="622" w:leftChars="200"/>
        <w:rPr>
          <w:b w:val="0"/>
          <w:bCs w:val="0"/>
        </w:rPr>
      </w:pPr>
      <w:bookmarkStart w:id="11" w:name="_Toc17605"/>
      <w:bookmarkStart w:id="12" w:name="_Toc21187"/>
      <w:r>
        <w:rPr>
          <w:rFonts w:hint="eastAsia" w:ascii="仿宋_GB2312"/>
          <w:b w:val="0"/>
          <w:bCs w:val="0"/>
        </w:rPr>
        <w:t>1.</w:t>
      </w:r>
      <w:r>
        <w:rPr>
          <w:rFonts w:hint="eastAsia"/>
          <w:b w:val="0"/>
          <w:bCs w:val="0"/>
        </w:rPr>
        <w:t>预算编制情况</w:t>
      </w:r>
      <w:bookmarkEnd w:id="11"/>
      <w:bookmarkEnd w:id="12"/>
    </w:p>
    <w:p>
      <w:pPr>
        <w:pStyle w:val="30"/>
        <w:ind w:firstLine="620"/>
        <w:rPr>
          <w:rFonts w:hint="eastAsia" w:ascii="仿宋_GB2312" w:hAnsi="仿宋_GB2312" w:eastAsia="仿宋_GB2312" w:cs="仿宋_GB2312"/>
          <w:lang w:eastAsia="zh-CN"/>
        </w:rPr>
      </w:pPr>
      <w:r>
        <w:rPr>
          <w:rFonts w:hint="eastAsia" w:ascii="仿宋_GB2312" w:hAnsi="仿宋_GB2312" w:cs="仿宋_GB2312"/>
        </w:rPr>
        <w:t>根据《大鹏新区2021年部门预算和2021—2023年中期财政规划编制方案》（深发财〔2019〕299号），新区</w:t>
      </w:r>
      <w:r>
        <w:rPr>
          <w:rFonts w:hint="default" w:ascii="仿宋_GB2312" w:hAnsi="仿宋_GB2312" w:cs="仿宋_GB2312"/>
          <w:lang w:eastAsia="zh-CN"/>
        </w:rPr>
        <w:t>教育和卫生健康局</w:t>
      </w:r>
      <w:r>
        <w:rPr>
          <w:rFonts w:hint="eastAsia" w:ascii="仿宋_GB2312" w:hAnsi="仿宋_GB2312" w:cs="仿宋_GB2312"/>
          <w:lang w:val="en-US" w:eastAsia="zh-CN"/>
        </w:rPr>
        <w:t>教育科</w:t>
      </w:r>
      <w:r>
        <w:rPr>
          <w:rFonts w:hint="eastAsia" w:ascii="仿宋_GB2312" w:hAnsi="仿宋_GB2312" w:cs="仿宋_GB2312"/>
        </w:rPr>
        <w:t>按规定申报了2021年</w:t>
      </w:r>
      <w:r>
        <w:rPr>
          <w:rFonts w:hint="eastAsia" w:ascii="仿宋_GB2312" w:hAnsi="仿宋_GB2312" w:cs="仿宋_GB2312"/>
          <w:lang w:val="en-US" w:eastAsia="zh-CN"/>
        </w:rPr>
        <w:t>幼儿园发展</w:t>
      </w:r>
      <w:r>
        <w:rPr>
          <w:rFonts w:hint="eastAsia" w:ascii="仿宋_GB2312" w:hAnsi="仿宋_GB2312" w:cs="仿宋_GB2312"/>
        </w:rPr>
        <w:t>经费项目，预算金额为</w:t>
      </w:r>
      <w:r>
        <w:rPr>
          <w:rFonts w:hint="eastAsia" w:ascii="仿宋_GB2312" w:hAnsi="仿宋_GB2312" w:cs="仿宋_GB2312"/>
          <w:lang w:val="en-US" w:eastAsia="zh-CN"/>
        </w:rPr>
        <w:t>926.8</w:t>
      </w:r>
      <w:r>
        <w:rPr>
          <w:rFonts w:hint="eastAsia" w:ascii="仿宋_GB2312" w:hAnsi="仿宋_GB2312" w:cs="仿宋_GB2312"/>
        </w:rPr>
        <w:t>万元，主要用于</w:t>
      </w:r>
      <w:r>
        <w:rPr>
          <w:rFonts w:hint="eastAsia" w:ascii="仿宋_GB2312" w:hAnsi="仿宋_GB2312" w:cs="仿宋_GB2312"/>
          <w:lang w:val="en-US" w:eastAsia="zh-CN"/>
        </w:rPr>
        <w:t>各类幼儿园补贴的发放</w:t>
      </w:r>
      <w:r>
        <w:rPr>
          <w:rFonts w:hint="eastAsia" w:ascii="仿宋_GB2312" w:hAnsi="仿宋_GB2312" w:cs="仿宋_GB2312"/>
        </w:rPr>
        <w:t>工作，包括</w:t>
      </w:r>
      <w:r>
        <w:rPr>
          <w:rFonts w:hint="eastAsia" w:ascii="仿宋_GB2312" w:hAnsi="仿宋_GB2312" w:cs="仿宋_GB2312"/>
          <w:lang w:val="en-US" w:eastAsia="zh-CN"/>
        </w:rPr>
        <w:t>幼儿园在园儿童资助、幼儿园在园儿童健康成长补贴</w:t>
      </w:r>
      <w:r>
        <w:rPr>
          <w:rFonts w:hint="eastAsia" w:ascii="仿宋_GB2312" w:hAnsi="仿宋_GB2312" w:cs="仿宋_GB2312"/>
        </w:rPr>
        <w:t>、</w:t>
      </w:r>
      <w:r>
        <w:rPr>
          <w:rFonts w:hint="eastAsia" w:ascii="仿宋_GB2312" w:hAnsi="仿宋_GB2312" w:cs="仿宋_GB2312"/>
          <w:lang w:val="en-US" w:eastAsia="zh-CN"/>
        </w:rPr>
        <w:t>幼儿园保教人员长期从教津贴、民办普惠园奖励金和通过市一级幼儿园督导评估区级奖励经费</w:t>
      </w:r>
      <w:r>
        <w:rPr>
          <w:rFonts w:hint="eastAsia" w:ascii="仿宋_GB2312" w:hAnsi="仿宋_GB2312" w:cs="仿宋_GB2312"/>
        </w:rPr>
        <w:t>等明细内容</w:t>
      </w:r>
      <w:r>
        <w:rPr>
          <w:rFonts w:hint="eastAsia" w:ascii="仿宋_GB2312" w:hAnsi="仿宋_GB2312" w:cs="仿宋_GB2312"/>
          <w:lang w:eastAsia="zh-CN"/>
        </w:rPr>
        <w:t>。</w:t>
      </w:r>
    </w:p>
    <w:p>
      <w:pPr>
        <w:pStyle w:val="3"/>
        <w:numPr>
          <w:ilvl w:val="2"/>
          <w:numId w:val="0"/>
        </w:numPr>
        <w:ind w:firstLine="622" w:firstLineChars="200"/>
        <w:rPr>
          <w:rFonts w:ascii="仿宋_GB2312" w:hAnsi="仿宋_GB2312" w:cs="仿宋_GB2312"/>
          <w:b w:val="0"/>
          <w:bCs w:val="0"/>
        </w:rPr>
      </w:pPr>
      <w:bookmarkStart w:id="13" w:name="_Toc281"/>
      <w:bookmarkStart w:id="14" w:name="_Toc2987"/>
      <w:r>
        <w:rPr>
          <w:rFonts w:hint="eastAsia" w:ascii="仿宋_GB2312" w:hAnsi="仿宋_GB2312" w:cs="仿宋_GB2312"/>
          <w:b w:val="0"/>
          <w:bCs w:val="0"/>
        </w:rPr>
        <w:t>2.预算执行情况</w:t>
      </w:r>
      <w:bookmarkEnd w:id="13"/>
      <w:bookmarkEnd w:id="14"/>
    </w:p>
    <w:p>
      <w:pPr>
        <w:ind w:firstLine="622" w:firstLineChars="200"/>
        <w:rPr>
          <w:rFonts w:ascii="仿宋_GB2312" w:hAnsi="仿宋_GB2312" w:cs="仿宋_GB2312"/>
          <w:b/>
          <w:bCs/>
          <w:sz w:val="24"/>
          <w:szCs w:val="24"/>
        </w:rPr>
      </w:pPr>
      <w:r>
        <w:rPr>
          <w:rFonts w:hint="eastAsia" w:ascii="仿宋_GB2312" w:hAnsi="仿宋_GB2312" w:cs="仿宋_GB2312"/>
        </w:rPr>
        <w:t>2021年幼儿园发展经费项目预算总额为926.8万元，调整后预算为805万元，实际支出为804.19万元</w:t>
      </w:r>
      <w:r>
        <w:rPr>
          <w:rFonts w:hint="eastAsia" w:ascii="仿宋_GB2312" w:hAnsi="仿宋_GB2312" w:cs="仿宋_GB2312"/>
          <w:lang w:eastAsia="zh-CN"/>
        </w:rPr>
        <w:t>，</w:t>
      </w:r>
      <w:r>
        <w:rPr>
          <w:rFonts w:hint="eastAsia" w:ascii="仿宋_GB2312" w:hAnsi="仿宋_GB2312" w:cs="仿宋_GB2312"/>
        </w:rPr>
        <w:t>预算执行率为99.</w:t>
      </w:r>
      <w:r>
        <w:rPr>
          <w:rFonts w:hint="eastAsia" w:ascii="仿宋_GB2312" w:hAnsi="仿宋_GB2312" w:cs="仿宋_GB2312"/>
          <w:lang w:val="en-US" w:eastAsia="zh-CN"/>
        </w:rPr>
        <w:t>90</w:t>
      </w:r>
      <w:r>
        <w:rPr>
          <w:rFonts w:hint="eastAsia" w:ascii="仿宋_GB2312" w:hAnsi="仿宋_GB2312" w:cs="仿宋_GB2312"/>
        </w:rPr>
        <w:t>%</w:t>
      </w:r>
      <w:r>
        <w:rPr>
          <w:rFonts w:hint="eastAsia" w:ascii="仿宋_GB2312" w:hAnsi="仿宋_GB2312" w:cs="仿宋_GB2312"/>
          <w:lang w:eastAsia="zh-CN"/>
        </w:rPr>
        <w:t>，</w:t>
      </w:r>
      <w:r>
        <w:rPr>
          <w:rFonts w:hint="eastAsia" w:ascii="仿宋_GB2312" w:hAnsi="仿宋_GB2312" w:cs="仿宋_GB2312"/>
          <w:lang w:val="en-US" w:eastAsia="zh-CN"/>
        </w:rPr>
        <w:t>预算调整率为13.14%。</w:t>
      </w:r>
      <w:r>
        <w:rPr>
          <w:rFonts w:hint="eastAsia" w:ascii="仿宋_GB2312" w:hAnsi="仿宋_GB2312" w:cs="仿宋_GB2312"/>
        </w:rPr>
        <w:t>资金支出情况显示</w:t>
      </w:r>
      <w:r>
        <w:rPr>
          <w:rFonts w:hint="eastAsia" w:ascii="仿宋_GB2312" w:hAnsi="仿宋_GB2312" w:cs="仿宋_GB2312"/>
          <w:lang w:eastAsia="zh-CN"/>
        </w:rPr>
        <w:t>，</w:t>
      </w:r>
      <w:r>
        <w:rPr>
          <w:rFonts w:hint="eastAsia" w:ascii="仿宋_GB2312" w:hAnsi="仿宋_GB2312" w:cs="仿宋_GB2312"/>
        </w:rPr>
        <w:t>幼儿园在园儿童资助</w:t>
      </w:r>
      <w:r>
        <w:rPr>
          <w:rFonts w:hint="eastAsia" w:ascii="仿宋_GB2312" w:hAnsi="仿宋_GB2312" w:cs="仿宋_GB2312"/>
          <w:lang w:val="en-US" w:eastAsia="zh-CN"/>
        </w:rPr>
        <w:t>3.28</w:t>
      </w:r>
      <w:r>
        <w:rPr>
          <w:rFonts w:hint="eastAsia" w:ascii="仿宋_GB2312" w:hAnsi="仿宋_GB2312" w:cs="仿宋_GB2312"/>
        </w:rPr>
        <w:t>万元，占比</w:t>
      </w:r>
      <w:r>
        <w:rPr>
          <w:rFonts w:hint="eastAsia" w:ascii="仿宋_GB2312" w:hAnsi="仿宋_GB2312" w:cs="仿宋_GB2312"/>
          <w:lang w:val="en-US" w:eastAsia="zh-CN"/>
        </w:rPr>
        <w:t>0.41</w:t>
      </w:r>
      <w:r>
        <w:rPr>
          <w:rFonts w:hint="eastAsia" w:ascii="仿宋_GB2312" w:hAnsi="仿宋_GB2312" w:cs="仿宋_GB2312"/>
        </w:rPr>
        <w:t>%，幼儿园在园儿童健康成长补贴</w:t>
      </w:r>
      <w:r>
        <w:rPr>
          <w:rFonts w:hint="eastAsia" w:ascii="仿宋_GB2312" w:hAnsi="仿宋_GB2312" w:cs="仿宋_GB2312"/>
          <w:lang w:val="en-US" w:eastAsia="zh-CN"/>
        </w:rPr>
        <w:t>310.58</w:t>
      </w:r>
      <w:r>
        <w:rPr>
          <w:rFonts w:hint="eastAsia" w:ascii="仿宋_GB2312" w:hAnsi="仿宋_GB2312" w:cs="仿宋_GB2312"/>
        </w:rPr>
        <w:t>万元，占比</w:t>
      </w:r>
      <w:r>
        <w:rPr>
          <w:rFonts w:hint="eastAsia" w:ascii="仿宋_GB2312" w:hAnsi="仿宋_GB2312" w:cs="仿宋_GB2312"/>
          <w:lang w:val="en-US" w:eastAsia="zh-CN"/>
        </w:rPr>
        <w:t>38.62</w:t>
      </w:r>
      <w:r>
        <w:rPr>
          <w:rFonts w:hint="eastAsia" w:ascii="仿宋_GB2312" w:hAnsi="仿宋_GB2312" w:cs="仿宋_GB2312"/>
        </w:rPr>
        <w:t>%，幼儿园保教人员长期从教津贴</w:t>
      </w:r>
      <w:r>
        <w:rPr>
          <w:rFonts w:hint="eastAsia" w:ascii="仿宋_GB2312" w:hAnsi="仿宋_GB2312" w:cs="仿宋_GB2312"/>
          <w:lang w:val="en-US" w:eastAsia="zh-CN"/>
        </w:rPr>
        <w:t>259.74</w:t>
      </w:r>
      <w:r>
        <w:rPr>
          <w:rFonts w:hint="eastAsia" w:ascii="仿宋_GB2312" w:hAnsi="仿宋_GB2312" w:cs="仿宋_GB2312"/>
        </w:rPr>
        <w:t>万元，占比</w:t>
      </w:r>
      <w:r>
        <w:rPr>
          <w:rFonts w:hint="eastAsia" w:ascii="仿宋_GB2312" w:hAnsi="仿宋_GB2312" w:cs="仿宋_GB2312"/>
          <w:lang w:val="en-US" w:eastAsia="zh-CN"/>
        </w:rPr>
        <w:t>32.30</w:t>
      </w:r>
      <w:r>
        <w:rPr>
          <w:rFonts w:hint="eastAsia" w:ascii="仿宋_GB2312" w:hAnsi="仿宋_GB2312" w:cs="仿宋_GB2312"/>
        </w:rPr>
        <w:t>%，民办普惠园奖励金</w:t>
      </w:r>
      <w:r>
        <w:rPr>
          <w:rFonts w:hint="eastAsia" w:ascii="仿宋_GB2312" w:hAnsi="仿宋_GB2312" w:cs="仿宋_GB2312"/>
          <w:lang w:val="en-US" w:eastAsia="zh-CN"/>
        </w:rPr>
        <w:t>215.6</w:t>
      </w:r>
      <w:r>
        <w:rPr>
          <w:rFonts w:hint="eastAsia" w:ascii="仿宋_GB2312" w:hAnsi="仿宋_GB2312" w:cs="仿宋_GB2312"/>
        </w:rPr>
        <w:t>万元，占比</w:t>
      </w:r>
      <w:r>
        <w:rPr>
          <w:rFonts w:hint="eastAsia" w:ascii="仿宋_GB2312" w:hAnsi="仿宋_GB2312" w:cs="仿宋_GB2312"/>
          <w:lang w:val="en-US" w:eastAsia="zh-CN"/>
        </w:rPr>
        <w:t>26.81</w:t>
      </w:r>
      <w:r>
        <w:rPr>
          <w:rFonts w:hint="eastAsia" w:ascii="仿宋_GB2312" w:hAnsi="仿宋_GB2312" w:cs="仿宋_GB2312"/>
        </w:rPr>
        <w:t>%，</w:t>
      </w:r>
      <w:r>
        <w:rPr>
          <w:rFonts w:hint="eastAsia" w:ascii="仿宋_GB2312" w:hAnsi="仿宋_GB2312" w:cs="仿宋_GB2312"/>
          <w:lang w:val="en-US" w:eastAsia="zh-CN"/>
        </w:rPr>
        <w:t>市一级幼儿园督导评估区级奖励经费15万元，占比1.86%。</w:t>
      </w:r>
    </w:p>
    <w:p>
      <w:pPr>
        <w:ind w:firstLine="622" w:firstLineChars="200"/>
        <w:outlineLvl w:val="0"/>
        <w:rPr>
          <w:rFonts w:ascii="黑体" w:hAnsi="黑体" w:eastAsia="黑体"/>
        </w:rPr>
      </w:pPr>
      <w:bookmarkStart w:id="15" w:name="_Toc16808"/>
      <w:bookmarkStart w:id="16" w:name="_Toc24348"/>
      <w:r>
        <w:rPr>
          <w:rFonts w:hint="eastAsia" w:ascii="黑体" w:hAnsi="黑体" w:eastAsia="黑体"/>
        </w:rPr>
        <w:t>二、</w:t>
      </w:r>
      <w:bookmarkEnd w:id="15"/>
      <w:bookmarkEnd w:id="16"/>
      <w:bookmarkStart w:id="17" w:name="_Toc8130"/>
      <w:bookmarkStart w:id="18" w:name="_Toc28208"/>
      <w:r>
        <w:rPr>
          <w:rFonts w:hint="eastAsia" w:ascii="黑体" w:hAnsi="黑体" w:eastAsia="黑体"/>
        </w:rPr>
        <w:t>综合评价情况及评价结论（附相关评分表）</w:t>
      </w:r>
      <w:bookmarkEnd w:id="17"/>
      <w:bookmarkEnd w:id="18"/>
    </w:p>
    <w:p>
      <w:pPr>
        <w:ind w:firstLine="622" w:firstLineChars="200"/>
        <w:rPr>
          <w:rFonts w:ascii="仿宋_GB2312"/>
        </w:rPr>
      </w:pPr>
      <w:r>
        <w:rPr>
          <w:rFonts w:hint="eastAsia" w:ascii="仿宋_GB2312"/>
        </w:rPr>
        <w:t>评价小组根据指标体系，结合项目有关各方提供的资料及现场调研、问卷调查等获取的信息，对2021年</w:t>
      </w:r>
      <w:r>
        <w:rPr>
          <w:rFonts w:hint="eastAsia" w:ascii="仿宋_GB2312"/>
          <w:lang w:eastAsia="zh-CN"/>
        </w:rPr>
        <w:t>幼儿园发展经费项目</w:t>
      </w:r>
      <w:r>
        <w:rPr>
          <w:rFonts w:hint="eastAsia" w:ascii="仿宋_GB2312"/>
        </w:rPr>
        <w:t>进行综合评分，最终评分结果为</w:t>
      </w:r>
      <w:r>
        <w:rPr>
          <w:rFonts w:hint="eastAsia" w:ascii="仿宋_GB2312"/>
          <w:lang w:val="en-US" w:eastAsia="zh-CN"/>
        </w:rPr>
        <w:t>91.91</w:t>
      </w:r>
      <w:r>
        <w:rPr>
          <w:rFonts w:hint="eastAsia" w:ascii="仿宋_GB2312"/>
        </w:rPr>
        <w:t>分，综合评定等级为“</w:t>
      </w:r>
      <w:r>
        <w:rPr>
          <w:rFonts w:hint="eastAsia" w:ascii="仿宋_GB2312"/>
          <w:lang w:val="en-US" w:eastAsia="zh-CN"/>
        </w:rPr>
        <w:t>优</w:t>
      </w:r>
      <w:r>
        <w:rPr>
          <w:rFonts w:hint="eastAsia" w:ascii="仿宋_GB2312"/>
        </w:rPr>
        <w:t>”[《关于印发&lt;项目支出绩效评价管理办法&gt;的通知》（财预〔2020〕10号），总分设置为100分，等级划分为四档：90（含）-100分为优、80（含）-90分为良、60（含）-80分为中、60分以下为差。]。具体得分情况详见表</w:t>
      </w:r>
      <w:r>
        <w:rPr>
          <w:rFonts w:hint="eastAsia" w:ascii="仿宋_GB2312"/>
          <w:lang w:val="en-US" w:eastAsia="zh-CN"/>
        </w:rPr>
        <w:t>2</w:t>
      </w:r>
      <w:r>
        <w:rPr>
          <w:rFonts w:hint="eastAsia" w:ascii="仿宋_GB2312"/>
        </w:rPr>
        <w:t>-1。</w:t>
      </w:r>
    </w:p>
    <w:p>
      <w:pPr>
        <w:ind w:firstLine="462" w:firstLineChars="200"/>
        <w:jc w:val="center"/>
        <w:rPr>
          <w:rFonts w:ascii="黑体" w:hAnsi="黑体" w:eastAsia="黑体"/>
        </w:rPr>
      </w:pPr>
      <w:r>
        <w:rPr>
          <w:rFonts w:hint="eastAsia" w:ascii="仿宋_GB2312" w:hAnsi="仿宋_GB2312" w:cs="仿宋_GB2312"/>
          <w:b/>
          <w:bCs/>
          <w:sz w:val="24"/>
          <w:szCs w:val="20"/>
        </w:rPr>
        <w:t>表</w:t>
      </w:r>
      <w:r>
        <w:rPr>
          <w:rFonts w:hint="eastAsia" w:ascii="仿宋_GB2312" w:hAnsi="仿宋_GB2312" w:cs="仿宋_GB2312"/>
          <w:b/>
          <w:bCs/>
          <w:sz w:val="24"/>
          <w:szCs w:val="20"/>
          <w:lang w:val="en-US" w:eastAsia="zh-CN"/>
        </w:rPr>
        <w:t>2</w:t>
      </w:r>
      <w:r>
        <w:rPr>
          <w:rFonts w:hint="eastAsia" w:ascii="仿宋_GB2312" w:hAnsi="仿宋_GB2312" w:cs="仿宋_GB2312"/>
          <w:b/>
          <w:bCs/>
          <w:sz w:val="24"/>
          <w:szCs w:val="20"/>
        </w:rPr>
        <w:t>-1  2021年度</w:t>
      </w:r>
      <w:r>
        <w:rPr>
          <w:rFonts w:hint="eastAsia" w:ascii="仿宋_GB2312" w:hAnsi="仿宋_GB2312" w:cs="仿宋_GB2312"/>
          <w:b/>
          <w:bCs/>
          <w:sz w:val="24"/>
          <w:szCs w:val="20"/>
          <w:lang w:val="en-US" w:eastAsia="zh-CN"/>
        </w:rPr>
        <w:t>幼儿园发展经费</w:t>
      </w:r>
      <w:r>
        <w:rPr>
          <w:rFonts w:hint="eastAsia" w:ascii="仿宋_GB2312" w:hAnsi="仿宋_GB2312" w:cs="仿宋_GB2312"/>
          <w:b/>
          <w:bCs/>
          <w:sz w:val="24"/>
          <w:szCs w:val="20"/>
        </w:rPr>
        <w:t>项目得分汇总表</w:t>
      </w:r>
    </w:p>
    <w:tbl>
      <w:tblPr>
        <w:tblStyle w:val="19"/>
        <w:tblW w:w="5000" w:type="pct"/>
        <w:tblInd w:w="0" w:type="dxa"/>
        <w:tblLayout w:type="autofit"/>
        <w:tblCellMar>
          <w:top w:w="0" w:type="dxa"/>
          <w:left w:w="108" w:type="dxa"/>
          <w:bottom w:w="0" w:type="dxa"/>
          <w:right w:w="108" w:type="dxa"/>
        </w:tblCellMar>
      </w:tblPr>
      <w:tblGrid>
        <w:gridCol w:w="1154"/>
        <w:gridCol w:w="1010"/>
        <w:gridCol w:w="946"/>
        <w:gridCol w:w="1091"/>
        <w:gridCol w:w="1595"/>
        <w:gridCol w:w="1091"/>
        <w:gridCol w:w="946"/>
        <w:gridCol w:w="1227"/>
      </w:tblGrid>
      <w:tr>
        <w:tblPrEx>
          <w:tblCellMar>
            <w:top w:w="0" w:type="dxa"/>
            <w:left w:w="108" w:type="dxa"/>
            <w:bottom w:w="0" w:type="dxa"/>
            <w:right w:w="108" w:type="dxa"/>
          </w:tblCellMar>
        </w:tblPrEx>
        <w:trPr>
          <w:trHeight w:val="23" w:hRule="atLeast"/>
          <w:tblHeader/>
        </w:trPr>
        <w:tc>
          <w:tcPr>
            <w:tcW w:w="63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一级</w:t>
            </w:r>
          </w:p>
          <w:p>
            <w:pPr>
              <w:spacing w:line="320" w:lineRule="exact"/>
              <w:jc w:val="center"/>
              <w:rPr>
                <w:rFonts w:ascii="仿宋_GB2312" w:hAnsi="仿宋_GB2312" w:cs="仿宋_GB2312"/>
                <w:b/>
                <w:bCs/>
                <w:sz w:val="22"/>
              </w:rPr>
            </w:pPr>
            <w:r>
              <w:rPr>
                <w:rFonts w:hint="eastAsia" w:ascii="仿宋_GB2312" w:hAnsi="仿宋_GB2312" w:cs="仿宋_GB2312"/>
                <w:b/>
                <w:bCs/>
                <w:sz w:val="22"/>
              </w:rPr>
              <w:t>指标</w:t>
            </w:r>
          </w:p>
        </w:tc>
        <w:tc>
          <w:tcPr>
            <w:tcW w:w="557"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权重</w:t>
            </w:r>
          </w:p>
        </w:tc>
        <w:tc>
          <w:tcPr>
            <w:tcW w:w="52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w:t>
            </w:r>
          </w:p>
        </w:tc>
        <w:tc>
          <w:tcPr>
            <w:tcW w:w="60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得分率</w:t>
            </w:r>
          </w:p>
        </w:tc>
        <w:tc>
          <w:tcPr>
            <w:tcW w:w="879"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二级</w:t>
            </w:r>
          </w:p>
          <w:p>
            <w:pPr>
              <w:spacing w:line="320" w:lineRule="exact"/>
              <w:jc w:val="center"/>
              <w:rPr>
                <w:rFonts w:ascii="仿宋_GB2312" w:hAnsi="仿宋_GB2312" w:cs="仿宋_GB2312"/>
                <w:b/>
                <w:bCs/>
                <w:sz w:val="22"/>
              </w:rPr>
            </w:pPr>
            <w:r>
              <w:rPr>
                <w:rFonts w:hint="eastAsia" w:ascii="仿宋_GB2312" w:hAnsi="仿宋_GB2312" w:cs="仿宋_GB2312"/>
                <w:b/>
                <w:bCs/>
                <w:sz w:val="22"/>
              </w:rPr>
              <w:t>指标</w:t>
            </w:r>
          </w:p>
        </w:tc>
        <w:tc>
          <w:tcPr>
            <w:tcW w:w="60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权重</w:t>
            </w:r>
          </w:p>
        </w:tc>
        <w:tc>
          <w:tcPr>
            <w:tcW w:w="522"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w:t>
            </w:r>
          </w:p>
        </w:tc>
        <w:tc>
          <w:tcPr>
            <w:tcW w:w="677" w:type="pct"/>
            <w:tcBorders>
              <w:top w:val="single" w:color="auto" w:sz="4" w:space="0"/>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得分率</w:t>
            </w:r>
          </w:p>
        </w:tc>
      </w:tr>
      <w:tr>
        <w:tblPrEx>
          <w:tblCellMar>
            <w:top w:w="0" w:type="dxa"/>
            <w:left w:w="108" w:type="dxa"/>
            <w:bottom w:w="0" w:type="dxa"/>
            <w:right w:w="108" w:type="dxa"/>
          </w:tblCellMar>
        </w:tblPrEx>
        <w:trPr>
          <w:trHeight w:val="23" w:hRule="atLeast"/>
        </w:trPr>
        <w:tc>
          <w:tcPr>
            <w:tcW w:w="63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决策</w:t>
            </w:r>
          </w:p>
        </w:tc>
        <w:tc>
          <w:tcPr>
            <w:tcW w:w="55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15.00</w:t>
            </w:r>
          </w:p>
        </w:tc>
        <w:tc>
          <w:tcPr>
            <w:tcW w:w="52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w:t>
            </w:r>
            <w:r>
              <w:rPr>
                <w:rFonts w:hint="eastAsia" w:ascii="仿宋_GB2312" w:hAnsi="仿宋_GB2312" w:cs="仿宋_GB2312"/>
                <w:sz w:val="22"/>
                <w:lang w:val="en-US" w:eastAsia="zh-CN"/>
              </w:rPr>
              <w:t>3</w:t>
            </w:r>
            <w:r>
              <w:rPr>
                <w:rFonts w:hint="eastAsia" w:ascii="仿宋_GB2312" w:hAnsi="仿宋_GB2312" w:cs="仿宋_GB2312"/>
                <w:sz w:val="22"/>
              </w:rPr>
              <w:t>.00</w:t>
            </w:r>
          </w:p>
        </w:tc>
        <w:tc>
          <w:tcPr>
            <w:tcW w:w="60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86.67</w:t>
            </w:r>
            <w:r>
              <w:rPr>
                <w:rFonts w:hint="eastAsia" w:ascii="仿宋_GB2312" w:hAnsi="仿宋_GB2312" w:cs="仿宋_GB2312"/>
                <w:sz w:val="22"/>
              </w:rPr>
              <w:t>%</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A1 项目立项</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A2 绩效目标</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3</w:t>
            </w:r>
            <w:r>
              <w:rPr>
                <w:rFonts w:hint="eastAsia" w:ascii="仿宋_GB2312" w:hAnsi="仿宋_GB2312" w:cs="仿宋_GB2312"/>
                <w:sz w:val="22"/>
              </w:rPr>
              <w:t>.00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6</w:t>
            </w:r>
            <w:r>
              <w:rPr>
                <w:rFonts w:hint="eastAsia" w:ascii="仿宋_GB2312" w:hAnsi="仿宋_GB2312" w:cs="仿宋_GB2312"/>
                <w:sz w:val="22"/>
              </w:rPr>
              <w:t>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A3 资金投入</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过程</w:t>
            </w:r>
          </w:p>
        </w:tc>
        <w:tc>
          <w:tcPr>
            <w:tcW w:w="55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22.00</w:t>
            </w:r>
          </w:p>
        </w:tc>
        <w:tc>
          <w:tcPr>
            <w:tcW w:w="52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w:t>
            </w:r>
            <w:r>
              <w:rPr>
                <w:rFonts w:hint="eastAsia" w:ascii="仿宋_GB2312" w:hAnsi="仿宋_GB2312" w:cs="仿宋_GB2312"/>
                <w:sz w:val="22"/>
                <w:lang w:val="en-US" w:eastAsia="zh-CN"/>
              </w:rPr>
              <w:t>8</w:t>
            </w:r>
            <w:r>
              <w:rPr>
                <w:rFonts w:hint="eastAsia" w:ascii="仿宋_GB2312" w:hAnsi="仿宋_GB2312" w:cs="仿宋_GB2312"/>
                <w:sz w:val="22"/>
              </w:rPr>
              <w:t>.00</w:t>
            </w:r>
          </w:p>
        </w:tc>
        <w:tc>
          <w:tcPr>
            <w:tcW w:w="60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81.82</w:t>
            </w:r>
            <w:r>
              <w:rPr>
                <w:rFonts w:hint="eastAsia" w:ascii="仿宋_GB2312" w:hAnsi="仿宋_GB2312" w:cs="仿宋_GB2312"/>
                <w:sz w:val="22"/>
              </w:rPr>
              <w:t>%</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B1 资金管理</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w:t>
            </w:r>
            <w:r>
              <w:rPr>
                <w:rFonts w:hint="eastAsia" w:ascii="仿宋_GB2312" w:hAnsi="仿宋_GB2312" w:cs="仿宋_GB2312"/>
                <w:sz w:val="22"/>
              </w:rPr>
              <w:t>.00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w:t>
            </w:r>
            <w:r>
              <w:rPr>
                <w:rFonts w:hint="eastAsia" w:ascii="仿宋_GB2312" w:hAnsi="仿宋_GB2312" w:cs="仿宋_GB2312"/>
                <w:sz w:val="22"/>
              </w:rPr>
              <w:t>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B2 组织实施</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10</w:t>
            </w:r>
            <w:r>
              <w:rPr>
                <w:rFonts w:hint="eastAsia" w:ascii="仿宋_GB2312" w:hAnsi="仿宋_GB2312" w:cs="仿宋_GB2312"/>
                <w:sz w:val="22"/>
              </w:rPr>
              <w:t>.00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83.33</w:t>
            </w:r>
            <w:r>
              <w:rPr>
                <w:rFonts w:hint="eastAsia" w:ascii="仿宋_GB2312" w:hAnsi="仿宋_GB2312" w:cs="仿宋_GB2312"/>
                <w:sz w:val="22"/>
              </w:rPr>
              <w:t>%</w:t>
            </w:r>
          </w:p>
        </w:tc>
      </w:tr>
      <w:tr>
        <w:tblPrEx>
          <w:tblCellMar>
            <w:top w:w="0" w:type="dxa"/>
            <w:left w:w="108" w:type="dxa"/>
            <w:bottom w:w="0" w:type="dxa"/>
            <w:right w:w="108" w:type="dxa"/>
          </w:tblCellMar>
        </w:tblPrEx>
        <w:trPr>
          <w:trHeight w:val="23" w:hRule="atLeast"/>
        </w:trPr>
        <w:tc>
          <w:tcPr>
            <w:tcW w:w="63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产出</w:t>
            </w:r>
          </w:p>
        </w:tc>
        <w:tc>
          <w:tcPr>
            <w:tcW w:w="557"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34.00</w:t>
            </w:r>
          </w:p>
        </w:tc>
        <w:tc>
          <w:tcPr>
            <w:tcW w:w="52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32.00</w:t>
            </w:r>
          </w:p>
        </w:tc>
        <w:tc>
          <w:tcPr>
            <w:tcW w:w="602" w:type="pct"/>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94.12%</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C1 产出数量</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C2 产出质量</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12.00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C3 产出时效</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3.00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60.00%</w:t>
            </w:r>
          </w:p>
        </w:tc>
      </w:tr>
      <w:tr>
        <w:tblPrEx>
          <w:tblCellMar>
            <w:top w:w="0" w:type="dxa"/>
            <w:left w:w="108" w:type="dxa"/>
            <w:bottom w:w="0" w:type="dxa"/>
            <w:right w:w="108" w:type="dxa"/>
          </w:tblCellMar>
        </w:tblPrEx>
        <w:trPr>
          <w:trHeight w:val="23" w:hRule="atLeast"/>
        </w:trPr>
        <w:tc>
          <w:tcPr>
            <w:tcW w:w="63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57"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52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602" w:type="pct"/>
            <w:vMerge w:val="continue"/>
            <w:tcBorders>
              <w:top w:val="nil"/>
              <w:left w:val="single" w:color="auto" w:sz="4" w:space="0"/>
              <w:bottom w:val="single" w:color="auto" w:sz="4" w:space="0"/>
              <w:right w:val="single" w:color="auto" w:sz="4" w:space="0"/>
            </w:tcBorders>
            <w:vAlign w:val="center"/>
          </w:tcPr>
          <w:p>
            <w:pPr>
              <w:spacing w:line="320" w:lineRule="exact"/>
              <w:jc w:val="center"/>
              <w:rPr>
                <w:rFonts w:ascii="仿宋_GB2312" w:hAnsi="仿宋_GB2312" w:cs="仿宋_GB2312"/>
                <w:sz w:val="22"/>
              </w:rPr>
            </w:pP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C4 产出成本</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5.00</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100.00%</w:t>
            </w:r>
          </w:p>
        </w:tc>
      </w:tr>
      <w:tr>
        <w:tblPrEx>
          <w:tblCellMar>
            <w:top w:w="0" w:type="dxa"/>
            <w:left w:w="108" w:type="dxa"/>
            <w:bottom w:w="0" w:type="dxa"/>
            <w:right w:w="108" w:type="dxa"/>
          </w:tblCellMar>
        </w:tblPrEx>
        <w:trPr>
          <w:trHeight w:val="23" w:hRule="atLeast"/>
        </w:trPr>
        <w:tc>
          <w:tcPr>
            <w:tcW w:w="637" w:type="pc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效益</w:t>
            </w:r>
          </w:p>
        </w:tc>
        <w:tc>
          <w:tcPr>
            <w:tcW w:w="55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29.00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hint="default" w:ascii="仿宋_GB2312" w:hAnsi="仿宋_GB2312" w:eastAsia="仿宋_GB2312" w:cs="仿宋_GB2312"/>
                <w:sz w:val="22"/>
                <w:lang w:val="en-US" w:eastAsia="zh-CN"/>
              </w:rPr>
            </w:pPr>
            <w:r>
              <w:rPr>
                <w:rFonts w:hint="eastAsia" w:ascii="仿宋_GB2312" w:hAnsi="仿宋_GB2312" w:cs="仿宋_GB2312"/>
                <w:sz w:val="22"/>
              </w:rPr>
              <w:t>2</w:t>
            </w:r>
            <w:r>
              <w:rPr>
                <w:rFonts w:hint="eastAsia" w:ascii="仿宋_GB2312" w:hAnsi="仿宋_GB2312" w:cs="仿宋_GB2312"/>
                <w:sz w:val="22"/>
                <w:lang w:val="en-US" w:eastAsia="zh-CN"/>
              </w:rPr>
              <w:t>8.91</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99.69</w:t>
            </w:r>
            <w:r>
              <w:rPr>
                <w:rFonts w:hint="eastAsia" w:ascii="仿宋_GB2312" w:hAnsi="仿宋_GB2312" w:cs="仿宋_GB2312"/>
                <w:sz w:val="22"/>
              </w:rPr>
              <w:t>%</w:t>
            </w:r>
          </w:p>
        </w:tc>
        <w:tc>
          <w:tcPr>
            <w:tcW w:w="879"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D1 项目效益</w:t>
            </w:r>
          </w:p>
        </w:tc>
        <w:tc>
          <w:tcPr>
            <w:tcW w:w="602"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rPr>
              <w:t>29.00</w:t>
            </w:r>
          </w:p>
        </w:tc>
        <w:tc>
          <w:tcPr>
            <w:tcW w:w="522" w:type="pct"/>
            <w:tcBorders>
              <w:top w:val="nil"/>
              <w:left w:val="nil"/>
              <w:bottom w:val="single" w:color="auto" w:sz="4" w:space="0"/>
              <w:right w:val="single" w:color="auto" w:sz="4" w:space="0"/>
            </w:tcBorders>
            <w:shd w:val="clear" w:color="auto" w:fill="auto"/>
            <w:vAlign w:val="center"/>
          </w:tcPr>
          <w:p>
            <w:pPr>
              <w:spacing w:line="320" w:lineRule="exact"/>
              <w:jc w:val="center"/>
              <w:rPr>
                <w:rFonts w:hint="default" w:ascii="仿宋_GB2312" w:hAnsi="仿宋_GB2312" w:eastAsia="仿宋_GB2312" w:cs="仿宋_GB2312"/>
                <w:sz w:val="22"/>
                <w:lang w:val="en-US" w:eastAsia="zh-CN"/>
              </w:rPr>
            </w:pPr>
            <w:r>
              <w:rPr>
                <w:rFonts w:hint="eastAsia" w:ascii="仿宋_GB2312" w:hAnsi="仿宋_GB2312" w:cs="仿宋_GB2312"/>
                <w:sz w:val="22"/>
                <w:lang w:val="en-US" w:eastAsia="zh-CN"/>
              </w:rPr>
              <w:t>28.91</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sz w:val="22"/>
              </w:rPr>
            </w:pPr>
            <w:r>
              <w:rPr>
                <w:rFonts w:hint="eastAsia" w:ascii="仿宋_GB2312" w:hAnsi="仿宋_GB2312" w:cs="仿宋_GB2312"/>
                <w:sz w:val="22"/>
                <w:lang w:val="en-US" w:eastAsia="zh-CN"/>
              </w:rPr>
              <w:t>99.69</w:t>
            </w:r>
            <w:r>
              <w:rPr>
                <w:rFonts w:hint="eastAsia" w:ascii="仿宋_GB2312" w:hAnsi="仿宋_GB2312" w:cs="仿宋_GB2312"/>
                <w:sz w:val="22"/>
              </w:rPr>
              <w:t>%</w:t>
            </w:r>
          </w:p>
        </w:tc>
      </w:tr>
      <w:tr>
        <w:tblPrEx>
          <w:tblCellMar>
            <w:top w:w="0" w:type="dxa"/>
            <w:left w:w="108" w:type="dxa"/>
            <w:bottom w:w="0" w:type="dxa"/>
            <w:right w:w="108" w:type="dxa"/>
          </w:tblCellMar>
        </w:tblPrEx>
        <w:trPr>
          <w:trHeight w:val="23" w:hRule="atLeast"/>
        </w:trPr>
        <w:tc>
          <w:tcPr>
            <w:tcW w:w="3198" w:type="pct"/>
            <w:gridSpan w:val="5"/>
            <w:tcBorders>
              <w:top w:val="nil"/>
              <w:left w:val="single" w:color="auto" w:sz="4" w:space="0"/>
              <w:bottom w:val="single" w:color="auto" w:sz="4" w:space="0"/>
              <w:right w:val="single" w:color="auto" w:sz="4" w:space="0"/>
            </w:tcBorders>
            <w:shd w:val="clear" w:color="auto" w:fill="auto"/>
            <w:noWrap/>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总分</w:t>
            </w:r>
          </w:p>
        </w:tc>
        <w:tc>
          <w:tcPr>
            <w:tcW w:w="602" w:type="pct"/>
            <w:tcBorders>
              <w:top w:val="nil"/>
              <w:left w:val="nil"/>
              <w:bottom w:val="single" w:color="auto" w:sz="4" w:space="0"/>
              <w:right w:val="single" w:color="auto" w:sz="4" w:space="0"/>
            </w:tcBorders>
            <w:shd w:val="clear" w:color="auto" w:fill="auto"/>
            <w:noWrap/>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rPr>
              <w:t>100.00</w:t>
            </w:r>
          </w:p>
        </w:tc>
        <w:tc>
          <w:tcPr>
            <w:tcW w:w="522" w:type="pct"/>
            <w:tcBorders>
              <w:top w:val="nil"/>
              <w:left w:val="nil"/>
              <w:bottom w:val="single" w:color="auto" w:sz="4" w:space="0"/>
              <w:right w:val="single" w:color="auto" w:sz="4" w:space="0"/>
            </w:tcBorders>
            <w:shd w:val="clear" w:color="auto" w:fill="auto"/>
            <w:noWrap/>
            <w:vAlign w:val="center"/>
          </w:tcPr>
          <w:p>
            <w:pPr>
              <w:spacing w:line="320" w:lineRule="exact"/>
              <w:jc w:val="center"/>
              <w:rPr>
                <w:rFonts w:hint="default" w:ascii="仿宋_GB2312" w:hAnsi="仿宋_GB2312" w:eastAsia="仿宋_GB2312" w:cs="仿宋_GB2312"/>
                <w:b/>
                <w:bCs/>
                <w:sz w:val="22"/>
                <w:lang w:val="en-US" w:eastAsia="zh-CN"/>
              </w:rPr>
            </w:pPr>
            <w:r>
              <w:rPr>
                <w:rFonts w:hint="eastAsia" w:ascii="仿宋_GB2312" w:hAnsi="仿宋_GB2312" w:cs="仿宋_GB2312"/>
                <w:b/>
                <w:bCs/>
                <w:sz w:val="22"/>
                <w:lang w:val="en-US" w:eastAsia="zh-CN"/>
              </w:rPr>
              <w:t>91.91</w:t>
            </w:r>
          </w:p>
        </w:tc>
        <w:tc>
          <w:tcPr>
            <w:tcW w:w="677" w:type="pct"/>
            <w:tcBorders>
              <w:top w:val="nil"/>
              <w:left w:val="nil"/>
              <w:bottom w:val="single" w:color="auto" w:sz="4" w:space="0"/>
              <w:right w:val="single" w:color="auto" w:sz="4" w:space="0"/>
            </w:tcBorders>
            <w:shd w:val="clear" w:color="auto" w:fill="auto"/>
            <w:vAlign w:val="center"/>
          </w:tcPr>
          <w:p>
            <w:pPr>
              <w:spacing w:line="320" w:lineRule="exact"/>
              <w:jc w:val="center"/>
              <w:rPr>
                <w:rFonts w:ascii="仿宋_GB2312" w:hAnsi="仿宋_GB2312" w:cs="仿宋_GB2312"/>
                <w:b/>
                <w:bCs/>
                <w:sz w:val="22"/>
              </w:rPr>
            </w:pPr>
            <w:r>
              <w:rPr>
                <w:rFonts w:hint="eastAsia" w:ascii="仿宋_GB2312" w:hAnsi="仿宋_GB2312" w:cs="仿宋_GB2312"/>
                <w:b/>
                <w:bCs/>
                <w:sz w:val="22"/>
                <w:lang w:val="en-US" w:eastAsia="zh-CN"/>
              </w:rPr>
              <w:t>91.91</w:t>
            </w:r>
            <w:r>
              <w:rPr>
                <w:rFonts w:hint="eastAsia" w:ascii="仿宋_GB2312" w:hAnsi="仿宋_GB2312" w:cs="仿宋_GB2312"/>
                <w:b/>
                <w:bCs/>
                <w:sz w:val="22"/>
              </w:rPr>
              <w:t>%</w:t>
            </w:r>
          </w:p>
        </w:tc>
      </w:tr>
    </w:tbl>
    <w:p>
      <w:pPr>
        <w:ind w:firstLine="622" w:firstLineChars="200"/>
        <w:outlineLvl w:val="0"/>
        <w:rPr>
          <w:rFonts w:ascii="黑体" w:hAnsi="黑体" w:eastAsia="黑体"/>
        </w:rPr>
      </w:pPr>
      <w:bookmarkStart w:id="19" w:name="_Toc29681"/>
      <w:bookmarkStart w:id="20" w:name="_Toc30937"/>
      <w:r>
        <w:rPr>
          <w:rFonts w:hint="eastAsia" w:ascii="黑体" w:hAnsi="黑体" w:eastAsia="黑体"/>
          <w:lang w:val="en-US" w:eastAsia="zh-CN"/>
        </w:rPr>
        <w:t>三</w:t>
      </w:r>
      <w:r>
        <w:rPr>
          <w:rFonts w:hint="eastAsia" w:ascii="黑体" w:hAnsi="黑体" w:eastAsia="黑体"/>
        </w:rPr>
        <w:t>、主要经验及做法</w:t>
      </w:r>
      <w:bookmarkEnd w:id="19"/>
      <w:bookmarkEnd w:id="20"/>
    </w:p>
    <w:p>
      <w:pPr>
        <w:ind w:firstLine="622" w:firstLineChars="200"/>
        <w:outlineLvl w:val="1"/>
        <w:rPr>
          <w:rFonts w:ascii="楷体_GB2312" w:eastAsia="楷体_GB2312"/>
          <w:b w:val="0"/>
          <w:bCs w:val="0"/>
        </w:rPr>
      </w:pPr>
      <w:bookmarkStart w:id="21" w:name="_Toc20246"/>
      <w:bookmarkStart w:id="22" w:name="_Toc27794"/>
      <w:r>
        <w:rPr>
          <w:rFonts w:hint="eastAsia" w:ascii="楷体_GB2312" w:eastAsia="楷体_GB2312"/>
          <w:b w:val="0"/>
          <w:bCs w:val="0"/>
        </w:rPr>
        <w:t>（一）</w:t>
      </w:r>
      <w:r>
        <w:rPr>
          <w:rFonts w:hint="eastAsia" w:ascii="楷体_GB2312" w:eastAsia="楷体_GB2312"/>
          <w:b w:val="0"/>
          <w:bCs w:val="0"/>
          <w:lang w:val="en-US" w:eastAsia="zh-CN"/>
        </w:rPr>
        <w:t>补贴项目设置合理，促进大鹏新区学前教育提质增效。</w:t>
      </w:r>
      <w:bookmarkEnd w:id="21"/>
      <w:bookmarkEnd w:id="22"/>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lang w:val="en-US" w:eastAsia="zh-CN"/>
        </w:rPr>
        <w:t>2021年幼儿园发展经费项目共涉及三类补贴和两类奖励经费，补贴和奖励对象分为：学生、保教人员和幼儿园。</w:t>
      </w:r>
    </w:p>
    <w:p>
      <w:pPr>
        <w:ind w:firstLine="622" w:firstLineChars="200"/>
        <w:rPr>
          <w:rFonts w:hint="eastAsia" w:ascii="仿宋_GB2312" w:hAnsi="仿宋_GB2312" w:cs="仿宋_GB2312"/>
          <w:lang w:val="en-US" w:eastAsia="zh-CN"/>
        </w:rPr>
      </w:pPr>
      <w:r>
        <w:rPr>
          <w:rFonts w:hint="eastAsia" w:ascii="仿宋_GB2312" w:hAnsi="仿宋_GB2312" w:cs="仿宋_GB2312"/>
        </w:rPr>
        <w:t>一是</w:t>
      </w:r>
      <w:r>
        <w:rPr>
          <w:rFonts w:hint="eastAsia" w:ascii="仿宋_GB2312" w:hAnsi="仿宋_GB2312" w:cs="仿宋_GB2312"/>
          <w:lang w:val="en-US" w:eastAsia="zh-CN"/>
        </w:rPr>
        <w:t>补贴学生，包括学前资助和健康成长补贴，一部分资金可以缓解家庭教育支出带来的经济压力，其他部分资金可以用于幼儿园购买儿童读物或教玩具，开展全园教育教学活动，塑造更好的健康成长缓解，推动幼儿园教学水平提高。</w:t>
      </w:r>
    </w:p>
    <w:p>
      <w:pPr>
        <w:ind w:firstLine="622" w:firstLineChars="200"/>
        <w:rPr>
          <w:rFonts w:ascii="仿宋_GB2312" w:hAnsi="仿宋_GB2312" w:cs="仿宋_GB2312"/>
        </w:rPr>
      </w:pPr>
      <w:r>
        <w:rPr>
          <w:rFonts w:hint="eastAsia" w:ascii="仿宋_GB2312" w:hAnsi="仿宋_GB2312" w:cs="仿宋_GB2312"/>
        </w:rPr>
        <w:t>二是</w:t>
      </w:r>
      <w:r>
        <w:rPr>
          <w:rFonts w:hint="eastAsia" w:ascii="仿宋_GB2312" w:hAnsi="仿宋_GB2312" w:cs="仿宋_GB2312"/>
          <w:lang w:val="en-US" w:eastAsia="zh-CN"/>
        </w:rPr>
        <w:t>补贴保教人员，通过幼儿园保教人员长期从教津贴的发放，为新区学前教育发展进一步吸引优质教学力量，稳定教学队伍。</w:t>
      </w:r>
    </w:p>
    <w:p>
      <w:pPr>
        <w:ind w:firstLine="622" w:firstLineChars="200"/>
        <w:rPr>
          <w:rFonts w:ascii="仿宋_GB2312"/>
        </w:rPr>
      </w:pPr>
      <w:r>
        <w:rPr>
          <w:rFonts w:hint="eastAsia" w:ascii="仿宋_GB2312" w:hAnsi="仿宋_GB2312" w:cs="仿宋_GB2312"/>
        </w:rPr>
        <w:t>三是</w:t>
      </w:r>
      <w:r>
        <w:rPr>
          <w:rFonts w:hint="eastAsia" w:ascii="仿宋_GB2312" w:hAnsi="仿宋_GB2312" w:cs="仿宋_GB2312"/>
          <w:lang w:val="en-US" w:eastAsia="zh-CN"/>
        </w:rPr>
        <w:t>补贴幼儿园，普惠园奖励金和通过市一级督导评估奖励金作为奖励性补助经费应当用于提高教职工待遇，提升保教质量，不得用于清偿债务、回报举办者、支付捐款、赞助投资、罚款等其他用途。</w:t>
      </w:r>
    </w:p>
    <w:p>
      <w:pPr>
        <w:ind w:firstLine="622" w:firstLineChars="200"/>
        <w:outlineLvl w:val="1"/>
        <w:rPr>
          <w:rFonts w:ascii="楷体_GB2312" w:eastAsia="楷体_GB2312"/>
          <w:b w:val="0"/>
          <w:bCs w:val="0"/>
          <w:highlight w:val="none"/>
        </w:rPr>
      </w:pPr>
      <w:bookmarkStart w:id="23" w:name="_Toc21353"/>
      <w:bookmarkStart w:id="24" w:name="_Toc11293"/>
      <w:r>
        <w:rPr>
          <w:rFonts w:hint="eastAsia" w:ascii="楷体_GB2312" w:eastAsia="楷体_GB2312"/>
          <w:b w:val="0"/>
          <w:bCs w:val="0"/>
          <w:highlight w:val="none"/>
        </w:rPr>
        <w:t>（二）</w:t>
      </w:r>
      <w:r>
        <w:rPr>
          <w:rFonts w:hint="eastAsia" w:ascii="楷体_GB2312" w:eastAsia="楷体_GB2312"/>
          <w:b w:val="0"/>
          <w:bCs w:val="0"/>
          <w:highlight w:val="none"/>
          <w:lang w:val="en-US" w:eastAsia="zh-CN"/>
        </w:rPr>
        <w:t>通过有效政策扶持，推动新区民办幼儿园发展</w:t>
      </w:r>
      <w:r>
        <w:rPr>
          <w:rFonts w:hint="eastAsia" w:ascii="楷体_GB2312" w:eastAsia="楷体_GB2312"/>
          <w:b w:val="0"/>
          <w:bCs w:val="0"/>
          <w:highlight w:val="none"/>
        </w:rPr>
        <w:t>。</w:t>
      </w:r>
      <w:bookmarkEnd w:id="23"/>
      <w:bookmarkEnd w:id="24"/>
    </w:p>
    <w:p>
      <w:pPr>
        <w:ind w:firstLine="622" w:firstLineChars="200"/>
        <w:rPr>
          <w:rFonts w:ascii="仿宋_GB2312" w:hAnsi="仿宋_GB2312" w:cs="仿宋_GB2312"/>
        </w:rPr>
      </w:pPr>
      <w:r>
        <w:rPr>
          <w:rFonts w:hint="eastAsia" w:ascii="仿宋_GB2312" w:hAnsi="仿宋_GB2312" w:cs="仿宋_GB2312"/>
          <w:highlight w:val="none"/>
          <w:lang w:val="en-US" w:eastAsia="zh-CN"/>
        </w:rPr>
        <w:t>大鹏新区为推动民办教育发展，制定了《大鹏新区促进民办教育优质发展若干措施》规定</w:t>
      </w:r>
      <w:r>
        <w:rPr>
          <w:rFonts w:hint="eastAsia" w:ascii="仿宋_GB2312" w:hAnsi="仿宋_GB2312" w:cs="仿宋_GB2312"/>
          <w:lang w:val="en-US" w:eastAsia="zh-CN"/>
        </w:rPr>
        <w:t>民办幼儿园保教人员长期从教津贴和民办普惠园奖励金在相关政策的基础上提高补贴发放标准，针对民办</w:t>
      </w:r>
      <w:r>
        <w:rPr>
          <w:rFonts w:hint="default" w:ascii="仿宋_GB2312" w:hAnsi="仿宋_GB2312" w:cs="仿宋_GB2312"/>
          <w:lang w:eastAsia="zh-CN"/>
        </w:rPr>
        <w:t>幼儿</w:t>
      </w:r>
      <w:r>
        <w:rPr>
          <w:rFonts w:hint="eastAsia" w:ascii="仿宋_GB2312" w:hAnsi="仿宋_GB2312" w:cs="仿宋_GB2312"/>
          <w:lang w:val="en-US" w:eastAsia="zh-CN"/>
        </w:rPr>
        <w:t>园通过省、市、区不同等级督导评估给予不同比例的奖励。政策的有效扶持促进新区民办幼儿园不断往高水平发展。</w:t>
      </w:r>
    </w:p>
    <w:p>
      <w:pPr>
        <w:ind w:firstLine="622" w:firstLineChars="200"/>
        <w:outlineLvl w:val="1"/>
        <w:rPr>
          <w:rFonts w:ascii="楷体_GB2312" w:eastAsia="楷体_GB2312"/>
          <w:b w:val="0"/>
          <w:bCs w:val="0"/>
        </w:rPr>
      </w:pPr>
      <w:bookmarkStart w:id="25" w:name="_Toc1940"/>
      <w:bookmarkStart w:id="26" w:name="_Toc1362"/>
      <w:r>
        <w:rPr>
          <w:rFonts w:hint="eastAsia" w:ascii="楷体_GB2312" w:eastAsia="楷体_GB2312"/>
          <w:b w:val="0"/>
          <w:bCs w:val="0"/>
        </w:rPr>
        <w:t>（三）</w:t>
      </w:r>
      <w:r>
        <w:rPr>
          <w:rFonts w:hint="eastAsia" w:ascii="楷体_GB2312" w:eastAsia="楷体_GB2312"/>
          <w:b w:val="0"/>
          <w:bCs w:val="0"/>
          <w:lang w:val="en-US" w:eastAsia="zh-CN"/>
        </w:rPr>
        <w:t>学生资助“保教”和“生活补贴”兼顾，有效缓解困难家庭教育支出压力</w:t>
      </w:r>
      <w:r>
        <w:rPr>
          <w:rFonts w:hint="eastAsia" w:ascii="楷体_GB2312" w:eastAsia="楷体_GB2312"/>
          <w:b w:val="0"/>
          <w:bCs w:val="0"/>
        </w:rPr>
        <w:t>。</w:t>
      </w:r>
      <w:bookmarkEnd w:id="25"/>
      <w:bookmarkEnd w:id="26"/>
    </w:p>
    <w:p>
      <w:pPr>
        <w:ind w:firstLine="622" w:firstLineChars="200"/>
        <w:rPr>
          <w:rFonts w:hint="default" w:ascii="仿宋_GB2312" w:hAnsi="仿宋_GB2312" w:cs="仿宋_GB2312"/>
          <w:lang w:val="en-US"/>
        </w:rPr>
      </w:pPr>
      <w:r>
        <w:rPr>
          <w:rFonts w:hint="eastAsia" w:ascii="仿宋_GB2312" w:hAnsi="仿宋_GB2312" w:cs="仿宋_GB2312"/>
          <w:lang w:val="en-US" w:eastAsia="zh-CN"/>
        </w:rPr>
        <w:t>学生资助包含保教资助和生活补贴，保教费资助：家庭经济困难儿童和残疾儿童每生每学年350元；孤儿以及烈士子女每生每学年7000元。生活费补贴：每人每学年1000元。根据问卷调查结果可知，学生资助有效缓解困难家庭教育支出带来的经济压力。</w:t>
      </w:r>
    </w:p>
    <w:p>
      <w:pPr>
        <w:ind w:firstLine="622" w:firstLineChars="200"/>
        <w:outlineLvl w:val="0"/>
        <w:rPr>
          <w:rFonts w:ascii="黑体" w:hAnsi="黑体" w:eastAsia="黑体"/>
        </w:rPr>
      </w:pPr>
      <w:bookmarkStart w:id="27" w:name="_Toc30457"/>
      <w:bookmarkStart w:id="28" w:name="_Toc9146"/>
      <w:r>
        <w:rPr>
          <w:rFonts w:hint="eastAsia" w:ascii="黑体" w:hAnsi="黑体" w:eastAsia="黑体"/>
          <w:lang w:val="en-US" w:eastAsia="zh-CN"/>
        </w:rPr>
        <w:t>四</w:t>
      </w:r>
      <w:r>
        <w:rPr>
          <w:rFonts w:hint="eastAsia" w:ascii="黑体" w:hAnsi="黑体" w:eastAsia="黑体"/>
        </w:rPr>
        <w:t>、存在的问题及原因分析</w:t>
      </w:r>
      <w:bookmarkEnd w:id="27"/>
      <w:bookmarkEnd w:id="28"/>
    </w:p>
    <w:p>
      <w:pPr>
        <w:ind w:firstLine="622" w:firstLineChars="200"/>
        <w:outlineLvl w:val="1"/>
        <w:rPr>
          <w:rFonts w:ascii="楷体_GB2312" w:eastAsia="楷体_GB2312"/>
          <w:b w:val="0"/>
          <w:bCs w:val="0"/>
        </w:rPr>
      </w:pPr>
      <w:bookmarkStart w:id="29" w:name="_Toc28947"/>
      <w:bookmarkStart w:id="30" w:name="_Toc7116"/>
      <w:r>
        <w:rPr>
          <w:rFonts w:hint="eastAsia" w:ascii="楷体_GB2312" w:eastAsia="楷体_GB2312"/>
          <w:b w:val="0"/>
          <w:bCs w:val="0"/>
        </w:rPr>
        <w:t>（一）年度绩效目标设置不够清晰，绩效指标未完全覆盖任务项。</w:t>
      </w:r>
      <w:bookmarkEnd w:id="29"/>
      <w:bookmarkEnd w:id="30"/>
    </w:p>
    <w:p>
      <w:pPr>
        <w:ind w:firstLine="622" w:firstLineChars="200"/>
        <w:outlineLvl w:val="9"/>
        <w:rPr>
          <w:rFonts w:hint="default" w:ascii="仿宋_GB2312" w:hAnsi="仿宋_GB2312" w:eastAsia="仿宋_GB2312" w:cs="仿宋_GB2312"/>
          <w:lang w:val="en-US" w:eastAsia="zh-CN"/>
        </w:rPr>
      </w:pPr>
      <w:r>
        <w:rPr>
          <w:rFonts w:hint="eastAsia" w:ascii="仿宋_GB2312" w:hAnsi="仿宋_GB2312" w:cs="仿宋_GB2312"/>
        </w:rPr>
        <w:t>项目任务项包含通过市一级评估奖励一项，但是绩效指标未涉及该任务项。另外，项目年度总目标与项目实际效益不</w:t>
      </w:r>
      <w:r>
        <w:rPr>
          <w:rFonts w:hint="eastAsia" w:ascii="仿宋_GB2312" w:hAnsi="仿宋_GB2312" w:cs="仿宋_GB2312"/>
          <w:lang w:val="en-US" w:eastAsia="zh-CN"/>
        </w:rPr>
        <w:t>完全</w:t>
      </w:r>
      <w:r>
        <w:rPr>
          <w:rFonts w:hint="eastAsia" w:ascii="仿宋_GB2312" w:hAnsi="仿宋_GB2312" w:cs="仿宋_GB2312"/>
        </w:rPr>
        <w:t>相符。</w:t>
      </w:r>
      <w:r>
        <w:rPr>
          <w:rFonts w:hint="eastAsia" w:ascii="仿宋_GB2312" w:hAnsi="仿宋_GB2312" w:cs="仿宋_GB2312"/>
          <w:lang w:val="en-US" w:eastAsia="zh-CN"/>
        </w:rPr>
        <w:t>主要原因是未对项目的实际目标深入理解，未对项目任务项全面分解。</w:t>
      </w:r>
    </w:p>
    <w:p>
      <w:pPr>
        <w:ind w:firstLine="622" w:firstLineChars="200"/>
        <w:outlineLvl w:val="1"/>
        <w:rPr>
          <w:rFonts w:ascii="楷体_GB2312" w:eastAsia="楷体_GB2312"/>
          <w:b w:val="0"/>
          <w:bCs w:val="0"/>
        </w:rPr>
      </w:pPr>
      <w:bookmarkStart w:id="31" w:name="_Toc20527"/>
      <w:bookmarkStart w:id="32" w:name="_Toc23385"/>
      <w:r>
        <w:rPr>
          <w:rFonts w:hint="eastAsia" w:ascii="楷体_GB2312" w:eastAsia="楷体_GB2312"/>
          <w:b w:val="0"/>
          <w:bCs w:val="0"/>
        </w:rPr>
        <w:t>（二）预算调整率过高，超过预算调整合理水平。</w:t>
      </w:r>
      <w:bookmarkEnd w:id="31"/>
      <w:bookmarkEnd w:id="32"/>
    </w:p>
    <w:p>
      <w:pPr>
        <w:ind w:firstLine="622" w:firstLineChars="200"/>
        <w:rPr>
          <w:rFonts w:ascii="仿宋_GB2312" w:hAnsi="仿宋_GB2312" w:cs="仿宋_GB2312"/>
        </w:rPr>
      </w:pPr>
      <w:r>
        <w:rPr>
          <w:rFonts w:hint="eastAsia" w:ascii="仿宋_GB2312" w:hAnsi="仿宋_GB2312" w:cs="仿宋_GB2312"/>
        </w:rPr>
        <w:t>项目预算调整率过高，超过10%的合理水平。主要原因是</w:t>
      </w:r>
      <w:r>
        <w:rPr>
          <w:rFonts w:hint="eastAsia" w:ascii="仿宋_GB2312" w:hAnsi="仿宋_GB2312" w:cs="仿宋_GB2312"/>
          <w:lang w:val="en-US" w:eastAsia="zh-CN"/>
        </w:rPr>
        <w:t>预算编制不够准确，预算金额超过实际工作支出金额。</w:t>
      </w:r>
    </w:p>
    <w:p>
      <w:pPr>
        <w:ind w:firstLine="622" w:firstLineChars="200"/>
        <w:outlineLvl w:val="1"/>
        <w:rPr>
          <w:rFonts w:ascii="楷体_GB2312" w:eastAsia="楷体_GB2312"/>
          <w:b w:val="0"/>
          <w:bCs w:val="0"/>
        </w:rPr>
      </w:pPr>
      <w:bookmarkStart w:id="33" w:name="_Toc23008"/>
      <w:bookmarkStart w:id="34" w:name="_Toc16002"/>
      <w:r>
        <w:rPr>
          <w:rFonts w:hint="eastAsia" w:ascii="楷体_GB2312" w:eastAsia="楷体_GB2312"/>
          <w:b w:val="0"/>
          <w:bCs w:val="0"/>
        </w:rPr>
        <w:t>（三）</w:t>
      </w:r>
      <w:r>
        <w:rPr>
          <w:rFonts w:hint="eastAsia" w:ascii="楷体_GB2312" w:eastAsia="楷体_GB2312"/>
          <w:b w:val="0"/>
          <w:bCs w:val="0"/>
          <w:lang w:val="en-US" w:eastAsia="zh-CN"/>
        </w:rPr>
        <w:t>部分补贴</w:t>
      </w:r>
      <w:r>
        <w:rPr>
          <w:rFonts w:hint="eastAsia" w:ascii="楷体_GB2312" w:eastAsia="楷体_GB2312"/>
          <w:b w:val="0"/>
          <w:bCs w:val="0"/>
        </w:rPr>
        <w:t>未按照</w:t>
      </w:r>
      <w:r>
        <w:rPr>
          <w:rFonts w:hint="eastAsia" w:ascii="楷体_GB2312" w:eastAsia="楷体_GB2312"/>
          <w:b w:val="0"/>
          <w:bCs w:val="0"/>
          <w:lang w:val="en-US" w:eastAsia="zh-CN"/>
        </w:rPr>
        <w:t>政策</w:t>
      </w:r>
      <w:r>
        <w:rPr>
          <w:rFonts w:hint="eastAsia" w:ascii="楷体_GB2312" w:eastAsia="楷体_GB2312"/>
          <w:b w:val="0"/>
          <w:bCs w:val="0"/>
        </w:rPr>
        <w:t>规定</w:t>
      </w:r>
      <w:r>
        <w:rPr>
          <w:rFonts w:hint="eastAsia" w:ascii="楷体_GB2312" w:eastAsia="楷体_GB2312"/>
          <w:b w:val="0"/>
          <w:bCs w:val="0"/>
          <w:lang w:val="en-US" w:eastAsia="zh-CN"/>
        </w:rPr>
        <w:t>时间</w:t>
      </w:r>
      <w:r>
        <w:rPr>
          <w:rFonts w:hint="eastAsia" w:ascii="楷体_GB2312" w:eastAsia="楷体_GB2312"/>
          <w:b w:val="0"/>
          <w:bCs w:val="0"/>
        </w:rPr>
        <w:t>进行</w:t>
      </w:r>
      <w:r>
        <w:rPr>
          <w:rFonts w:hint="eastAsia" w:ascii="楷体_GB2312" w:eastAsia="楷体_GB2312"/>
          <w:b w:val="0"/>
          <w:bCs w:val="0"/>
          <w:lang w:val="en-US" w:eastAsia="zh-CN"/>
        </w:rPr>
        <w:t>发放</w:t>
      </w:r>
      <w:r>
        <w:rPr>
          <w:rFonts w:hint="eastAsia" w:ascii="楷体_GB2312" w:eastAsia="楷体_GB2312"/>
          <w:b w:val="0"/>
          <w:bCs w:val="0"/>
        </w:rPr>
        <w:t>，</w:t>
      </w:r>
      <w:r>
        <w:rPr>
          <w:rFonts w:hint="eastAsia" w:ascii="楷体_GB2312" w:eastAsia="楷体_GB2312"/>
          <w:b w:val="0"/>
          <w:bCs w:val="0"/>
          <w:lang w:val="en-US" w:eastAsia="zh-CN"/>
        </w:rPr>
        <w:t>实施过程不够严谨</w:t>
      </w:r>
      <w:r>
        <w:rPr>
          <w:rFonts w:hint="eastAsia" w:ascii="楷体_GB2312" w:eastAsia="楷体_GB2312"/>
          <w:b w:val="0"/>
          <w:bCs w:val="0"/>
        </w:rPr>
        <w:t>。</w:t>
      </w:r>
      <w:bookmarkEnd w:id="33"/>
      <w:bookmarkEnd w:id="34"/>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rPr>
        <w:t>根据《关于做好我市学前教育阶段2020-2021学年学生资助工作的通知》要求，幼儿园学生资助没有按照要求及时发放。根据2021年2月15日印发《深圳市教育局 深圳市人民政府教育督导室关于评定深圳新洲第一幼儿园等32所幼儿园为深圳市一级幼儿园的通知》（深教〔2019〕40号），奖励实际发放时间远超正常发放时间。</w:t>
      </w:r>
      <w:r>
        <w:rPr>
          <w:rFonts w:hint="eastAsia" w:ascii="仿宋_GB2312" w:hAnsi="仿宋_GB2312" w:cs="仿宋_GB2312"/>
          <w:lang w:val="en-US" w:eastAsia="zh-CN"/>
        </w:rPr>
        <w:t>主要原因是项目过程管理不够严谨，支出监控不到位导致未及时支出。</w:t>
      </w:r>
    </w:p>
    <w:p>
      <w:pPr>
        <w:ind w:firstLine="622" w:firstLineChars="200"/>
        <w:outlineLvl w:val="1"/>
        <w:rPr>
          <w:rFonts w:ascii="楷体_GB2312" w:eastAsia="楷体_GB2312"/>
          <w:b w:val="0"/>
          <w:bCs w:val="0"/>
          <w:highlight w:val="none"/>
        </w:rPr>
      </w:pPr>
      <w:bookmarkStart w:id="35" w:name="_Toc23027"/>
      <w:bookmarkStart w:id="36" w:name="_Toc9286"/>
      <w:r>
        <w:rPr>
          <w:rFonts w:hint="eastAsia" w:ascii="楷体_GB2312" w:eastAsia="楷体_GB2312"/>
          <w:b w:val="0"/>
          <w:bCs w:val="0"/>
          <w:highlight w:val="none"/>
        </w:rPr>
        <w:t>（四）</w:t>
      </w:r>
      <w:r>
        <w:rPr>
          <w:rFonts w:hint="eastAsia" w:ascii="楷体_GB2312" w:eastAsia="楷体_GB2312"/>
          <w:b w:val="0"/>
          <w:bCs w:val="0"/>
          <w:highlight w:val="none"/>
          <w:lang w:val="en-US" w:eastAsia="zh-CN"/>
        </w:rPr>
        <w:t>补贴相关政策超过有效期</w:t>
      </w:r>
      <w:r>
        <w:rPr>
          <w:rFonts w:hint="eastAsia" w:ascii="楷体_GB2312" w:eastAsia="楷体_GB2312"/>
          <w:b w:val="0"/>
          <w:bCs w:val="0"/>
          <w:highlight w:val="none"/>
        </w:rPr>
        <w:t>，未</w:t>
      </w:r>
      <w:r>
        <w:rPr>
          <w:rFonts w:hint="eastAsia" w:ascii="楷体_GB2312" w:eastAsia="楷体_GB2312"/>
          <w:b w:val="0"/>
          <w:bCs w:val="0"/>
          <w:highlight w:val="none"/>
          <w:lang w:val="en-US" w:eastAsia="zh-CN"/>
        </w:rPr>
        <w:t>制定出台新政策</w:t>
      </w:r>
      <w:r>
        <w:rPr>
          <w:rFonts w:hint="eastAsia" w:ascii="楷体_GB2312" w:eastAsia="楷体_GB2312"/>
          <w:b w:val="0"/>
          <w:bCs w:val="0"/>
          <w:highlight w:val="none"/>
        </w:rPr>
        <w:t>。</w:t>
      </w:r>
      <w:bookmarkEnd w:id="35"/>
      <w:bookmarkEnd w:id="36"/>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rPr>
        <w:t>《大鹏新区促进民办教育优质发展若干措施》执行，该政策发布时间为2018年5月23日，自发布之日起有效期三年，然而</w:t>
      </w:r>
      <w:r>
        <w:rPr>
          <w:rFonts w:hint="eastAsia" w:ascii="仿宋_GB2312" w:hAnsi="仿宋_GB2312" w:cs="仿宋_GB2312"/>
          <w:lang w:val="en-US" w:eastAsia="zh-CN"/>
        </w:rPr>
        <w:t>至今仍未有新的政策出台</w:t>
      </w:r>
      <w:r>
        <w:rPr>
          <w:rFonts w:hint="eastAsia" w:ascii="仿宋_GB2312" w:hAnsi="仿宋_GB2312" w:cs="仿宋_GB2312"/>
        </w:rPr>
        <w:t>。</w:t>
      </w:r>
      <w:r>
        <w:rPr>
          <w:rFonts w:hint="eastAsia" w:ascii="仿宋_GB2312" w:hAnsi="仿宋_GB2312" w:cs="仿宋_GB2312"/>
          <w:lang w:val="en-US" w:eastAsia="zh-CN"/>
        </w:rPr>
        <w:t>主要原因是对政策超出有效期应对不足，没有及时有效的对政策进行重新制定和优化。</w:t>
      </w:r>
    </w:p>
    <w:p>
      <w:pPr>
        <w:ind w:firstLine="622" w:firstLineChars="200"/>
        <w:outlineLvl w:val="0"/>
        <w:rPr>
          <w:rFonts w:ascii="黑体" w:hAnsi="黑体" w:eastAsia="黑体"/>
        </w:rPr>
      </w:pPr>
      <w:bookmarkStart w:id="37" w:name="_Toc10228"/>
      <w:bookmarkStart w:id="38" w:name="_Toc30756"/>
      <w:r>
        <w:rPr>
          <w:rFonts w:hint="eastAsia" w:ascii="黑体" w:hAnsi="黑体" w:eastAsia="黑体"/>
          <w:lang w:val="en-US" w:eastAsia="zh-CN"/>
        </w:rPr>
        <w:t>五</w:t>
      </w:r>
      <w:r>
        <w:rPr>
          <w:rFonts w:hint="eastAsia" w:ascii="黑体" w:hAnsi="黑体" w:eastAsia="黑体"/>
        </w:rPr>
        <w:t>、有关建议</w:t>
      </w:r>
      <w:bookmarkEnd w:id="37"/>
      <w:bookmarkEnd w:id="38"/>
    </w:p>
    <w:p>
      <w:pPr>
        <w:ind w:firstLine="622" w:firstLineChars="200"/>
        <w:outlineLvl w:val="1"/>
        <w:rPr>
          <w:rFonts w:ascii="楷体_GB2312" w:eastAsia="楷体_GB2312"/>
          <w:b w:val="0"/>
          <w:bCs w:val="0"/>
        </w:rPr>
      </w:pPr>
      <w:bookmarkStart w:id="39" w:name="_Toc29065"/>
      <w:bookmarkStart w:id="40" w:name="_Toc2984"/>
      <w:r>
        <w:rPr>
          <w:rFonts w:hint="eastAsia" w:ascii="楷体_GB2312" w:eastAsia="楷体_GB2312"/>
          <w:b w:val="0"/>
          <w:bCs w:val="0"/>
        </w:rPr>
        <w:t>（一）详细分解项目任务项，设置与之对应的绩效指标。</w:t>
      </w:r>
      <w:bookmarkEnd w:id="39"/>
      <w:bookmarkEnd w:id="40"/>
    </w:p>
    <w:p>
      <w:pPr>
        <w:ind w:firstLine="622" w:firstLineChars="200"/>
        <w:rPr>
          <w:rFonts w:ascii="仿宋_GB2312" w:hAnsi="仿宋_GB2312" w:cs="仿宋_GB2312"/>
        </w:rPr>
      </w:pPr>
      <w:r>
        <w:rPr>
          <w:rFonts w:hint="eastAsia" w:ascii="仿宋_GB2312" w:hAnsi="仿宋_GB2312" w:cs="仿宋_GB2312"/>
        </w:rPr>
        <w:t>做细、压实预算编制工作，详细分解项目任务项，针对各任务项设置与之对应的产出和效益指标。</w:t>
      </w:r>
    </w:p>
    <w:p>
      <w:pPr>
        <w:ind w:firstLine="622" w:firstLineChars="200"/>
        <w:outlineLvl w:val="1"/>
        <w:rPr>
          <w:rFonts w:ascii="楷体_GB2312" w:eastAsia="楷体_GB2312"/>
          <w:b w:val="0"/>
          <w:bCs w:val="0"/>
        </w:rPr>
      </w:pPr>
      <w:bookmarkStart w:id="41" w:name="_Toc27872"/>
      <w:bookmarkStart w:id="42" w:name="_Toc14323"/>
      <w:r>
        <w:rPr>
          <w:rFonts w:hint="eastAsia" w:ascii="楷体_GB2312" w:eastAsia="楷体_GB2312"/>
          <w:b w:val="0"/>
          <w:bCs w:val="0"/>
        </w:rPr>
        <w:t>（二）</w:t>
      </w:r>
      <w:r>
        <w:rPr>
          <w:rFonts w:hint="eastAsia" w:ascii="楷体_GB2312" w:eastAsia="楷体_GB2312"/>
          <w:b w:val="0"/>
          <w:bCs w:val="0"/>
          <w:lang w:val="en-US" w:eastAsia="zh-CN"/>
        </w:rPr>
        <w:t>动态管理补贴对象和政策变化</w:t>
      </w:r>
      <w:r>
        <w:rPr>
          <w:rFonts w:hint="eastAsia" w:ascii="楷体_GB2312" w:eastAsia="楷体_GB2312"/>
          <w:b w:val="0"/>
          <w:bCs w:val="0"/>
        </w:rPr>
        <w:t>，合理控制预算调整率。</w:t>
      </w:r>
      <w:bookmarkEnd w:id="41"/>
      <w:bookmarkEnd w:id="42"/>
    </w:p>
    <w:p>
      <w:pPr>
        <w:ind w:firstLine="622" w:firstLineChars="200"/>
        <w:rPr>
          <w:rFonts w:ascii="仿宋_GB2312" w:hAnsi="仿宋_GB2312" w:cs="仿宋_GB2312"/>
        </w:rPr>
      </w:pPr>
      <w:r>
        <w:rPr>
          <w:rFonts w:hint="eastAsia" w:ascii="仿宋_GB2312" w:hAnsi="仿宋_GB2312" w:cs="仿宋_GB2312"/>
          <w:lang w:val="en-US" w:eastAsia="zh-CN"/>
        </w:rPr>
        <w:t>充分了解幼儿园学生和保教人员变动情况，充分关注补贴政策的变化，动态管理补贴对象和相关政策变化情况，为预算编制提供依据，</w:t>
      </w:r>
      <w:r>
        <w:rPr>
          <w:rFonts w:hint="eastAsia" w:ascii="仿宋_GB2312" w:hAnsi="仿宋_GB2312" w:cs="仿宋_GB2312"/>
        </w:rPr>
        <w:t>将预算调整幅度控制在合理范围内。</w:t>
      </w:r>
    </w:p>
    <w:p>
      <w:pPr>
        <w:ind w:firstLine="622" w:firstLineChars="200"/>
        <w:outlineLvl w:val="1"/>
        <w:rPr>
          <w:rFonts w:hint="default" w:ascii="楷体_GB2312" w:eastAsia="楷体_GB2312"/>
          <w:b w:val="0"/>
          <w:bCs w:val="0"/>
          <w:lang w:val="en-US" w:eastAsia="zh-CN"/>
        </w:rPr>
      </w:pPr>
      <w:bookmarkStart w:id="43" w:name="_Toc32421"/>
      <w:bookmarkStart w:id="44" w:name="_Toc27611"/>
      <w:r>
        <w:rPr>
          <w:rFonts w:hint="eastAsia" w:ascii="楷体_GB2312" w:eastAsia="楷体_GB2312"/>
          <w:b w:val="0"/>
          <w:bCs w:val="0"/>
          <w:lang w:eastAsia="zh-CN"/>
        </w:rPr>
        <w:t>（</w:t>
      </w:r>
      <w:r>
        <w:rPr>
          <w:rFonts w:hint="eastAsia" w:ascii="楷体_GB2312" w:eastAsia="楷体_GB2312"/>
          <w:b w:val="0"/>
          <w:bCs w:val="0"/>
          <w:lang w:val="en-US" w:eastAsia="zh-CN"/>
        </w:rPr>
        <w:t>三</w:t>
      </w:r>
      <w:r>
        <w:rPr>
          <w:rFonts w:hint="eastAsia" w:ascii="楷体_GB2312" w:eastAsia="楷体_GB2312"/>
          <w:b w:val="0"/>
          <w:bCs w:val="0"/>
          <w:lang w:eastAsia="zh-CN"/>
        </w:rPr>
        <w:t>）</w:t>
      </w:r>
      <w:r>
        <w:rPr>
          <w:rFonts w:hint="eastAsia" w:ascii="楷体_GB2312" w:eastAsia="楷体_GB2312"/>
          <w:b w:val="0"/>
          <w:bCs w:val="0"/>
          <w:lang w:val="en-US" w:eastAsia="zh-CN"/>
        </w:rPr>
        <w:t>加强监控，保证资金及时支出。</w:t>
      </w:r>
      <w:bookmarkEnd w:id="43"/>
      <w:bookmarkEnd w:id="44"/>
    </w:p>
    <w:p>
      <w:pPr>
        <w:ind w:firstLine="622" w:firstLineChars="200"/>
        <w:outlineLvl w:val="9"/>
        <w:rPr>
          <w:rFonts w:hint="eastAsia" w:ascii="仿宋_GB2312" w:hAnsi="仿宋_GB2312" w:eastAsia="仿宋_GB2312" w:cs="仿宋_GB2312"/>
          <w:b w:val="0"/>
          <w:bCs w:val="0"/>
          <w:lang w:val="en-US" w:eastAsia="zh-CN"/>
        </w:rPr>
      </w:pPr>
      <w:bookmarkStart w:id="45" w:name="_Toc4715"/>
      <w:r>
        <w:rPr>
          <w:rFonts w:hint="eastAsia" w:ascii="仿宋_GB2312" w:hAnsi="仿宋_GB2312" w:eastAsia="仿宋_GB2312" w:cs="仿宋_GB2312"/>
          <w:b w:val="0"/>
          <w:bCs w:val="0"/>
          <w:lang w:val="en-US" w:eastAsia="zh-CN"/>
        </w:rPr>
        <w:t>加强财务监控。结合补贴资金拨付特点，新区教育和卫生健康局应加强对资金使用进度的监控，及时掌握资金发放情况。制定补贴资金发放时间表，严格按照政策规定时间发放。</w:t>
      </w:r>
      <w:bookmarkEnd w:id="45"/>
    </w:p>
    <w:p>
      <w:pPr>
        <w:ind w:firstLine="622" w:firstLineChars="200"/>
        <w:outlineLvl w:val="1"/>
        <w:rPr>
          <w:rFonts w:ascii="楷体_GB2312" w:eastAsia="楷体_GB2312"/>
          <w:b w:val="0"/>
          <w:bCs w:val="0"/>
          <w:highlight w:val="none"/>
        </w:rPr>
      </w:pPr>
      <w:bookmarkStart w:id="46" w:name="_Toc15994"/>
      <w:bookmarkStart w:id="47" w:name="_Toc25910"/>
      <w:r>
        <w:rPr>
          <w:rFonts w:hint="eastAsia" w:ascii="楷体_GB2312" w:eastAsia="楷体_GB2312"/>
          <w:b w:val="0"/>
          <w:bCs w:val="0"/>
          <w:highlight w:val="none"/>
        </w:rPr>
        <w:t>（</w:t>
      </w:r>
      <w:r>
        <w:rPr>
          <w:rFonts w:hint="eastAsia" w:ascii="楷体_GB2312" w:eastAsia="楷体_GB2312"/>
          <w:b w:val="0"/>
          <w:bCs w:val="0"/>
          <w:highlight w:val="none"/>
          <w:lang w:val="en-US" w:eastAsia="zh-CN"/>
        </w:rPr>
        <w:t>四</w:t>
      </w:r>
      <w:r>
        <w:rPr>
          <w:rFonts w:hint="eastAsia" w:ascii="楷体_GB2312" w:eastAsia="楷体_GB2312"/>
          <w:b w:val="0"/>
          <w:bCs w:val="0"/>
          <w:highlight w:val="none"/>
        </w:rPr>
        <w:t>）</w:t>
      </w:r>
      <w:r>
        <w:rPr>
          <w:rFonts w:hint="eastAsia" w:ascii="楷体_GB2312" w:eastAsia="楷体_GB2312"/>
          <w:b w:val="0"/>
          <w:bCs w:val="0"/>
          <w:highlight w:val="none"/>
          <w:lang w:val="en-US" w:eastAsia="zh-CN"/>
        </w:rPr>
        <w:t>尽快启动新政策制定工作</w:t>
      </w:r>
      <w:r>
        <w:rPr>
          <w:rFonts w:hint="eastAsia" w:ascii="楷体_GB2312" w:eastAsia="楷体_GB2312"/>
          <w:b w:val="0"/>
          <w:bCs w:val="0"/>
          <w:highlight w:val="none"/>
        </w:rPr>
        <w:t>，</w:t>
      </w:r>
      <w:r>
        <w:rPr>
          <w:rFonts w:hint="eastAsia" w:ascii="楷体_GB2312" w:eastAsia="楷体_GB2312"/>
          <w:b w:val="0"/>
          <w:bCs w:val="0"/>
          <w:highlight w:val="none"/>
          <w:lang w:val="en-US" w:eastAsia="zh-CN"/>
        </w:rPr>
        <w:t>推动新政策出台。</w:t>
      </w:r>
      <w:bookmarkEnd w:id="46"/>
      <w:bookmarkEnd w:id="47"/>
    </w:p>
    <w:p>
      <w:pPr>
        <w:ind w:firstLine="622" w:firstLineChars="200"/>
        <w:rPr>
          <w:rFonts w:hint="eastAsia" w:ascii="仿宋_GB2312" w:hAnsi="仿宋_GB2312" w:cs="仿宋_GB2312"/>
          <w:lang w:val="en-US" w:eastAsia="zh-CN"/>
        </w:rPr>
      </w:pPr>
      <w:r>
        <w:rPr>
          <w:rFonts w:hint="eastAsia" w:ascii="仿宋_GB2312" w:hAnsi="仿宋_GB2312" w:cs="仿宋_GB2312"/>
          <w:lang w:val="en-US" w:eastAsia="zh-CN"/>
        </w:rPr>
        <w:t>应尽快启动新政策制定工作，推动新政策出台，避免新区促进民办教育发展的相关政策长期处于政策真空。</w:t>
      </w:r>
    </w:p>
    <w:p>
      <w:pPr>
        <w:ind w:firstLine="622" w:firstLineChars="200"/>
        <w:rPr>
          <w:rFonts w:hint="eastAsia" w:ascii="仿宋_GB2312" w:hAnsi="仿宋_GB2312" w:cs="仿宋_GB2312"/>
          <w:lang w:val="en-US" w:eastAsia="zh-CN"/>
        </w:rPr>
      </w:pPr>
      <w:r>
        <w:rPr>
          <w:rFonts w:hint="eastAsia" w:ascii="仿宋_GB2312" w:hAnsi="仿宋_GB2312" w:cs="仿宋_GB2312"/>
          <w:lang w:val="en-US" w:eastAsia="zh-CN"/>
        </w:rPr>
        <w:t>一是明确政策制定牵头科室，将政策制定提上日程。</w:t>
      </w:r>
    </w:p>
    <w:p>
      <w:pPr>
        <w:ind w:firstLine="622" w:firstLineChars="200"/>
        <w:rPr>
          <w:rFonts w:hint="eastAsia" w:ascii="仿宋_GB2312" w:hAnsi="仿宋_GB2312" w:cs="仿宋_GB2312"/>
          <w:lang w:val="en-US" w:eastAsia="zh-CN"/>
        </w:rPr>
      </w:pPr>
      <w:r>
        <w:rPr>
          <w:rFonts w:hint="eastAsia" w:ascii="仿宋_GB2312" w:hAnsi="仿宋_GB2312" w:cs="仿宋_GB2312"/>
          <w:lang w:val="en-US" w:eastAsia="zh-CN"/>
        </w:rPr>
        <w:t>二是明确政策真空期相关补贴发放标准和依据。</w:t>
      </w:r>
    </w:p>
    <w:p>
      <w:pPr>
        <w:ind w:firstLine="622" w:firstLineChars="200"/>
        <w:rPr>
          <w:rFonts w:hint="default" w:ascii="仿宋_GB2312" w:hAnsi="仿宋_GB2312" w:eastAsia="仿宋_GB2312" w:cs="仿宋_GB2312"/>
          <w:lang w:val="en-US" w:eastAsia="zh-CN"/>
        </w:rPr>
      </w:pPr>
      <w:r>
        <w:rPr>
          <w:rFonts w:hint="eastAsia" w:ascii="仿宋_GB2312" w:hAnsi="仿宋_GB2312" w:cs="仿宋_GB2312"/>
          <w:lang w:val="en-US" w:eastAsia="zh-CN"/>
        </w:rPr>
        <w:t>三是提前做好新旧政策衔接，为新政策施行做好准备工作。</w:t>
      </w:r>
    </w:p>
    <w:p>
      <w:pPr>
        <w:ind w:firstLine="622" w:firstLineChars="200"/>
        <w:rPr>
          <w:rFonts w:ascii="仿宋_GB2312"/>
          <w:szCs w:val="32"/>
        </w:rPr>
      </w:pPr>
    </w:p>
    <w:sectPr>
      <w:footerReference r:id="rId5" w:type="default"/>
      <w:pgSz w:w="11906" w:h="16838"/>
      <w:pgMar w:top="2098" w:right="1474" w:bottom="1985" w:left="1588" w:header="851" w:footer="1418" w:gutter="0"/>
      <w:pgNumType w:fmt="numberInDash"/>
      <w:cols w:space="425" w:num="1"/>
      <w:docGrid w:type="linesAndChars" w:linePitch="579" w:charSpace="-204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微软雅黑">
    <w:altName w:val="方正黑体_GBK"/>
    <w:panose1 w:val="020B0503020204020204"/>
    <w:charset w:val="86"/>
    <w:family w:val="auto"/>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方正黑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方正宋体S-超大字符集(SIP)">
    <w:panose1 w:val="03000509000000000000"/>
    <w:charset w:val="86"/>
    <w:family w:val="auto"/>
    <w:pitch w:val="default"/>
    <w:sig w:usb0="00000003" w:usb1="0A0E08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7026659"/>
    </w:sdtPr>
    <w:sdtEndPr>
      <w:rPr>
        <w:rFonts w:ascii="宋体" w:hAnsi="宋体" w:eastAsia="宋体"/>
        <w:sz w:val="28"/>
        <w:szCs w:val="28"/>
      </w:rPr>
    </w:sdtEndPr>
    <w:sdtContent>
      <w:p>
        <w:pPr>
          <w:pStyle w:val="10"/>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0506662"/>
    </w:sdtPr>
    <w:sdtContent>
      <w:p>
        <w:pPr>
          <w:pStyle w:val="10"/>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8880942"/>
    </w:sdtPr>
    <w:sdtEndPr>
      <w:rPr>
        <w:rFonts w:ascii="宋体" w:hAnsi="宋体" w:eastAsia="宋体"/>
        <w:sz w:val="28"/>
        <w:szCs w:val="28"/>
      </w:rPr>
    </w:sdtEndPr>
    <w:sdtContent>
      <w:p>
        <w:pPr>
          <w:pStyle w:val="1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671B8"/>
    <w:multiLevelType w:val="multilevel"/>
    <w:tmpl w:val="610671B8"/>
    <w:lvl w:ilvl="0" w:tentative="0">
      <w:start w:val="1"/>
      <w:numFmt w:val="chineseCountingThousand"/>
      <w:suff w:val="nothing"/>
      <w:lvlText w:val="%1、"/>
      <w:lvlJc w:val="left"/>
      <w:pPr>
        <w:ind w:left="425" w:hanging="425"/>
      </w:pPr>
      <w:rPr>
        <w:rFonts w:hint="eastAsia"/>
      </w:rPr>
    </w:lvl>
    <w:lvl w:ilvl="1" w:tentative="0">
      <w:start w:val="1"/>
      <w:numFmt w:val="chineseCountingThousand"/>
      <w:suff w:val="nothing"/>
      <w:lvlText w:val="（%2）"/>
      <w:lvlJc w:val="left"/>
      <w:pPr>
        <w:ind w:left="992" w:hanging="567"/>
      </w:pPr>
      <w:rPr>
        <w:rFonts w:hint="eastAsia"/>
      </w:rPr>
    </w:lvl>
    <w:lvl w:ilvl="2" w:tentative="0">
      <w:start w:val="1"/>
      <w:numFmt w:val="decimal"/>
      <w:pStyle w:val="3"/>
      <w:suff w:val="nothing"/>
      <w:lvlText w:val="%3. "/>
      <w:lvlJc w:val="left"/>
      <w:pPr>
        <w:ind w:left="992" w:hanging="567"/>
      </w:pPr>
      <w:rPr>
        <w:rFonts w:hint="eastAsia"/>
      </w:rPr>
    </w:lvl>
    <w:lvl w:ilvl="3" w:tentative="0">
      <w:start w:val="1"/>
      <w:numFmt w:val="decimal"/>
      <w:suff w:val="nothing"/>
      <w:lvlText w:val="（%4）"/>
      <w:lvlJc w:val="left"/>
      <w:pPr>
        <w:ind w:left="992" w:hanging="425"/>
      </w:pPr>
      <w:rPr>
        <w:rFonts w:hint="eastAsia"/>
      </w:rPr>
    </w:lvl>
    <w:lvl w:ilvl="4" w:tentative="0">
      <w:start w:val="1"/>
      <w:numFmt w:val="decimal"/>
      <w:suff w:val="nothing"/>
      <w:lvlText w:val="%5）"/>
      <w:lvlJc w:val="left"/>
      <w:pPr>
        <w:ind w:left="992" w:hanging="113"/>
      </w:pPr>
      <w:rPr>
        <w:rFonts w:hint="eastAsia"/>
      </w:rPr>
    </w:lvl>
    <w:lvl w:ilvl="5" w:tentative="0">
      <w:start w:val="1"/>
      <w:numFmt w:val="decimal"/>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5"/>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NDllMWJiNTkzMTNkOTU2NTZlY2Y1MWM5NjZmNDMifQ=="/>
  </w:docVars>
  <w:rsids>
    <w:rsidRoot w:val="002F3A76"/>
    <w:rsid w:val="00027EEC"/>
    <w:rsid w:val="00077009"/>
    <w:rsid w:val="000B7DD3"/>
    <w:rsid w:val="000C18B6"/>
    <w:rsid w:val="000C714A"/>
    <w:rsid w:val="00136488"/>
    <w:rsid w:val="00170E29"/>
    <w:rsid w:val="001C79FC"/>
    <w:rsid w:val="002031C9"/>
    <w:rsid w:val="00220F0F"/>
    <w:rsid w:val="002F3A76"/>
    <w:rsid w:val="00324F25"/>
    <w:rsid w:val="00344B26"/>
    <w:rsid w:val="00367EDC"/>
    <w:rsid w:val="00454CCC"/>
    <w:rsid w:val="004A0ECE"/>
    <w:rsid w:val="0051216E"/>
    <w:rsid w:val="00512FE8"/>
    <w:rsid w:val="00514DAE"/>
    <w:rsid w:val="00593330"/>
    <w:rsid w:val="005C2D4B"/>
    <w:rsid w:val="005C55DC"/>
    <w:rsid w:val="00616EB9"/>
    <w:rsid w:val="00640579"/>
    <w:rsid w:val="0068384D"/>
    <w:rsid w:val="008154BE"/>
    <w:rsid w:val="00825C68"/>
    <w:rsid w:val="0084598F"/>
    <w:rsid w:val="00865F6F"/>
    <w:rsid w:val="008C3C6F"/>
    <w:rsid w:val="0097495E"/>
    <w:rsid w:val="00A608DB"/>
    <w:rsid w:val="00A92B4E"/>
    <w:rsid w:val="00AC047A"/>
    <w:rsid w:val="00B12F12"/>
    <w:rsid w:val="00B16C05"/>
    <w:rsid w:val="00B52D82"/>
    <w:rsid w:val="00B7170A"/>
    <w:rsid w:val="00BA304D"/>
    <w:rsid w:val="00BF5F51"/>
    <w:rsid w:val="00C76EF9"/>
    <w:rsid w:val="00C83DEB"/>
    <w:rsid w:val="00CC78E2"/>
    <w:rsid w:val="00D31834"/>
    <w:rsid w:val="00D53CE7"/>
    <w:rsid w:val="00E21CC4"/>
    <w:rsid w:val="00EC0692"/>
    <w:rsid w:val="00EC2491"/>
    <w:rsid w:val="00F22AC7"/>
    <w:rsid w:val="00F40AC7"/>
    <w:rsid w:val="00FA5647"/>
    <w:rsid w:val="00FD55AF"/>
    <w:rsid w:val="00FF78A5"/>
    <w:rsid w:val="06D073D9"/>
    <w:rsid w:val="07142E31"/>
    <w:rsid w:val="0DFB44BD"/>
    <w:rsid w:val="120B00A5"/>
    <w:rsid w:val="246503DA"/>
    <w:rsid w:val="26842129"/>
    <w:rsid w:val="2C947493"/>
    <w:rsid w:val="2CAC2693"/>
    <w:rsid w:val="2E062B41"/>
    <w:rsid w:val="32796FF4"/>
    <w:rsid w:val="3C5F5E7F"/>
    <w:rsid w:val="3FFFE857"/>
    <w:rsid w:val="42C44F91"/>
    <w:rsid w:val="4AF84809"/>
    <w:rsid w:val="4CCD035A"/>
    <w:rsid w:val="59A46A0A"/>
    <w:rsid w:val="5FAC7029"/>
    <w:rsid w:val="68F61D1B"/>
    <w:rsid w:val="71715385"/>
    <w:rsid w:val="7DBF182C"/>
    <w:rsid w:val="7F7A82BF"/>
    <w:rsid w:val="7FDECCB7"/>
    <w:rsid w:val="DD7185BA"/>
    <w:rsid w:val="DFBF4336"/>
    <w:rsid w:val="E5FE9639"/>
    <w:rsid w:val="FAFF8C1E"/>
    <w:rsid w:val="FDFFF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2"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3"/>
    <w:basedOn w:val="1"/>
    <w:next w:val="1"/>
    <w:qFormat/>
    <w:uiPriority w:val="2"/>
    <w:pPr>
      <w:keepNext/>
      <w:keepLines/>
      <w:numPr>
        <w:ilvl w:val="2"/>
        <w:numId w:val="1"/>
      </w:numPr>
      <w:spacing w:line="560" w:lineRule="exact"/>
      <w:ind w:left="0" w:firstLine="420" w:firstLineChars="200"/>
      <w:outlineLvl w:val="2"/>
    </w:pPr>
    <w:rPr>
      <w:rFonts w:ascii="Times New Roman" w:hAnsi="Times New Roman"/>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2520" w:leftChars="1200"/>
    </w:pPr>
    <w:rPr>
      <w:rFonts w:eastAsiaTheme="minorEastAsia"/>
      <w:sz w:val="21"/>
    </w:rPr>
  </w:style>
  <w:style w:type="paragraph" w:styleId="5">
    <w:name w:val="annotation text"/>
    <w:basedOn w:val="1"/>
    <w:link w:val="35"/>
    <w:semiHidden/>
    <w:unhideWhenUsed/>
    <w:qFormat/>
    <w:uiPriority w:val="99"/>
    <w:pPr>
      <w:jc w:val="left"/>
    </w:pPr>
  </w:style>
  <w:style w:type="paragraph" w:styleId="6">
    <w:name w:val="toc 5"/>
    <w:basedOn w:val="1"/>
    <w:next w:val="1"/>
    <w:unhideWhenUsed/>
    <w:qFormat/>
    <w:uiPriority w:val="39"/>
    <w:pPr>
      <w:ind w:left="1680" w:leftChars="800"/>
    </w:pPr>
    <w:rPr>
      <w:rFonts w:eastAsiaTheme="minorEastAsia"/>
      <w:sz w:val="21"/>
    </w:rPr>
  </w:style>
  <w:style w:type="paragraph" w:styleId="7">
    <w:name w:val="toc 3"/>
    <w:basedOn w:val="1"/>
    <w:next w:val="1"/>
    <w:unhideWhenUsed/>
    <w:qFormat/>
    <w:uiPriority w:val="39"/>
    <w:pPr>
      <w:ind w:left="840" w:leftChars="400"/>
    </w:pPr>
  </w:style>
  <w:style w:type="paragraph" w:styleId="8">
    <w:name w:val="toc 8"/>
    <w:basedOn w:val="1"/>
    <w:next w:val="1"/>
    <w:unhideWhenUsed/>
    <w:qFormat/>
    <w:uiPriority w:val="39"/>
    <w:pPr>
      <w:ind w:left="2940" w:leftChars="1400"/>
    </w:pPr>
    <w:rPr>
      <w:rFonts w:eastAsiaTheme="minorEastAsia"/>
      <w:sz w:val="21"/>
    </w:rPr>
  </w:style>
  <w:style w:type="paragraph" w:styleId="9">
    <w:name w:val="Balloon Text"/>
    <w:basedOn w:val="1"/>
    <w:link w:val="27"/>
    <w:semiHidden/>
    <w:unhideWhenUsed/>
    <w:qFormat/>
    <w:uiPriority w:val="99"/>
    <w:rPr>
      <w:sz w:val="18"/>
      <w:szCs w:val="18"/>
    </w:rPr>
  </w:style>
  <w:style w:type="paragraph" w:styleId="10">
    <w:name w:val="footer"/>
    <w:basedOn w:val="1"/>
    <w:link w:val="26"/>
    <w:unhideWhenUsed/>
    <w:qFormat/>
    <w:uiPriority w:val="99"/>
    <w:pPr>
      <w:tabs>
        <w:tab w:val="center" w:pos="4153"/>
        <w:tab w:val="right" w:pos="8306"/>
      </w:tabs>
      <w:snapToGrid w:val="0"/>
      <w:jc w:val="left"/>
    </w:pPr>
    <w:rPr>
      <w:sz w:val="18"/>
      <w:szCs w:val="18"/>
    </w:rPr>
  </w:style>
  <w:style w:type="paragraph" w:styleId="11">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rPr>
      <w:rFonts w:eastAsiaTheme="minorEastAsia"/>
      <w:sz w:val="21"/>
    </w:rPr>
  </w:style>
  <w:style w:type="paragraph" w:styleId="14">
    <w:name w:val="footnote text"/>
    <w:basedOn w:val="1"/>
    <w:qFormat/>
    <w:uiPriority w:val="0"/>
    <w:pPr>
      <w:snapToGrid w:val="0"/>
      <w:jc w:val="left"/>
    </w:pPr>
    <w:rPr>
      <w:rFonts w:ascii="Times New Roman" w:hAnsi="Times New Roman"/>
      <w:sz w:val="18"/>
      <w:szCs w:val="18"/>
    </w:rPr>
  </w:style>
  <w:style w:type="paragraph" w:styleId="15">
    <w:name w:val="toc 6"/>
    <w:basedOn w:val="1"/>
    <w:next w:val="1"/>
    <w:unhideWhenUsed/>
    <w:qFormat/>
    <w:uiPriority w:val="39"/>
    <w:pPr>
      <w:ind w:left="2100" w:leftChars="1000"/>
    </w:pPr>
    <w:rPr>
      <w:rFonts w:eastAsiaTheme="minorEastAsia"/>
      <w:sz w:val="21"/>
    </w:rPr>
  </w:style>
  <w:style w:type="paragraph" w:styleId="16">
    <w:name w:val="toc 2"/>
    <w:basedOn w:val="1"/>
    <w:next w:val="1"/>
    <w:unhideWhenUsed/>
    <w:qFormat/>
    <w:uiPriority w:val="39"/>
    <w:pPr>
      <w:ind w:left="420" w:leftChars="200"/>
    </w:pPr>
  </w:style>
  <w:style w:type="paragraph" w:styleId="17">
    <w:name w:val="toc 9"/>
    <w:basedOn w:val="1"/>
    <w:next w:val="1"/>
    <w:unhideWhenUsed/>
    <w:qFormat/>
    <w:uiPriority w:val="39"/>
    <w:pPr>
      <w:ind w:left="3360" w:leftChars="1600"/>
    </w:pPr>
    <w:rPr>
      <w:rFonts w:eastAsiaTheme="minorEastAsia"/>
      <w:sz w:val="21"/>
    </w:rPr>
  </w:style>
  <w:style w:type="paragraph" w:styleId="18">
    <w:name w:val="annotation subject"/>
    <w:basedOn w:val="5"/>
    <w:next w:val="5"/>
    <w:link w:val="36"/>
    <w:semiHidden/>
    <w:unhideWhenUsed/>
    <w:qFormat/>
    <w:uiPriority w:val="99"/>
    <w:rPr>
      <w:b/>
      <w:bCs/>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semiHidden/>
    <w:unhideWhenUsed/>
    <w:qFormat/>
    <w:uiPriority w:val="99"/>
    <w:rPr>
      <w:sz w:val="21"/>
      <w:szCs w:val="21"/>
    </w:rPr>
  </w:style>
  <w:style w:type="character" w:styleId="24">
    <w:name w:val="footnote reference"/>
    <w:basedOn w:val="21"/>
    <w:qFormat/>
    <w:uiPriority w:val="0"/>
    <w:rPr>
      <w:vertAlign w:val="superscript"/>
    </w:rPr>
  </w:style>
  <w:style w:type="character" w:customStyle="1" w:styleId="25">
    <w:name w:val="页眉 字符"/>
    <w:basedOn w:val="21"/>
    <w:link w:val="11"/>
    <w:qFormat/>
    <w:uiPriority w:val="99"/>
    <w:rPr>
      <w:sz w:val="18"/>
      <w:szCs w:val="18"/>
    </w:rPr>
  </w:style>
  <w:style w:type="character" w:customStyle="1" w:styleId="26">
    <w:name w:val="页脚 字符"/>
    <w:basedOn w:val="21"/>
    <w:link w:val="10"/>
    <w:qFormat/>
    <w:uiPriority w:val="99"/>
    <w:rPr>
      <w:sz w:val="18"/>
      <w:szCs w:val="18"/>
    </w:rPr>
  </w:style>
  <w:style w:type="character" w:customStyle="1" w:styleId="27">
    <w:name w:val="批注框文本 字符"/>
    <w:basedOn w:val="21"/>
    <w:link w:val="9"/>
    <w:semiHidden/>
    <w:qFormat/>
    <w:uiPriority w:val="99"/>
    <w:rPr>
      <w:sz w:val="18"/>
      <w:szCs w:val="18"/>
    </w:rPr>
  </w:style>
  <w:style w:type="character" w:customStyle="1" w:styleId="28">
    <w:name w:val="标题 1 字符"/>
    <w:basedOn w:val="21"/>
    <w:link w:val="2"/>
    <w:qFormat/>
    <w:uiPriority w:val="9"/>
    <w:rPr>
      <w:rFonts w:asciiTheme="minorHAnsi" w:hAnsiTheme="minorHAnsi"/>
      <w:b/>
      <w:bCs/>
      <w:kern w:val="44"/>
      <w:sz w:val="44"/>
      <w:szCs w:val="44"/>
    </w:rPr>
  </w:style>
  <w:style w:type="paragraph" w:customStyle="1" w:styleId="2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0">
    <w:name w:val="日浩正文"/>
    <w:basedOn w:val="1"/>
    <w:qFormat/>
    <w:uiPriority w:val="3"/>
    <w:pPr>
      <w:spacing w:line="560" w:lineRule="exact"/>
      <w:ind w:firstLine="200" w:firstLineChars="200"/>
    </w:pPr>
    <w:rPr>
      <w:rFonts w:ascii="Times New Roman" w:hAnsi="Times New Roman" w:cs="Times New Roman"/>
      <w:kern w:val="0"/>
      <w:szCs w:val="28"/>
      <w:lang w:val="zh-CN"/>
    </w:rPr>
  </w:style>
  <w:style w:type="paragraph" w:customStyle="1" w:styleId="31">
    <w:name w:val="日浩图表名"/>
    <w:basedOn w:val="1"/>
    <w:qFormat/>
    <w:uiPriority w:val="4"/>
    <w:pPr>
      <w:spacing w:before="60" w:after="60"/>
      <w:jc w:val="center"/>
    </w:pPr>
    <w:rPr>
      <w:rFonts w:ascii="Times New Roman" w:hAnsi="Times New Roman" w:cs="Times New Roman"/>
      <w:b/>
      <w:kern w:val="0"/>
      <w:sz w:val="24"/>
      <w:szCs w:val="28"/>
    </w:rPr>
  </w:style>
  <w:style w:type="paragraph" w:customStyle="1" w:styleId="32">
    <w:name w:val="日浩表文字"/>
    <w:basedOn w:val="30"/>
    <w:qFormat/>
    <w:uiPriority w:val="5"/>
    <w:pPr>
      <w:widowControl/>
      <w:spacing w:line="320" w:lineRule="exact"/>
      <w:ind w:firstLine="0" w:firstLineChars="0"/>
      <w:jc w:val="center"/>
    </w:pPr>
    <w:rPr>
      <w:rFonts w:cs="宋体"/>
      <w:bCs/>
      <w:color w:val="000000"/>
      <w:sz w:val="22"/>
      <w:szCs w:val="22"/>
    </w:rPr>
  </w:style>
  <w:style w:type="paragraph" w:customStyle="1" w:styleId="33">
    <w:name w:val="Revision"/>
    <w:hidden/>
    <w:semiHidden/>
    <w:qFormat/>
    <w:uiPriority w:val="99"/>
    <w:rPr>
      <w:rFonts w:eastAsia="仿宋_GB2312" w:asciiTheme="minorHAnsi" w:hAnsiTheme="minorHAnsi" w:cstheme="minorBidi"/>
      <w:kern w:val="2"/>
      <w:sz w:val="32"/>
      <w:szCs w:val="22"/>
      <w:lang w:val="en-US" w:eastAsia="zh-CN" w:bidi="ar-SA"/>
    </w:rPr>
  </w:style>
  <w:style w:type="character" w:customStyle="1" w:styleId="34">
    <w:name w:val="Unresolved Mention"/>
    <w:basedOn w:val="21"/>
    <w:semiHidden/>
    <w:unhideWhenUsed/>
    <w:qFormat/>
    <w:uiPriority w:val="99"/>
    <w:rPr>
      <w:color w:val="605E5C"/>
      <w:shd w:val="clear" w:color="auto" w:fill="E1DFDD"/>
    </w:rPr>
  </w:style>
  <w:style w:type="character" w:customStyle="1" w:styleId="35">
    <w:name w:val="批注文字 字符"/>
    <w:basedOn w:val="21"/>
    <w:link w:val="5"/>
    <w:semiHidden/>
    <w:qFormat/>
    <w:uiPriority w:val="99"/>
    <w:rPr>
      <w:rFonts w:asciiTheme="minorHAnsi" w:hAnsiTheme="minorHAnsi"/>
      <w:kern w:val="2"/>
      <w:sz w:val="32"/>
      <w:szCs w:val="22"/>
    </w:rPr>
  </w:style>
  <w:style w:type="character" w:customStyle="1" w:styleId="36">
    <w:name w:val="批注主题 字符"/>
    <w:basedOn w:val="35"/>
    <w:link w:val="18"/>
    <w:semiHidden/>
    <w:qFormat/>
    <w:uiPriority w:val="99"/>
    <w:rPr>
      <w:rFonts w:asciiTheme="minorHAnsi" w:hAnsiTheme="minorHAnsi"/>
      <w:b/>
      <w:bCs/>
      <w:kern w:val="2"/>
      <w:sz w:val="32"/>
      <w:szCs w:val="22"/>
    </w:rPr>
  </w:style>
  <w:style w:type="character" w:customStyle="1" w:styleId="37">
    <w:name w:val="font31"/>
    <w:basedOn w:val="21"/>
    <w:qFormat/>
    <w:uiPriority w:val="0"/>
    <w:rPr>
      <w:rFonts w:hint="eastAsia" w:ascii="微软雅黑" w:hAnsi="微软雅黑" w:eastAsia="微软雅黑" w:cs="微软雅黑"/>
      <w:color w:val="FF0000"/>
      <w:sz w:val="22"/>
      <w:szCs w:val="22"/>
      <w:u w:val="none"/>
    </w:rPr>
  </w:style>
  <w:style w:type="character" w:customStyle="1" w:styleId="38">
    <w:name w:val="font21"/>
    <w:basedOn w:val="21"/>
    <w:qFormat/>
    <w:uiPriority w:val="0"/>
    <w:rPr>
      <w:rFonts w:hint="eastAsia" w:ascii="微软雅黑" w:hAnsi="微软雅黑" w:eastAsia="微软雅黑" w:cs="微软雅黑"/>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18668</Words>
  <Characters>20368</Characters>
  <Lines>174</Lines>
  <Paragraphs>49</Paragraphs>
  <TotalTime>60</TotalTime>
  <ScaleCrop>false</ScaleCrop>
  <LinksUpToDate>false</LinksUpToDate>
  <CharactersWithSpaces>20746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2019-10-19T10:57:00Z</dcterms:created>
  <dc:creator>高释龙</dc:creator>
  <cp:lastModifiedBy>邓国威</cp:lastModifiedBy>
  <dcterms:modified xsi:type="dcterms:W3CDTF">2023-04-12T15:51:04Z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9A04FDA62D11456C96A88E3891D2C100</vt:lpwstr>
  </property>
</Properties>
</file>