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1"/>
        <w:spacing w:line="560" w:lineRule="exact"/>
        <w:jc w:val="left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附件1</w:t>
      </w:r>
    </w:p>
    <w:p>
      <w:pPr>
        <w:pStyle w:val="51"/>
        <w:spacing w:line="560" w:lineRule="exact"/>
        <w:rPr>
          <w:rFonts w:hint="eastAsia" w:eastAsia="黑体"/>
          <w:lang w:val="en-US" w:eastAsia="zh-CN"/>
        </w:rPr>
      </w:pPr>
      <w:bookmarkStart w:id="41" w:name="_GoBack"/>
      <w:bookmarkEnd w:id="41"/>
    </w:p>
    <w:p>
      <w:pPr>
        <w:pStyle w:val="51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深圳市大鹏新区医疗健康集团部门整体</w:t>
      </w:r>
    </w:p>
    <w:p>
      <w:pPr>
        <w:pStyle w:val="51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pStyle w:val="51"/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（简版）</w:t>
      </w:r>
    </w:p>
    <w:p>
      <w:pPr>
        <w:pStyle w:val="3"/>
        <w:ind w:firstLine="0" w:firstLineChars="0"/>
        <w:rPr>
          <w:rFonts w:ascii="仿宋_GB2312" w:hAnsi="仿宋_GB2312" w:cs="仿宋_GB2312"/>
        </w:rPr>
      </w:pP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2022年</w:t>
      </w:r>
      <w:r>
        <w:rPr>
          <w:rFonts w:hint="eastAsia" w:ascii="仿宋_GB2312" w:hAnsi="仿宋_GB2312" w:cs="仿宋_GB2312"/>
          <w:lang w:val="en-US"/>
        </w:rPr>
        <w:t>5</w:t>
      </w:r>
      <w:r>
        <w:rPr>
          <w:rFonts w:hint="eastAsia" w:ascii="仿宋_GB2312" w:hAnsi="仿宋_GB2312" w:cs="仿宋_GB2312"/>
        </w:rPr>
        <w:t>月至2022年</w:t>
      </w:r>
      <w:r>
        <w:rPr>
          <w:rFonts w:hint="eastAsia" w:ascii="仿宋_GB2312" w:hAnsi="仿宋_GB2312" w:cs="仿宋_GB2312"/>
          <w:lang w:val="en-US"/>
        </w:rPr>
        <w:t>9</w:t>
      </w:r>
      <w:r>
        <w:rPr>
          <w:rFonts w:hint="eastAsia" w:ascii="仿宋_GB2312" w:hAnsi="仿宋_GB2312" w:cs="仿宋_GB2312"/>
        </w:rPr>
        <w:t>月期间，</w:t>
      </w:r>
      <w:r>
        <w:rPr>
          <w:rFonts w:hint="eastAsia" w:ascii="仿宋_GB2312" w:hAnsi="仿宋_GB2312" w:eastAsia="仿宋_GB2312" w:cs="仿宋_GB2312"/>
        </w:rPr>
        <w:t>深圳市</w:t>
      </w:r>
      <w:r>
        <w:rPr>
          <w:rFonts w:hint="eastAsia" w:ascii="仿宋_GB2312" w:hAnsi="仿宋_GB2312" w:eastAsia="仿宋_GB2312" w:cs="仿宋_GB2312"/>
          <w:shd w:val="clear" w:color="auto" w:fill="FFFFFF"/>
        </w:rPr>
        <w:t>大鹏新区</w:t>
      </w:r>
      <w:r>
        <w:rPr>
          <w:rFonts w:hint="eastAsia" w:ascii="仿宋_GB2312" w:hAnsi="仿宋_GB2312" w:eastAsia="仿宋_GB2312" w:cs="仿宋_GB2312"/>
          <w:szCs w:val="32"/>
        </w:rPr>
        <w:t>发展和财政局</w:t>
      </w:r>
      <w:r>
        <w:rPr>
          <w:rFonts w:hint="eastAsia" w:ascii="仿宋_GB2312" w:hAnsi="仿宋_GB2312" w:cs="仿宋_GB2312"/>
        </w:rPr>
        <w:t>组织评价组对2017-2021年度新区医疗健康集团部门整体支出</w:t>
      </w:r>
      <w:r>
        <w:rPr>
          <w:rFonts w:hint="eastAsia" w:ascii="仿宋_GB2312" w:hAnsi="仿宋_GB2312" w:cs="仿宋_GB2312"/>
          <w:lang w:val="en-US"/>
        </w:rPr>
        <w:t>开展</w:t>
      </w:r>
      <w:r>
        <w:rPr>
          <w:rFonts w:hint="eastAsia" w:ascii="仿宋_GB2312" w:hAnsi="仿宋_GB2312" w:cs="仿宋_GB2312"/>
        </w:rPr>
        <w:t>绩效评价，绩效评价</w:t>
      </w:r>
      <w:r>
        <w:rPr>
          <w:rFonts w:hint="default" w:ascii="仿宋_GB2312" w:hAnsi="仿宋_GB2312" w:cs="仿宋_GB2312"/>
        </w:rPr>
        <w:t>结果</w:t>
      </w:r>
      <w:r>
        <w:rPr>
          <w:rFonts w:hint="eastAsia" w:ascii="仿宋_GB2312" w:hAnsi="仿宋_GB2312" w:cs="仿宋_GB2312"/>
        </w:rPr>
        <w:t>为78.11分，绩效评级为“中”。具体情况如下：</w:t>
      </w:r>
    </w:p>
    <w:p>
      <w:pPr>
        <w:pStyle w:val="2"/>
        <w:spacing w:before="0" w:after="0"/>
        <w:ind w:firstLine="640"/>
      </w:pPr>
      <w:r>
        <w:rPr>
          <w:rFonts w:hint="eastAsia"/>
        </w:rPr>
        <w:t>基本情况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深圳市大鹏新区管理委员会（以下简称“新区管委会”）和深圳市公立医院管理中心（以下简称“原市医管中心”）于2017年就合作共建“深圳市大鹏新区医疗健康集团”（以下简称“医疗健康集团”</w:t>
      </w:r>
      <w:r>
        <w:rPr>
          <w:rFonts w:hint="eastAsia" w:ascii="仿宋_GB2312" w:hAnsi="仿宋_GB2312" w:cs="仿宋_GB2312"/>
          <w:lang w:val="en-US"/>
        </w:rPr>
        <w:t>或“集团”</w:t>
      </w:r>
      <w:r>
        <w:rPr>
          <w:rFonts w:hint="eastAsia" w:ascii="仿宋_GB2312" w:hAnsi="仿宋_GB2312" w:cs="仿宋_GB2312"/>
        </w:rPr>
        <w:t>）签订框架协议并联合印发《深圳市大鹏新区医疗卫生健康集团建设运营方案》（以下简称《运营方案》），确定了医疗健康集团由深圳市第二人民医院（以下简称“市二医院”）负责全面运营，并明确集团“4+6”运营目标。2018年经新区党工委会议同意，医疗健康集团作为新区一级财政预算单位运作，2017-2021年集团本级及其下属医院累计安排预算159,133.82万元，预算执行158,563.91万元，总体预算执行率为99.64%。</w:t>
      </w:r>
    </w:p>
    <w:p>
      <w:pPr>
        <w:pStyle w:val="2"/>
        <w:spacing w:before="0" w:after="0"/>
        <w:ind w:firstLine="640"/>
      </w:pPr>
      <w:r>
        <w:rPr>
          <w:rFonts w:hint="eastAsia"/>
        </w:rPr>
        <w:t>主要成效</w:t>
      </w:r>
    </w:p>
    <w:p>
      <w:pPr>
        <w:pStyle w:val="3"/>
        <w:ind w:firstLine="640"/>
        <w:rPr>
          <w:rFonts w:ascii="仿宋_GB2312" w:hAnsi="仿宋_GB2312" w:cs="仿宋_GB2312"/>
        </w:rPr>
      </w:pPr>
      <w:bookmarkStart w:id="0" w:name="_Toc112230575"/>
      <w:r>
        <w:rPr>
          <w:rFonts w:hint="eastAsia" w:ascii="楷体_GB2312" w:hAnsi="楷体_GB2312" w:eastAsia="楷体_GB2312" w:cs="楷体_GB2312"/>
        </w:rPr>
        <w:t>（一）首创三级医联体，新区医疗事业投入力度逐年增加。</w:t>
      </w:r>
      <w:bookmarkEnd w:id="0"/>
      <w:r>
        <w:rPr>
          <w:rFonts w:hint="eastAsia" w:ascii="仿宋_GB2312" w:hAnsi="仿宋_GB2312" w:cs="仿宋_GB2312"/>
        </w:rPr>
        <w:t>一方面是引入优质医疗管理资源，提升新区医院运营质量。另一方面构建深圳首个“市级医院－区级医院－社康中心”医联体，实现“市－区－社区”三级联动。同时，在医疗健康事业上，财政投入逐年增大，持续保障医联体运行。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</w:rPr>
        <w:t>（二）保障基本医疗健康服务供应，促进医疗资源均等化</w:t>
      </w:r>
      <w:r>
        <w:rPr>
          <w:rFonts w:hint="eastAsia" w:ascii="楷体_GB2312" w:hAnsi="楷体_GB2312" w:eastAsia="楷体_GB2312" w:cs="楷体_GB2312"/>
          <w:color w:val="333333"/>
          <w:shd w:val="clear" w:color="auto" w:fill="FFFFFF"/>
        </w:rPr>
        <w:t>。</w:t>
      </w:r>
      <w:r>
        <w:rPr>
          <w:rFonts w:hint="eastAsia" w:ascii="仿宋_GB2312" w:hAnsi="仿宋_GB2312" w:cs="仿宋_GB2312"/>
        </w:rPr>
        <w:t>一方面医疗配置逐渐达到深圳市平均水平，实现医疗资源均等化要求。另一方面推动新区医疗资源整合，实现部分检验结果在市二医院、区属医院互认。</w:t>
      </w:r>
    </w:p>
    <w:p>
      <w:pPr>
        <w:pStyle w:val="3"/>
        <w:ind w:firstLine="640"/>
        <w:rPr>
          <w:rFonts w:ascii="仿宋_GB2312" w:hAnsi="仿宋_GB2312" w:cs="仿宋_GB2312"/>
        </w:rPr>
      </w:pPr>
      <w:bookmarkStart w:id="1" w:name="_Toc112230577"/>
      <w:r>
        <w:rPr>
          <w:rFonts w:hint="eastAsia" w:ascii="楷体_GB2312" w:hAnsi="楷体_GB2312" w:eastAsia="楷体_GB2312" w:cs="楷体_GB2312"/>
        </w:rPr>
        <w:t>（三）推动区级重点学科建设，优化医务人才队伍结构</w:t>
      </w:r>
      <w:bookmarkEnd w:id="1"/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 w:ascii="仿宋_GB2312" w:hAnsi="仿宋_GB2312" w:cs="仿宋_GB2312"/>
        </w:rPr>
        <w:t>一方面推动区级重点学科建设，提升新区医务人员科研水平，实现市级以上科研课题零</w:t>
      </w:r>
      <w:r>
        <w:rPr>
          <w:rFonts w:hint="eastAsia" w:ascii="仿宋_GB2312" w:hAnsi="仿宋_GB2312" w:cs="仿宋_GB2312"/>
          <w:lang w:eastAsia="zh-CN"/>
        </w:rPr>
        <w:t>的</w:t>
      </w:r>
      <w:r>
        <w:rPr>
          <w:rFonts w:hint="eastAsia" w:ascii="仿宋_GB2312" w:hAnsi="仿宋_GB2312" w:cs="仿宋_GB2312"/>
        </w:rPr>
        <w:t>突破。另一方</w:t>
      </w:r>
      <w:r>
        <w:rPr>
          <w:rFonts w:hint="default" w:ascii="仿宋_GB2312" w:hAnsi="仿宋_GB2312" w:cs="仿宋_GB2312"/>
        </w:rPr>
        <w:t>面</w:t>
      </w:r>
      <w:r>
        <w:rPr>
          <w:rFonts w:hint="eastAsia" w:ascii="仿宋_GB2312" w:hAnsi="仿宋_GB2312" w:cs="仿宋_GB2312"/>
        </w:rPr>
        <w:t>持续开展人才队伍建设，提升人才队伍医学素养，实现新区医生队伍学历结构</w:t>
      </w:r>
      <w:r>
        <w:rPr>
          <w:rFonts w:hint="eastAsia" w:ascii="仿宋_GB2312" w:hAnsi="仿宋_GB2312" w:cs="仿宋_GB2312"/>
          <w:lang w:val="en-US"/>
        </w:rPr>
        <w:t>明显优化</w:t>
      </w:r>
      <w:r>
        <w:rPr>
          <w:rFonts w:hint="eastAsia" w:ascii="仿宋_GB2312" w:hAnsi="仿宋_GB2312" w:cs="仿宋_GB2312"/>
        </w:rPr>
        <w:t>。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hint="eastAsia" w:ascii="楷体_GB2312" w:hAnsi="楷体_GB2312" w:eastAsia="楷体_GB2312" w:cs="楷体_GB2312"/>
        </w:rPr>
        <w:t>（四）居民对新区医疗健康服务总体较为满意。</w:t>
      </w:r>
      <w:r>
        <w:rPr>
          <w:rFonts w:hint="eastAsia" w:ascii="楷体_GB2312" w:hAnsi="楷体_GB2312" w:eastAsia="楷体_GB2312" w:cs="楷体_GB2312"/>
          <w:lang w:val="en-US"/>
        </w:rPr>
        <w:t>深圳</w:t>
      </w:r>
      <w:r>
        <w:rPr>
          <w:rFonts w:hint="eastAsia" w:ascii="仿宋_GB2312" w:hAnsi="仿宋_GB2312" w:cs="仿宋_GB2312"/>
        </w:rPr>
        <w:t>市卫生健康委</w:t>
      </w:r>
      <w:r>
        <w:rPr>
          <w:rFonts w:hint="eastAsia" w:ascii="仿宋_GB2312" w:hAnsi="仿宋_GB2312" w:cs="仿宋_GB2312"/>
          <w:lang w:val="en-US"/>
        </w:rPr>
        <w:t>员会</w:t>
      </w:r>
      <w:r>
        <w:rPr>
          <w:rFonts w:hint="eastAsia" w:ascii="仿宋_GB2312" w:hAnsi="仿宋_GB2312" w:cs="仿宋_GB2312"/>
        </w:rPr>
        <w:t>公布的数据显示：</w:t>
      </w:r>
      <w:r>
        <w:rPr>
          <w:rFonts w:ascii="仿宋_GB2312" w:hAnsi="仿宋_GB2312" w:cs="仿宋_GB2312"/>
        </w:rPr>
        <w:t>新</w:t>
      </w:r>
      <w:r>
        <w:rPr>
          <w:rFonts w:hint="eastAsia" w:ascii="仿宋_GB2312" w:hAnsi="仿宋_GB2312" w:cs="仿宋_GB2312"/>
        </w:rPr>
        <w:t>区三家区属医院满意度均</w:t>
      </w:r>
      <w:r>
        <w:rPr>
          <w:rFonts w:ascii="仿宋_GB2312" w:hAnsi="仿宋_GB2312" w:cs="仿宋_GB2312"/>
        </w:rPr>
        <w:t>位于</w:t>
      </w:r>
      <w:r>
        <w:rPr>
          <w:rFonts w:hint="eastAsia" w:ascii="仿宋_GB2312" w:hAnsi="仿宋_GB2312" w:cs="仿宋_GB2312"/>
        </w:rPr>
        <w:t>二级、一级医院前十名。同时，本项目满意度调研结果显示，患者综合满意度95.59%。</w:t>
      </w:r>
    </w:p>
    <w:p>
      <w:pPr>
        <w:pStyle w:val="2"/>
        <w:keepNext/>
        <w:spacing w:before="0" w:after="0"/>
        <w:ind w:firstLine="640"/>
      </w:pPr>
      <w:r>
        <w:rPr>
          <w:rFonts w:hint="eastAsia"/>
        </w:rPr>
        <w:t>存在问题</w:t>
      </w:r>
    </w:p>
    <w:p>
      <w:pPr>
        <w:pStyle w:val="4"/>
        <w:spacing w:before="0" w:after="0"/>
        <w:ind w:firstLine="640"/>
        <w:rPr>
          <w:b w:val="0"/>
          <w:bCs w:val="0"/>
        </w:rPr>
      </w:pPr>
      <w:r>
        <w:rPr>
          <w:b w:val="0"/>
          <w:bCs w:val="0"/>
        </w:rPr>
        <w:t>集团运营机制尚未健全，运营效率有待提升</w:t>
      </w:r>
      <w:r>
        <w:rPr>
          <w:rFonts w:hint="eastAsia"/>
          <w:b w:val="0"/>
          <w:bCs w:val="0"/>
        </w:rPr>
        <w:t>。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1.</w:t>
      </w:r>
      <w:r>
        <w:rPr>
          <w:rFonts w:hint="eastAsia" w:ascii="仿宋_GB2312" w:hAnsi="仿宋_GB2312" w:cs="仿宋_GB2312"/>
        </w:rPr>
        <w:t>集团管理制度尚未健全。“一体化”运行机制</w:t>
      </w:r>
      <w:r>
        <w:rPr>
          <w:rStyle w:val="24"/>
          <w:rFonts w:ascii="仿宋_GB2312" w:hAnsi="仿宋_GB2312" w:cs="仿宋_GB2312"/>
        </w:rPr>
        <w:footnoteReference w:id="0"/>
      </w:r>
      <w:r>
        <w:rPr>
          <w:rFonts w:hint="eastAsia" w:ascii="仿宋_GB2312" w:hAnsi="仿宋_GB2312" w:cs="仿宋_GB2312"/>
        </w:rPr>
        <w:t>建设完成率</w:t>
      </w:r>
      <w:r>
        <w:rPr>
          <w:rFonts w:hint="default" w:ascii="仿宋_GB2312" w:hAnsi="仿宋_GB2312" w:cs="仿宋_GB2312"/>
        </w:rPr>
        <w:t>较低，</w:t>
      </w:r>
      <w:r>
        <w:rPr>
          <w:rFonts w:hint="eastAsia" w:ascii="仿宋_GB2312" w:hAnsi="仿宋_GB2312" w:cs="仿宋_GB2312"/>
        </w:rPr>
        <w:t>相对50%序时进度存在一定距离。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2.</w:t>
      </w:r>
      <w:r>
        <w:rPr>
          <w:rFonts w:hint="eastAsia" w:ascii="仿宋_GB2312" w:hAnsi="仿宋_GB2312" w:cs="仿宋_GB2312"/>
        </w:rPr>
        <w:t>设施设备管理效果不佳，部分业务用房为“危房”。</w:t>
      </w:r>
      <w:r>
        <w:rPr>
          <w:rFonts w:hint="eastAsia" w:ascii="仿宋_GB2312" w:hAnsi="仿宋_GB2312" w:cs="仿宋_GB2312"/>
          <w:b/>
          <w:bCs/>
        </w:rPr>
        <w:t>一是</w:t>
      </w:r>
      <w:r>
        <w:rPr>
          <w:rFonts w:hint="eastAsia" w:ascii="仿宋_GB2312" w:hAnsi="仿宋_GB2312" w:cs="仿宋_GB2312"/>
        </w:rPr>
        <w:t>部分医疗设备因可行性论证不充分导致使用率低。</w:t>
      </w:r>
      <w:r>
        <w:rPr>
          <w:rFonts w:hint="eastAsia" w:ascii="仿宋_GB2312" w:hAnsi="仿宋_GB2312" w:cs="仿宋_GB2312"/>
          <w:b/>
          <w:bCs/>
        </w:rPr>
        <w:t>二是</w:t>
      </w:r>
      <w:r>
        <w:rPr>
          <w:rFonts w:hint="eastAsia" w:ascii="仿宋_GB2312" w:hAnsi="仿宋_GB2312" w:cs="仿宋_GB2312"/>
        </w:rPr>
        <w:t>资产处置不及时。</w:t>
      </w:r>
      <w:r>
        <w:rPr>
          <w:rFonts w:hint="eastAsia" w:ascii="仿宋_GB2312" w:hAnsi="仿宋_GB2312" w:cs="仿宋_GB2312"/>
          <w:b/>
          <w:bCs/>
        </w:rPr>
        <w:t>三是</w:t>
      </w:r>
      <w:r>
        <w:rPr>
          <w:rFonts w:hint="eastAsia" w:ascii="仿宋_GB2312" w:hAnsi="仿宋_GB2312" w:cs="仿宋_GB2312"/>
        </w:rPr>
        <w:t>医院部分业务用房已不符合安全需求。</w:t>
      </w:r>
    </w:p>
    <w:p>
      <w:pPr>
        <w:pStyle w:val="4"/>
        <w:spacing w:before="0" w:after="0"/>
        <w:ind w:firstLine="640"/>
        <w:rPr>
          <w:b w:val="0"/>
          <w:bCs w:val="0"/>
        </w:rPr>
      </w:pPr>
      <w:bookmarkStart w:id="2" w:name="_Toc112230580"/>
      <w:r>
        <w:rPr>
          <w:rFonts w:hint="eastAsia"/>
          <w:b w:val="0"/>
          <w:bCs w:val="0"/>
        </w:rPr>
        <w:t>健康服务效益与目标存在差异，</w:t>
      </w:r>
      <w:r>
        <w:rPr>
          <w:b w:val="0"/>
          <w:bCs w:val="0"/>
        </w:rPr>
        <w:t>医疗服务水平待提升</w:t>
      </w:r>
      <w:bookmarkEnd w:id="2"/>
      <w:r>
        <w:rPr>
          <w:rFonts w:hint="eastAsia"/>
          <w:b w:val="0"/>
          <w:bCs w:val="0"/>
        </w:rPr>
        <w:t>。</w:t>
      </w:r>
    </w:p>
    <w:p>
      <w:pPr>
        <w:pStyle w:val="3"/>
        <w:ind w:firstLine="640"/>
        <w:rPr>
          <w:rFonts w:ascii="仿宋_GB2312" w:hAnsi="仿宋_GB2312" w:cs="仿宋_GB2312"/>
          <w:b/>
          <w:bCs/>
        </w:rPr>
      </w:pPr>
      <w:bookmarkStart w:id="3" w:name="_Toc121760013"/>
      <w:bookmarkStart w:id="4" w:name="_Toc116227537"/>
      <w:bookmarkStart w:id="5" w:name="_Toc120300343"/>
      <w:bookmarkStart w:id="6" w:name="_Toc120810101"/>
      <w:bookmarkStart w:id="7" w:name="_Toc112856907"/>
      <w:bookmarkStart w:id="8" w:name="_Toc120865428"/>
      <w:bookmarkStart w:id="9" w:name="_Toc121401507"/>
      <w:bookmarkStart w:id="10" w:name="_Toc112864924"/>
      <w:bookmarkStart w:id="11" w:name="_Toc121669415"/>
      <w:r>
        <w:rPr>
          <w:rFonts w:ascii="仿宋_GB2312" w:hAnsi="仿宋_GB2312" w:cs="仿宋_GB2312"/>
        </w:rPr>
        <w:t>1.</w:t>
      </w:r>
      <w:r>
        <w:rPr>
          <w:rFonts w:hint="eastAsia" w:ascii="仿宋_GB2312" w:hAnsi="仿宋_GB2312" w:cs="仿宋_GB2312"/>
        </w:rPr>
        <w:t>个别医疗服务指标与平均水平存在差异，基层医疗能力有待提高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仿宋_GB2312" w:hAnsi="仿宋_GB2312" w:cs="仿宋_GB2312"/>
        </w:rPr>
        <w:t>。</w:t>
      </w:r>
    </w:p>
    <w:p>
      <w:pPr>
        <w:pStyle w:val="3"/>
        <w:ind w:firstLine="640"/>
        <w:rPr>
          <w:rFonts w:ascii="仿宋_GB2312" w:hAnsi="仿宋_GB2312" w:cs="仿宋_GB2312"/>
        </w:rPr>
      </w:pPr>
      <w:bookmarkStart w:id="12" w:name="_Toc121669416"/>
      <w:bookmarkStart w:id="13" w:name="_Toc112155440"/>
      <w:bookmarkStart w:id="14" w:name="_Toc112856908"/>
      <w:bookmarkStart w:id="15" w:name="_Toc120810102"/>
      <w:bookmarkStart w:id="16" w:name="_Toc112864925"/>
      <w:bookmarkStart w:id="17" w:name="_Toc120865429"/>
      <w:bookmarkStart w:id="18" w:name="_Toc112260562"/>
      <w:bookmarkStart w:id="19" w:name="_Toc112260644"/>
      <w:bookmarkStart w:id="20" w:name="_Toc121760014"/>
      <w:bookmarkStart w:id="21" w:name="_Toc116227538"/>
      <w:bookmarkStart w:id="22" w:name="_Toc120300344"/>
      <w:bookmarkStart w:id="23" w:name="_Toc112260606"/>
      <w:bookmarkStart w:id="24" w:name="_Toc112155525"/>
      <w:bookmarkStart w:id="25" w:name="_Toc121401508"/>
      <w:bookmarkStart w:id="26" w:name="_Toc112260390"/>
      <w:r>
        <w:rPr>
          <w:rFonts w:ascii="仿宋_GB2312" w:hAnsi="仿宋_GB2312" w:cs="仿宋_GB2312"/>
        </w:rPr>
        <w:t>2.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Start w:id="27" w:name="_Toc120810103"/>
      <w:bookmarkStart w:id="28" w:name="_Toc121669417"/>
      <w:bookmarkStart w:id="29" w:name="_Toc120865430"/>
      <w:bookmarkStart w:id="30" w:name="_Toc121760015"/>
      <w:bookmarkStart w:id="31" w:name="_Toc121401509"/>
      <w:bookmarkStart w:id="32" w:name="_Toc120300345"/>
      <w:r>
        <w:rPr>
          <w:rFonts w:hint="eastAsia" w:ascii="仿宋_GB2312" w:hAnsi="仿宋_GB2312" w:cs="仿宋_GB2312"/>
        </w:rPr>
        <w:t>公共服务指标效果持续性有待加强</w:t>
      </w:r>
      <w:bookmarkEnd w:id="27"/>
      <w:bookmarkEnd w:id="28"/>
      <w:bookmarkEnd w:id="29"/>
      <w:bookmarkEnd w:id="30"/>
      <w:bookmarkEnd w:id="31"/>
      <w:bookmarkEnd w:id="32"/>
      <w:r>
        <w:rPr>
          <w:rFonts w:hint="eastAsia" w:ascii="仿宋_GB2312" w:hAnsi="仿宋_GB2312" w:cs="仿宋_GB2312"/>
        </w:rPr>
        <w:t>。</w:t>
      </w:r>
      <w:r>
        <w:rPr>
          <w:rFonts w:hint="default" w:ascii="仿宋_GB2312" w:hAnsi="仿宋_GB2312" w:cs="仿宋_GB2312"/>
        </w:rPr>
        <w:t>部分</w:t>
      </w:r>
      <w:r>
        <w:rPr>
          <w:rFonts w:hint="eastAsia" w:ascii="仿宋_GB2312" w:hAnsi="仿宋_GB2312" w:cs="仿宋_GB2312"/>
        </w:rPr>
        <w:t>考核指标</w:t>
      </w:r>
      <w:r>
        <w:rPr>
          <w:rFonts w:hint="default" w:ascii="仿宋_GB2312" w:hAnsi="仿宋_GB2312" w:cs="仿宋_GB2312"/>
        </w:rPr>
        <w:t>未</w:t>
      </w:r>
      <w:r>
        <w:rPr>
          <w:rFonts w:hint="eastAsia" w:ascii="仿宋_GB2312" w:hAnsi="仿宋_GB2312" w:cs="仿宋_GB2312"/>
        </w:rPr>
        <w:t>达到《运营方案》要求。</w:t>
      </w:r>
    </w:p>
    <w:p>
      <w:pPr>
        <w:pStyle w:val="4"/>
        <w:spacing w:before="0" w:after="0"/>
        <w:ind w:firstLine="640"/>
        <w:rPr>
          <w:b w:val="0"/>
          <w:bCs w:val="0"/>
        </w:rPr>
      </w:pPr>
      <w:r>
        <w:rPr>
          <w:b w:val="0"/>
          <w:bCs w:val="0"/>
        </w:rPr>
        <w:t>软实力建设目标未实现，医疗水平可持续发展受影响</w:t>
      </w:r>
      <w:r>
        <w:rPr>
          <w:rFonts w:hint="eastAsia"/>
          <w:b w:val="0"/>
          <w:bCs w:val="0"/>
        </w:rPr>
        <w:t>。</w:t>
      </w:r>
    </w:p>
    <w:p>
      <w:pPr>
        <w:pStyle w:val="3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1.</w:t>
      </w:r>
      <w:r>
        <w:rPr>
          <w:rFonts w:hint="eastAsia" w:ascii="仿宋_GB2312" w:hAnsi="仿宋_GB2312" w:cs="仿宋_GB2312"/>
        </w:rPr>
        <w:t>人才队伍建设目标未实现，人才培养需进一步加强。新区学科带头人及学科业务骨干稀少，培养学科业务骨干目标</w:t>
      </w:r>
      <w:r>
        <w:rPr>
          <w:rFonts w:hint="default" w:ascii="仿宋_GB2312" w:hAnsi="仿宋_GB2312" w:cs="仿宋_GB2312"/>
        </w:rPr>
        <w:t>未</w:t>
      </w:r>
      <w:r>
        <w:rPr>
          <w:rFonts w:hint="eastAsia" w:ascii="仿宋_GB2312" w:hAnsi="仿宋_GB2312" w:cs="仿宋_GB2312"/>
        </w:rPr>
        <w:t>完成。</w:t>
      </w:r>
    </w:p>
    <w:p>
      <w:pPr>
        <w:pStyle w:val="3"/>
        <w:ind w:firstLine="640"/>
        <w:rPr>
          <w:rFonts w:ascii="仿宋_GB2312" w:hAnsi="仿宋_GB2312" w:cs="仿宋_GB2312"/>
        </w:rPr>
      </w:pPr>
      <w:bookmarkStart w:id="33" w:name="_Toc121669423"/>
      <w:bookmarkStart w:id="34" w:name="_Toc120300352"/>
      <w:bookmarkStart w:id="35" w:name="_Toc121760018"/>
      <w:bookmarkStart w:id="36" w:name="_Toc120810109"/>
      <w:bookmarkStart w:id="37" w:name="_Toc121401515"/>
      <w:bookmarkStart w:id="38" w:name="_Toc120865436"/>
      <w:r>
        <w:rPr>
          <w:rFonts w:ascii="仿宋_GB2312" w:hAnsi="仿宋_GB2312" w:cs="仿宋_GB2312"/>
        </w:rPr>
        <w:t>2.</w:t>
      </w:r>
      <w:bookmarkEnd w:id="33"/>
      <w:bookmarkEnd w:id="34"/>
      <w:bookmarkEnd w:id="35"/>
      <w:bookmarkEnd w:id="36"/>
      <w:bookmarkEnd w:id="37"/>
      <w:bookmarkEnd w:id="38"/>
      <w:r>
        <w:rPr>
          <w:rFonts w:hint="eastAsia" w:ascii="仿宋_GB2312" w:hAnsi="仿宋_GB2312" w:cs="仿宋_GB2312"/>
        </w:rPr>
        <w:t>医院信息化水平低，影响工作效率。截至2021年，全区医院信息化应用程度为“电子病历4级”，未实现“2020年信息化应用程度达到5级水平标准”目标，信息化水平低成为影响医务工作者工作效率的主要问题之一。</w:t>
      </w:r>
    </w:p>
    <w:p>
      <w:pPr>
        <w:pStyle w:val="2"/>
        <w:spacing w:before="0" w:after="0"/>
        <w:ind w:firstLine="640"/>
      </w:pPr>
      <w:r>
        <w:rPr>
          <w:rFonts w:hint="eastAsia"/>
        </w:rPr>
        <w:t>改进建议</w:t>
      </w:r>
    </w:p>
    <w:p>
      <w:pPr>
        <w:pStyle w:val="4"/>
        <w:spacing w:before="0" w:after="0"/>
        <w:ind w:firstLine="640"/>
        <w:rPr>
          <w:rFonts w:ascii="楷体_GB2312" w:hAnsi="楷体_GB2312" w:eastAsia="楷体_GB2312" w:cs="楷体_GB2312"/>
          <w:b w:val="0"/>
          <w:bCs w:val="0"/>
        </w:rPr>
      </w:pPr>
      <w:r>
        <w:rPr>
          <w:rFonts w:hint="default" w:ascii="楷体_GB2312" w:hAnsi="楷体_GB2312" w:eastAsia="楷体_GB2312" w:cs="楷体_GB2312"/>
          <w:b w:val="0"/>
          <w:bCs w:val="0"/>
        </w:rPr>
        <w:t>理</w:t>
      </w:r>
      <w:r>
        <w:rPr>
          <w:rFonts w:hint="eastAsia" w:ascii="楷体_GB2312" w:hAnsi="楷体_GB2312" w:eastAsia="楷体_GB2312" w:cs="楷体_GB2312"/>
          <w:b w:val="0"/>
          <w:bCs w:val="0"/>
        </w:rPr>
        <w:t>顺管理机制，科学推进“一体化”建设。</w:t>
      </w:r>
    </w:p>
    <w:p>
      <w:pPr>
        <w:pStyle w:val="3"/>
        <w:ind w:firstLine="643"/>
      </w:pPr>
      <w:r>
        <w:rPr>
          <w:b/>
          <w:bCs/>
        </w:rPr>
        <w:t>一是</w:t>
      </w:r>
      <w:r>
        <w:rPr>
          <w:rFonts w:hint="default"/>
        </w:rPr>
        <w:t>理</w:t>
      </w:r>
      <w:r>
        <w:rPr>
          <w:rFonts w:hint="eastAsia"/>
        </w:rPr>
        <w:t>顺集团决策机制。明确集团决策机制、集团权责及人员配置，明确医疗健康集团</w:t>
      </w:r>
      <w:r>
        <w:rPr>
          <w:rFonts w:hint="eastAsia"/>
          <w:lang w:val="en-US"/>
        </w:rPr>
        <w:t>作为</w:t>
      </w:r>
      <w:r>
        <w:rPr>
          <w:rFonts w:hint="eastAsia"/>
        </w:rPr>
        <w:t>行业主管部门在具体业务开展中的管理边界。</w:t>
      </w:r>
      <w:r>
        <w:rPr>
          <w:b/>
          <w:bCs/>
        </w:rPr>
        <w:t>二</w:t>
      </w:r>
      <w:r>
        <w:rPr>
          <w:rFonts w:hint="eastAsia"/>
          <w:b/>
          <w:bCs/>
        </w:rPr>
        <w:t>是</w:t>
      </w:r>
      <w:r>
        <w:t>建立健全薪酬分配机制</w:t>
      </w:r>
      <w:r>
        <w:rPr>
          <w:rFonts w:hint="eastAsia"/>
        </w:rPr>
        <w:t>。</w:t>
      </w:r>
      <w:r>
        <w:t>以投入、产出衡量个人绩效，以科研创新影响个人绩效</w:t>
      </w:r>
      <w:r>
        <w:rPr>
          <w:rFonts w:hint="eastAsia"/>
        </w:rPr>
        <w:t>，</w:t>
      </w:r>
      <w:r>
        <w:t>减低人才流失率，减低人才培养沉没成本。</w:t>
      </w:r>
      <w:r>
        <w:rPr>
          <w:b/>
          <w:bCs/>
        </w:rPr>
        <w:t>三是</w:t>
      </w:r>
      <w:r>
        <w:rPr>
          <w:rFonts w:hint="eastAsia"/>
        </w:rPr>
        <w:t>健全设备管理机制。充分论证</w:t>
      </w:r>
      <w:r>
        <w:rPr>
          <w:rFonts w:hint="eastAsia"/>
          <w:lang w:val="en-US"/>
        </w:rPr>
        <w:t>所</w:t>
      </w:r>
      <w:r>
        <w:rPr>
          <w:rFonts w:hint="eastAsia"/>
        </w:rPr>
        <w:t>需购置医疗设备的可行性及经济回报性，同时构建设备信息共享库，及时盘活闲置资产。</w:t>
      </w:r>
      <w:r>
        <w:rPr>
          <w:rFonts w:hint="eastAsia"/>
          <w:b/>
          <w:bCs/>
        </w:rPr>
        <w:t>四</w:t>
      </w:r>
      <w:r>
        <w:rPr>
          <w:b/>
          <w:bCs/>
        </w:rPr>
        <w:t>是</w:t>
      </w:r>
      <w:r>
        <w:rPr>
          <w:rFonts w:hint="eastAsia"/>
        </w:rPr>
        <w:t>深化科室改革机制。实现资源配置效益最大化和效率最优化，避免科室整合后人员因不适应而离职、设备因不适用而闲置的问题出现。</w:t>
      </w:r>
    </w:p>
    <w:p>
      <w:pPr>
        <w:pStyle w:val="4"/>
        <w:spacing w:before="0" w:after="0"/>
        <w:ind w:firstLine="640"/>
        <w:rPr>
          <w:b w:val="0"/>
          <w:bCs w:val="0"/>
        </w:rPr>
      </w:pPr>
      <w:bookmarkStart w:id="39" w:name="_Toc106272485"/>
      <w:bookmarkStart w:id="40" w:name="_Toc112230683"/>
      <w:r>
        <w:rPr>
          <w:b w:val="0"/>
          <w:bCs w:val="0"/>
        </w:rPr>
        <w:t>持续提高医疗服务能力，扩大健康管理范围。</w:t>
      </w:r>
      <w:bookmarkEnd w:id="39"/>
      <w:bookmarkEnd w:id="40"/>
    </w:p>
    <w:p>
      <w:pPr>
        <w:pStyle w:val="3"/>
        <w:ind w:firstLine="643"/>
      </w:pPr>
      <w:r>
        <w:rPr>
          <w:b/>
          <w:bCs/>
        </w:rPr>
        <w:t>一是</w:t>
      </w:r>
      <w:r>
        <w:rPr>
          <w:rFonts w:hint="eastAsia"/>
        </w:rPr>
        <w:t>持续提高基层医疗服务水平。加大人才外出进修学历、开展专业培训的力度。</w:t>
      </w:r>
      <w:r>
        <w:rPr>
          <w:rFonts w:hint="eastAsia"/>
          <w:b/>
          <w:bCs/>
        </w:rPr>
        <w:t>二</w:t>
      </w:r>
      <w:r>
        <w:rPr>
          <w:b/>
          <w:bCs/>
        </w:rPr>
        <w:t>是</w:t>
      </w:r>
      <w:r>
        <w:rPr>
          <w:rFonts w:hint="eastAsia"/>
        </w:rPr>
        <w:t>压实社区服务绩效目标考核。利用社康服务覆盖密度优势，联动社区网格员资源，借助家庭医生签约管理机制提高管理群体的纳管率。</w:t>
      </w:r>
      <w:r>
        <w:rPr>
          <w:rFonts w:hint="eastAsia"/>
          <w:b/>
          <w:bCs/>
        </w:rPr>
        <w:t>三</w:t>
      </w:r>
      <w:r>
        <w:rPr>
          <w:b/>
          <w:bCs/>
        </w:rPr>
        <w:t>是</w:t>
      </w:r>
      <w:r>
        <w:rPr>
          <w:rFonts w:hint="eastAsia"/>
        </w:rPr>
        <w:t>增强管理指标的运维力度。通过定期、有计划地抽样，确保健康管理指标的纳管效果。</w:t>
      </w:r>
      <w:r>
        <w:rPr>
          <w:rFonts w:hint="eastAsia"/>
          <w:b/>
          <w:bCs/>
        </w:rPr>
        <w:t>四</w:t>
      </w:r>
      <w:r>
        <w:rPr>
          <w:b/>
          <w:bCs/>
        </w:rPr>
        <w:t>是</w:t>
      </w:r>
      <w:r>
        <w:rPr>
          <w:rFonts w:hint="eastAsia"/>
        </w:rPr>
        <w:t>适度加大宣贯力度，充分发挥社区居民的自觉性，降低排查、被动发现成本。</w:t>
      </w:r>
    </w:p>
    <w:p>
      <w:pPr>
        <w:pStyle w:val="4"/>
        <w:spacing w:before="0" w:after="0"/>
        <w:ind w:firstLine="640"/>
        <w:rPr>
          <w:b w:val="0"/>
          <w:bCs w:val="0"/>
        </w:rPr>
      </w:pPr>
      <w:r>
        <w:rPr>
          <w:rFonts w:hint="eastAsia"/>
          <w:b w:val="0"/>
          <w:bCs w:val="0"/>
        </w:rPr>
        <w:t>加强软实力建设，提升医疗服务水平。</w:t>
      </w:r>
    </w:p>
    <w:p>
      <w:pPr>
        <w:pStyle w:val="3"/>
        <w:ind w:firstLine="643"/>
        <w:rPr>
          <w:rFonts w:hint="eastAsia"/>
        </w:rPr>
      </w:pPr>
      <w:r>
        <w:rPr>
          <w:b/>
          <w:bCs/>
        </w:rPr>
        <w:t>一是</w:t>
      </w:r>
      <w:r>
        <w:rPr>
          <w:rFonts w:hint="eastAsia"/>
        </w:rPr>
        <w:t>以实际需求推动专科发展。建议围绕现有专科发展水平以及新区医疗服务需求，以服务需求助推学科发展，在服务中寻找探索机会。</w:t>
      </w:r>
      <w:r>
        <w:rPr>
          <w:b/>
          <w:bCs/>
        </w:rPr>
        <w:t>二是</w:t>
      </w:r>
      <w:r>
        <w:rPr>
          <w:rFonts w:hint="default"/>
        </w:rPr>
        <w:t>“引培并举”加强人才队伍建设</w:t>
      </w:r>
      <w:r>
        <w:rPr>
          <w:rFonts w:hint="eastAsia"/>
        </w:rPr>
        <w:t>。在引进人才的同时健全现有人才培养机制，通过提高科研奖励、加大科研投入、建立科研竞争机制方式，创造良好的科研环境。</w:t>
      </w:r>
      <w:r>
        <w:rPr>
          <w:rFonts w:hint="eastAsia"/>
          <w:b/>
          <w:bCs/>
        </w:rPr>
        <w:t>三</w:t>
      </w:r>
      <w:r>
        <w:rPr>
          <w:b/>
          <w:bCs/>
        </w:rPr>
        <w:t>是</w:t>
      </w:r>
      <w:r>
        <w:rPr>
          <w:rFonts w:hint="eastAsia"/>
        </w:rPr>
        <w:t>提高信息化管理水平。在实施信息建设一体化管理中，逐步提高新区信息化应用程度，兼顾信息化过程中的信息联通及共享。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PFeUNMAIAAGM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ECbPsrDTD5ZH6CiPt+tjgJxJ5ShKpwS6Ew+YvdSnfk/icP95TlGP/w2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APFeUN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eastAsia="等线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6"/>
        <w:jc w:val="both"/>
        <w:rPr>
          <w:rFonts w:ascii="仿宋_GB2312" w:hAnsi="仿宋_GB2312" w:cs="仿宋_GB2312"/>
          <w:kern w:val="0"/>
          <w:sz w:val="32"/>
          <w:szCs w:val="28"/>
          <w:lang w:val="zh-CN"/>
        </w:rPr>
      </w:pPr>
      <w:r>
        <w:rPr>
          <w:rStyle w:val="24"/>
        </w:rPr>
        <w:footnoteRef/>
      </w:r>
      <w:r>
        <w:t xml:space="preserve"> </w:t>
      </w:r>
      <w:r>
        <w:rPr>
          <w:rFonts w:hint="eastAsia"/>
        </w:rPr>
        <w:t>“一体化”运行机制是指《运营方案》中要求市二医院对医疗健康集团运营构建的“十二个一体化”运行机制，分别为行政管理、人员管理、人才队伍建设、信息建设、分级诊疗转诊服务标准、家庭医生签约管理、健康管理、检查及检验管理、药品管理、绩效考核管理、医学科研资源管理、后勤保障等十二项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671B8"/>
    <w:multiLevelType w:val="multilevel"/>
    <w:tmpl w:val="610671B8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. "/>
      <w:lvlJc w:val="left"/>
      <w:pPr>
        <w:ind w:left="992" w:hanging="567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992" w:hanging="425"/>
      </w:pPr>
      <w:rPr>
        <w:rFonts w:hint="eastAsia"/>
      </w:rPr>
    </w:lvl>
    <w:lvl w:ilvl="4" w:tentative="0">
      <w:start w:val="1"/>
      <w:numFmt w:val="decimal"/>
      <w:pStyle w:val="7"/>
      <w:suff w:val="nothing"/>
      <w:lvlText w:val="%5）"/>
      <w:lvlJc w:val="left"/>
      <w:pPr>
        <w:ind w:left="992" w:hanging="113"/>
      </w:pPr>
      <w:rPr>
        <w:rFonts w:hint="eastAsia"/>
      </w:rPr>
    </w:lvl>
    <w:lvl w:ilvl="5" w:tentative="0">
      <w:start w:val="1"/>
      <w:numFmt w:val="decimal"/>
      <w:pStyle w:val="55"/>
      <w:suff w:val="nothing"/>
      <w:lvlText w:val="附件%6 "/>
      <w:lvlJc w:val="left"/>
      <w:pPr>
        <w:ind w:left="0" w:firstLine="0"/>
      </w:pPr>
      <w:rPr>
        <w:rFonts w:hint="eastAsia"/>
      </w:rPr>
    </w:lvl>
    <w:lvl w:ilvl="6" w:tentative="0">
      <w:start w:val="1"/>
      <w:numFmt w:val="chineseCountingThousand"/>
      <w:suff w:val="nothing"/>
      <w:lvlText w:val="%7、"/>
      <w:lvlJc w:val="left"/>
      <w:pPr>
        <w:ind w:left="992" w:hanging="567"/>
      </w:pPr>
      <w:rPr>
        <w:rFonts w:hint="eastAsia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992" w:hanging="567"/>
      </w:pPr>
      <w:rPr>
        <w:rFonts w:hint="eastAsia"/>
      </w:rPr>
    </w:lvl>
    <w:lvl w:ilvl="8" w:tentative="0">
      <w:start w:val="1"/>
      <w:numFmt w:val="decimal"/>
      <w:suff w:val="nothing"/>
      <w:lvlText w:val="%9. "/>
      <w:lvlJc w:val="left"/>
      <w:pPr>
        <w:ind w:left="992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GU5ZmI3NDgwZjliYmYzY2QzMWRhMmUwMjRhZjcifQ=="/>
  </w:docVars>
  <w:rsids>
    <w:rsidRoot w:val="00DC31BB"/>
    <w:rsid w:val="000022AC"/>
    <w:rsid w:val="00003C50"/>
    <w:rsid w:val="000046D4"/>
    <w:rsid w:val="00015FD7"/>
    <w:rsid w:val="000242E3"/>
    <w:rsid w:val="00026DA0"/>
    <w:rsid w:val="00031ED4"/>
    <w:rsid w:val="00035C58"/>
    <w:rsid w:val="00044534"/>
    <w:rsid w:val="00050A54"/>
    <w:rsid w:val="0005304B"/>
    <w:rsid w:val="0005634B"/>
    <w:rsid w:val="00066C9A"/>
    <w:rsid w:val="00071965"/>
    <w:rsid w:val="00073D51"/>
    <w:rsid w:val="0007540B"/>
    <w:rsid w:val="00083FCC"/>
    <w:rsid w:val="000A11DA"/>
    <w:rsid w:val="000B3022"/>
    <w:rsid w:val="000C0DDB"/>
    <w:rsid w:val="000C366B"/>
    <w:rsid w:val="000C4C02"/>
    <w:rsid w:val="000E1493"/>
    <w:rsid w:val="000F2B10"/>
    <w:rsid w:val="00102E6B"/>
    <w:rsid w:val="00114DEE"/>
    <w:rsid w:val="00116575"/>
    <w:rsid w:val="00121E22"/>
    <w:rsid w:val="00131C2A"/>
    <w:rsid w:val="001324B2"/>
    <w:rsid w:val="001364FC"/>
    <w:rsid w:val="00137AD8"/>
    <w:rsid w:val="00140684"/>
    <w:rsid w:val="00147A7E"/>
    <w:rsid w:val="00155EBC"/>
    <w:rsid w:val="001712BC"/>
    <w:rsid w:val="00172053"/>
    <w:rsid w:val="001807D4"/>
    <w:rsid w:val="0018445B"/>
    <w:rsid w:val="0018626C"/>
    <w:rsid w:val="001876C4"/>
    <w:rsid w:val="0019781C"/>
    <w:rsid w:val="001A3AEB"/>
    <w:rsid w:val="001A53EB"/>
    <w:rsid w:val="001B24EE"/>
    <w:rsid w:val="001B486E"/>
    <w:rsid w:val="001C4341"/>
    <w:rsid w:val="001D4D09"/>
    <w:rsid w:val="001E4440"/>
    <w:rsid w:val="001E4F9F"/>
    <w:rsid w:val="001F0D3B"/>
    <w:rsid w:val="0020216F"/>
    <w:rsid w:val="00221019"/>
    <w:rsid w:val="00222A88"/>
    <w:rsid w:val="00226399"/>
    <w:rsid w:val="0023442A"/>
    <w:rsid w:val="00237C0D"/>
    <w:rsid w:val="00240A59"/>
    <w:rsid w:val="00247C0B"/>
    <w:rsid w:val="00247D12"/>
    <w:rsid w:val="00263A06"/>
    <w:rsid w:val="0027019D"/>
    <w:rsid w:val="00270F7F"/>
    <w:rsid w:val="0027151D"/>
    <w:rsid w:val="00272D30"/>
    <w:rsid w:val="002742D6"/>
    <w:rsid w:val="00277770"/>
    <w:rsid w:val="002818C7"/>
    <w:rsid w:val="00287F16"/>
    <w:rsid w:val="00292819"/>
    <w:rsid w:val="002B01E4"/>
    <w:rsid w:val="002B1C79"/>
    <w:rsid w:val="002B2417"/>
    <w:rsid w:val="002B4447"/>
    <w:rsid w:val="002B46EC"/>
    <w:rsid w:val="002C7224"/>
    <w:rsid w:val="002E223F"/>
    <w:rsid w:val="002E5296"/>
    <w:rsid w:val="002E5A95"/>
    <w:rsid w:val="00306E74"/>
    <w:rsid w:val="003148C7"/>
    <w:rsid w:val="003235FE"/>
    <w:rsid w:val="0032448A"/>
    <w:rsid w:val="0034355A"/>
    <w:rsid w:val="00345EF3"/>
    <w:rsid w:val="003522AA"/>
    <w:rsid w:val="00353EB4"/>
    <w:rsid w:val="00356FCE"/>
    <w:rsid w:val="00367AEF"/>
    <w:rsid w:val="00390FDC"/>
    <w:rsid w:val="0039624B"/>
    <w:rsid w:val="00397DBF"/>
    <w:rsid w:val="003A7009"/>
    <w:rsid w:val="003C0390"/>
    <w:rsid w:val="003C05EA"/>
    <w:rsid w:val="003C48F2"/>
    <w:rsid w:val="003D2813"/>
    <w:rsid w:val="003D3060"/>
    <w:rsid w:val="003E25D6"/>
    <w:rsid w:val="003E6BB6"/>
    <w:rsid w:val="003F519F"/>
    <w:rsid w:val="00411DDE"/>
    <w:rsid w:val="00414C26"/>
    <w:rsid w:val="00422379"/>
    <w:rsid w:val="004408E8"/>
    <w:rsid w:val="004531F9"/>
    <w:rsid w:val="00455301"/>
    <w:rsid w:val="004558C2"/>
    <w:rsid w:val="00473186"/>
    <w:rsid w:val="00475AB0"/>
    <w:rsid w:val="00477F73"/>
    <w:rsid w:val="00493F68"/>
    <w:rsid w:val="004A5E40"/>
    <w:rsid w:val="004A6B8D"/>
    <w:rsid w:val="004A6FBC"/>
    <w:rsid w:val="004B435D"/>
    <w:rsid w:val="004D4BDB"/>
    <w:rsid w:val="004D5BB2"/>
    <w:rsid w:val="004D7E0A"/>
    <w:rsid w:val="004E0827"/>
    <w:rsid w:val="004F0175"/>
    <w:rsid w:val="00501B9A"/>
    <w:rsid w:val="00520728"/>
    <w:rsid w:val="00543AA2"/>
    <w:rsid w:val="00546D71"/>
    <w:rsid w:val="00560DED"/>
    <w:rsid w:val="005800CA"/>
    <w:rsid w:val="0058245C"/>
    <w:rsid w:val="005A16EC"/>
    <w:rsid w:val="005A4F5B"/>
    <w:rsid w:val="005A783C"/>
    <w:rsid w:val="005C3CAE"/>
    <w:rsid w:val="005C4184"/>
    <w:rsid w:val="005C7243"/>
    <w:rsid w:val="005D7B85"/>
    <w:rsid w:val="005E16C6"/>
    <w:rsid w:val="00603BAF"/>
    <w:rsid w:val="00607F4F"/>
    <w:rsid w:val="00610C44"/>
    <w:rsid w:val="00617A1D"/>
    <w:rsid w:val="00633E9A"/>
    <w:rsid w:val="00641879"/>
    <w:rsid w:val="00651168"/>
    <w:rsid w:val="0066228B"/>
    <w:rsid w:val="006639A8"/>
    <w:rsid w:val="00664C0A"/>
    <w:rsid w:val="0067022F"/>
    <w:rsid w:val="00670309"/>
    <w:rsid w:val="00672BF2"/>
    <w:rsid w:val="00681991"/>
    <w:rsid w:val="00682558"/>
    <w:rsid w:val="00693FD1"/>
    <w:rsid w:val="006B5747"/>
    <w:rsid w:val="006B6D34"/>
    <w:rsid w:val="006B6EFC"/>
    <w:rsid w:val="006C0552"/>
    <w:rsid w:val="006D38B2"/>
    <w:rsid w:val="006E3C10"/>
    <w:rsid w:val="006F1DD2"/>
    <w:rsid w:val="00703B19"/>
    <w:rsid w:val="0070695F"/>
    <w:rsid w:val="0071384A"/>
    <w:rsid w:val="0071728D"/>
    <w:rsid w:val="007423C7"/>
    <w:rsid w:val="00744BAE"/>
    <w:rsid w:val="007526A3"/>
    <w:rsid w:val="0077185A"/>
    <w:rsid w:val="00781DF5"/>
    <w:rsid w:val="0078303B"/>
    <w:rsid w:val="00785E44"/>
    <w:rsid w:val="00794AB2"/>
    <w:rsid w:val="007B7A90"/>
    <w:rsid w:val="007C1028"/>
    <w:rsid w:val="007C327C"/>
    <w:rsid w:val="007C3CFD"/>
    <w:rsid w:val="007C5DBA"/>
    <w:rsid w:val="007E13C7"/>
    <w:rsid w:val="007F6174"/>
    <w:rsid w:val="00806916"/>
    <w:rsid w:val="008121CF"/>
    <w:rsid w:val="008136EE"/>
    <w:rsid w:val="00826237"/>
    <w:rsid w:val="00837CF6"/>
    <w:rsid w:val="0084030D"/>
    <w:rsid w:val="008461D5"/>
    <w:rsid w:val="0086079C"/>
    <w:rsid w:val="00863B07"/>
    <w:rsid w:val="008656D4"/>
    <w:rsid w:val="00876C42"/>
    <w:rsid w:val="008822AB"/>
    <w:rsid w:val="008909AF"/>
    <w:rsid w:val="00894AE4"/>
    <w:rsid w:val="0089536A"/>
    <w:rsid w:val="008A1124"/>
    <w:rsid w:val="008A2FB0"/>
    <w:rsid w:val="008A4DAC"/>
    <w:rsid w:val="008A5F72"/>
    <w:rsid w:val="008B6BA7"/>
    <w:rsid w:val="008C4B45"/>
    <w:rsid w:val="008E47E6"/>
    <w:rsid w:val="008F6AA2"/>
    <w:rsid w:val="00901EEC"/>
    <w:rsid w:val="00905803"/>
    <w:rsid w:val="00910FBE"/>
    <w:rsid w:val="00922003"/>
    <w:rsid w:val="00923C86"/>
    <w:rsid w:val="00932321"/>
    <w:rsid w:val="0093529D"/>
    <w:rsid w:val="00944FA3"/>
    <w:rsid w:val="009535A2"/>
    <w:rsid w:val="00954770"/>
    <w:rsid w:val="00956725"/>
    <w:rsid w:val="0096155B"/>
    <w:rsid w:val="00971D4E"/>
    <w:rsid w:val="0098399B"/>
    <w:rsid w:val="009A6EC2"/>
    <w:rsid w:val="009B506F"/>
    <w:rsid w:val="009B596C"/>
    <w:rsid w:val="009B5C0F"/>
    <w:rsid w:val="009B6DDE"/>
    <w:rsid w:val="009D67E2"/>
    <w:rsid w:val="009E0504"/>
    <w:rsid w:val="009E4428"/>
    <w:rsid w:val="009E5B2A"/>
    <w:rsid w:val="009F536F"/>
    <w:rsid w:val="00A015F2"/>
    <w:rsid w:val="00A05231"/>
    <w:rsid w:val="00A057D6"/>
    <w:rsid w:val="00A134E9"/>
    <w:rsid w:val="00A2086A"/>
    <w:rsid w:val="00A42809"/>
    <w:rsid w:val="00A45632"/>
    <w:rsid w:val="00A5361C"/>
    <w:rsid w:val="00A67B41"/>
    <w:rsid w:val="00A725CC"/>
    <w:rsid w:val="00A842CD"/>
    <w:rsid w:val="00A87014"/>
    <w:rsid w:val="00A91491"/>
    <w:rsid w:val="00A9425F"/>
    <w:rsid w:val="00AA6DFA"/>
    <w:rsid w:val="00AB0FA9"/>
    <w:rsid w:val="00AB308A"/>
    <w:rsid w:val="00AB68F8"/>
    <w:rsid w:val="00AC3CEE"/>
    <w:rsid w:val="00AD128B"/>
    <w:rsid w:val="00AE3FE0"/>
    <w:rsid w:val="00AE6101"/>
    <w:rsid w:val="00AF38BD"/>
    <w:rsid w:val="00AF5729"/>
    <w:rsid w:val="00B274E4"/>
    <w:rsid w:val="00B27708"/>
    <w:rsid w:val="00B27C63"/>
    <w:rsid w:val="00B330C4"/>
    <w:rsid w:val="00B367A1"/>
    <w:rsid w:val="00B4122F"/>
    <w:rsid w:val="00B43B61"/>
    <w:rsid w:val="00B667AD"/>
    <w:rsid w:val="00B67BB0"/>
    <w:rsid w:val="00B70E6D"/>
    <w:rsid w:val="00B76B39"/>
    <w:rsid w:val="00B77990"/>
    <w:rsid w:val="00B8231E"/>
    <w:rsid w:val="00B82711"/>
    <w:rsid w:val="00B87DFC"/>
    <w:rsid w:val="00B934BC"/>
    <w:rsid w:val="00BC6E4B"/>
    <w:rsid w:val="00BE229F"/>
    <w:rsid w:val="00BE7BAC"/>
    <w:rsid w:val="00BF5B0B"/>
    <w:rsid w:val="00C02451"/>
    <w:rsid w:val="00C06D6C"/>
    <w:rsid w:val="00C14179"/>
    <w:rsid w:val="00C149BF"/>
    <w:rsid w:val="00C166E0"/>
    <w:rsid w:val="00C20481"/>
    <w:rsid w:val="00C20875"/>
    <w:rsid w:val="00C4238B"/>
    <w:rsid w:val="00C47486"/>
    <w:rsid w:val="00C515BC"/>
    <w:rsid w:val="00C61E48"/>
    <w:rsid w:val="00C62922"/>
    <w:rsid w:val="00C705E2"/>
    <w:rsid w:val="00C71C8D"/>
    <w:rsid w:val="00C76DE3"/>
    <w:rsid w:val="00C7785A"/>
    <w:rsid w:val="00C80207"/>
    <w:rsid w:val="00C83D22"/>
    <w:rsid w:val="00C866C5"/>
    <w:rsid w:val="00C9036F"/>
    <w:rsid w:val="00C947F4"/>
    <w:rsid w:val="00CA021C"/>
    <w:rsid w:val="00CA53E1"/>
    <w:rsid w:val="00CA7294"/>
    <w:rsid w:val="00CB3D5E"/>
    <w:rsid w:val="00CC2F11"/>
    <w:rsid w:val="00CC4671"/>
    <w:rsid w:val="00CC5832"/>
    <w:rsid w:val="00CC6073"/>
    <w:rsid w:val="00CD5214"/>
    <w:rsid w:val="00CE160E"/>
    <w:rsid w:val="00CE2705"/>
    <w:rsid w:val="00CE7600"/>
    <w:rsid w:val="00CF6C0C"/>
    <w:rsid w:val="00D05B87"/>
    <w:rsid w:val="00D06A4C"/>
    <w:rsid w:val="00D13B62"/>
    <w:rsid w:val="00D26816"/>
    <w:rsid w:val="00D3096C"/>
    <w:rsid w:val="00D32DBF"/>
    <w:rsid w:val="00D36276"/>
    <w:rsid w:val="00D43D44"/>
    <w:rsid w:val="00D56AA5"/>
    <w:rsid w:val="00D639CC"/>
    <w:rsid w:val="00D65685"/>
    <w:rsid w:val="00D6580D"/>
    <w:rsid w:val="00D74E79"/>
    <w:rsid w:val="00D8113E"/>
    <w:rsid w:val="00D83F7B"/>
    <w:rsid w:val="00D91873"/>
    <w:rsid w:val="00D929B4"/>
    <w:rsid w:val="00DC18E0"/>
    <w:rsid w:val="00DC31BB"/>
    <w:rsid w:val="00DC63A2"/>
    <w:rsid w:val="00DD641F"/>
    <w:rsid w:val="00DE08BE"/>
    <w:rsid w:val="00DE254C"/>
    <w:rsid w:val="00DF5546"/>
    <w:rsid w:val="00E04113"/>
    <w:rsid w:val="00E041C3"/>
    <w:rsid w:val="00E20797"/>
    <w:rsid w:val="00E230D4"/>
    <w:rsid w:val="00E34DC0"/>
    <w:rsid w:val="00E427DD"/>
    <w:rsid w:val="00E449A7"/>
    <w:rsid w:val="00E450E0"/>
    <w:rsid w:val="00E64DDD"/>
    <w:rsid w:val="00E668B0"/>
    <w:rsid w:val="00E8022B"/>
    <w:rsid w:val="00E81226"/>
    <w:rsid w:val="00E843F6"/>
    <w:rsid w:val="00E84750"/>
    <w:rsid w:val="00E91E67"/>
    <w:rsid w:val="00E94807"/>
    <w:rsid w:val="00EA2998"/>
    <w:rsid w:val="00EA33EC"/>
    <w:rsid w:val="00EB4B6F"/>
    <w:rsid w:val="00EC1253"/>
    <w:rsid w:val="00EC18FB"/>
    <w:rsid w:val="00EC42B2"/>
    <w:rsid w:val="00ED2346"/>
    <w:rsid w:val="00ED49E1"/>
    <w:rsid w:val="00EE7049"/>
    <w:rsid w:val="00EF1D4A"/>
    <w:rsid w:val="00EF1F6C"/>
    <w:rsid w:val="00EF1FA9"/>
    <w:rsid w:val="00F06964"/>
    <w:rsid w:val="00F06CF1"/>
    <w:rsid w:val="00F13C75"/>
    <w:rsid w:val="00F14EA6"/>
    <w:rsid w:val="00F24ACB"/>
    <w:rsid w:val="00F336F6"/>
    <w:rsid w:val="00F3687C"/>
    <w:rsid w:val="00F41DAB"/>
    <w:rsid w:val="00F712CB"/>
    <w:rsid w:val="00F74540"/>
    <w:rsid w:val="00F8405D"/>
    <w:rsid w:val="00F95D73"/>
    <w:rsid w:val="00FB626A"/>
    <w:rsid w:val="00FB6BB4"/>
    <w:rsid w:val="00FC265A"/>
    <w:rsid w:val="00FC36AB"/>
    <w:rsid w:val="00FC6385"/>
    <w:rsid w:val="00FD39E0"/>
    <w:rsid w:val="00FF42FB"/>
    <w:rsid w:val="00FF4B3C"/>
    <w:rsid w:val="00FF6E30"/>
    <w:rsid w:val="203C244B"/>
    <w:rsid w:val="2FF1BCA6"/>
    <w:rsid w:val="34B2384D"/>
    <w:rsid w:val="35E1159F"/>
    <w:rsid w:val="36DA0C42"/>
    <w:rsid w:val="4F7F1252"/>
    <w:rsid w:val="55482320"/>
    <w:rsid w:val="5F7DBE8E"/>
    <w:rsid w:val="65F607F1"/>
    <w:rsid w:val="6AEC1651"/>
    <w:rsid w:val="6B7B57B5"/>
    <w:rsid w:val="6D6D4C99"/>
    <w:rsid w:val="6E3B415D"/>
    <w:rsid w:val="7675F74B"/>
    <w:rsid w:val="772FF616"/>
    <w:rsid w:val="7EBE31D1"/>
    <w:rsid w:val="7FF72818"/>
    <w:rsid w:val="7FFF1DD7"/>
    <w:rsid w:val="B5E3344A"/>
    <w:rsid w:val="DEBE8B17"/>
    <w:rsid w:val="E7F9B5F1"/>
    <w:rsid w:val="EFDB1D8C"/>
    <w:rsid w:val="FBBFB9C9"/>
    <w:rsid w:val="FDF6075D"/>
    <w:rsid w:val="FDFFF4F1"/>
    <w:rsid w:val="FF9D1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2" w:semiHidden="0" w:name="heading 3"/>
    <w:lsdException w:qFormat="1" w:unhideWhenUsed="0" w:uiPriority="3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26"/>
    <w:qFormat/>
    <w:uiPriority w:val="0"/>
    <w:pPr>
      <w:numPr>
        <w:ilvl w:val="0"/>
        <w:numId w:val="1"/>
      </w:numPr>
      <w:spacing w:before="120" w:after="60"/>
      <w:ind w:left="0"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3"/>
    <w:next w:val="3"/>
    <w:link w:val="27"/>
    <w:qFormat/>
    <w:uiPriority w:val="1"/>
    <w:pPr>
      <w:keepNext/>
      <w:keepLines/>
      <w:numPr>
        <w:ilvl w:val="1"/>
        <w:numId w:val="1"/>
      </w:numPr>
      <w:adjustRightInd w:val="0"/>
      <w:spacing w:before="120" w:after="60"/>
      <w:ind w:left="0" w:firstLine="200"/>
      <w:outlineLvl w:val="1"/>
    </w:pPr>
    <w:rPr>
      <w:rFonts w:eastAsia="楷体"/>
      <w:b/>
      <w:bCs/>
      <w:szCs w:val="32"/>
    </w:rPr>
  </w:style>
  <w:style w:type="paragraph" w:styleId="5">
    <w:name w:val="heading 3"/>
    <w:basedOn w:val="3"/>
    <w:next w:val="3"/>
    <w:link w:val="28"/>
    <w:qFormat/>
    <w:uiPriority w:val="2"/>
    <w:pPr>
      <w:keepNext/>
      <w:keepLines/>
      <w:numPr>
        <w:ilvl w:val="2"/>
        <w:numId w:val="1"/>
      </w:numPr>
      <w:spacing w:before="120" w:after="60"/>
      <w:ind w:left="0" w:firstLine="200"/>
      <w:outlineLvl w:val="2"/>
    </w:pPr>
    <w:rPr>
      <w:b/>
      <w:bCs/>
      <w:szCs w:val="32"/>
    </w:rPr>
  </w:style>
  <w:style w:type="paragraph" w:styleId="6">
    <w:name w:val="heading 4"/>
    <w:basedOn w:val="3"/>
    <w:next w:val="1"/>
    <w:link w:val="29"/>
    <w:qFormat/>
    <w:uiPriority w:val="3"/>
    <w:pPr>
      <w:keepNext/>
      <w:keepLines/>
      <w:numPr>
        <w:ilvl w:val="3"/>
        <w:numId w:val="1"/>
      </w:numPr>
      <w:spacing w:before="120" w:after="60"/>
      <w:ind w:left="0" w:firstLine="200"/>
      <w:outlineLvl w:val="3"/>
    </w:pPr>
    <w:rPr>
      <w:b/>
      <w:bCs/>
    </w:rPr>
  </w:style>
  <w:style w:type="paragraph" w:styleId="7">
    <w:name w:val="heading 5"/>
    <w:basedOn w:val="3"/>
    <w:next w:val="3"/>
    <w:link w:val="30"/>
    <w:qFormat/>
    <w:uiPriority w:val="9"/>
    <w:pPr>
      <w:keepNext/>
      <w:keepLines/>
      <w:numPr>
        <w:ilvl w:val="4"/>
        <w:numId w:val="1"/>
      </w:numPr>
      <w:spacing w:before="120" w:after="60"/>
      <w:ind w:firstLine="0" w:firstLineChars="0"/>
      <w:outlineLvl w:val="4"/>
    </w:pPr>
    <w:rPr>
      <w:b/>
      <w:bCs/>
    </w:rPr>
  </w:style>
  <w:style w:type="paragraph" w:styleId="8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星耀正文"/>
    <w:basedOn w:val="1"/>
    <w:link w:val="25"/>
    <w:qFormat/>
    <w:uiPriority w:val="3"/>
    <w:pPr>
      <w:spacing w:line="560" w:lineRule="exact"/>
      <w:ind w:firstLine="200" w:firstLineChars="200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styleId="9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10">
    <w:name w:val="annotation text"/>
    <w:basedOn w:val="1"/>
    <w:link w:val="31"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3"/>
    <w:next w:val="3"/>
    <w:unhideWhenUsed/>
    <w:qFormat/>
    <w:uiPriority w:val="39"/>
    <w:pPr>
      <w:tabs>
        <w:tab w:val="right" w:leader="dot" w:pos="8296"/>
      </w:tabs>
      <w:spacing w:line="460" w:lineRule="exact"/>
      <w:ind w:firstLine="0" w:firstLineChars="0"/>
    </w:pPr>
    <w:rPr>
      <w:b/>
    </w:rPr>
  </w:style>
  <w:style w:type="paragraph" w:styleId="16">
    <w:name w:val="footnote text"/>
    <w:basedOn w:val="1"/>
    <w:link w:val="35"/>
    <w:qFormat/>
    <w:uiPriority w:val="99"/>
    <w:pPr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17">
    <w:name w:val="toc 2"/>
    <w:basedOn w:val="3"/>
    <w:next w:val="3"/>
    <w:unhideWhenUsed/>
    <w:qFormat/>
    <w:uiPriority w:val="39"/>
    <w:pPr>
      <w:tabs>
        <w:tab w:val="right" w:leader="dot" w:pos="8296"/>
      </w:tabs>
      <w:spacing w:line="460" w:lineRule="exact"/>
      <w:ind w:left="200" w:leftChars="200" w:firstLine="0" w:firstLineChars="0"/>
    </w:pPr>
  </w:style>
  <w:style w:type="paragraph" w:styleId="18">
    <w:name w:val="annotation subject"/>
    <w:basedOn w:val="10"/>
    <w:next w:val="10"/>
    <w:link w:val="36"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spacing w:line="300" w:lineRule="exact"/>
      <w:jc w:val="center"/>
    </w:pPr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tblHeader/>
    </w:trPr>
    <w:tcPr>
      <w:vAlign w:val="center"/>
    </w:tc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character" w:styleId="23">
    <w:name w:val="annotation reference"/>
    <w:unhideWhenUsed/>
    <w:qFormat/>
    <w:uiPriority w:val="99"/>
    <w:rPr>
      <w:sz w:val="21"/>
      <w:szCs w:val="21"/>
    </w:rPr>
  </w:style>
  <w:style w:type="character" w:styleId="24">
    <w:name w:val="footnote reference"/>
    <w:qFormat/>
    <w:uiPriority w:val="99"/>
    <w:rPr>
      <w:vertAlign w:val="superscript"/>
    </w:rPr>
  </w:style>
  <w:style w:type="character" w:customStyle="1" w:styleId="25">
    <w:name w:val="闻政正文 Char"/>
    <w:link w:val="3"/>
    <w:qFormat/>
    <w:uiPriority w:val="3"/>
    <w:rPr>
      <w:rFonts w:ascii="Times New Roman" w:hAnsi="Times New Roman" w:eastAsia="仿宋_GB2312" w:cs="Times New Roman"/>
      <w:kern w:val="0"/>
      <w:sz w:val="32"/>
      <w:szCs w:val="28"/>
      <w:lang w:val="zh-CN" w:eastAsia="zh-CN"/>
    </w:rPr>
  </w:style>
  <w:style w:type="character" w:customStyle="1" w:styleId="26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  <w:lang w:val="zh-CN" w:eastAsia="zh-CN"/>
    </w:rPr>
  </w:style>
  <w:style w:type="character" w:customStyle="1" w:styleId="27">
    <w:name w:val="标题 2 字符"/>
    <w:link w:val="4"/>
    <w:qFormat/>
    <w:uiPriority w:val="1"/>
    <w:rPr>
      <w:rFonts w:eastAsia="楷体"/>
      <w:b/>
      <w:bCs/>
      <w:sz w:val="32"/>
      <w:szCs w:val="32"/>
      <w:lang w:val="zh-CN"/>
    </w:rPr>
  </w:style>
  <w:style w:type="character" w:customStyle="1" w:styleId="28">
    <w:name w:val="标题 3 字符"/>
    <w:link w:val="5"/>
    <w:qFormat/>
    <w:uiPriority w:val="2"/>
    <w:rPr>
      <w:rFonts w:ascii="Times New Roman" w:hAnsi="Times New Roman" w:eastAsia="仿宋_GB2312" w:cs="Times New Roman"/>
      <w:b/>
      <w:bCs/>
      <w:kern w:val="0"/>
      <w:sz w:val="28"/>
      <w:szCs w:val="32"/>
      <w:lang w:val="zh-CN" w:eastAsia="zh-CN"/>
    </w:rPr>
  </w:style>
  <w:style w:type="character" w:customStyle="1" w:styleId="29">
    <w:name w:val="标题 4 字符"/>
    <w:link w:val="6"/>
    <w:qFormat/>
    <w:uiPriority w:val="3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0">
    <w:name w:val="标题 5 字符"/>
    <w:link w:val="7"/>
    <w:qFormat/>
    <w:uiPriority w:val="9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1">
    <w:name w:val="批注文字 字符"/>
    <w:link w:val="10"/>
    <w:qFormat/>
    <w:uiPriority w:val="99"/>
  </w:style>
  <w:style w:type="character" w:customStyle="1" w:styleId="32">
    <w:name w:val="批注框文本 字符"/>
    <w:link w:val="12"/>
    <w:semiHidden/>
    <w:qFormat/>
    <w:uiPriority w:val="99"/>
    <w:rPr>
      <w:sz w:val="18"/>
      <w:szCs w:val="18"/>
    </w:rPr>
  </w:style>
  <w:style w:type="character" w:customStyle="1" w:styleId="33">
    <w:name w:val="页脚 字符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4">
    <w:name w:val="页眉 字符"/>
    <w:link w:val="14"/>
    <w:qFormat/>
    <w:uiPriority w:val="99"/>
    <w:rPr>
      <w:sz w:val="18"/>
      <w:szCs w:val="18"/>
    </w:rPr>
  </w:style>
  <w:style w:type="character" w:customStyle="1" w:styleId="35">
    <w:name w:val="脚注文本 字符"/>
    <w:link w:val="1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6">
    <w:name w:val="批注主题 字符"/>
    <w:link w:val="18"/>
    <w:semiHidden/>
    <w:qFormat/>
    <w:uiPriority w:val="99"/>
    <w:rPr>
      <w:b/>
      <w:bCs/>
    </w:rPr>
  </w:style>
  <w:style w:type="character" w:customStyle="1" w:styleId="37">
    <w:name w:val="闻政图表名 字符"/>
    <w:link w:val="38"/>
    <w:qFormat/>
    <w:uiPriority w:val="4"/>
    <w:rPr>
      <w:rFonts w:ascii="Times New Roman" w:hAnsi="Times New Roman" w:eastAsia="仿宋_GB2312" w:cs="Times New Roman"/>
      <w:b/>
      <w:kern w:val="0"/>
      <w:sz w:val="24"/>
      <w:szCs w:val="28"/>
    </w:rPr>
  </w:style>
  <w:style w:type="paragraph" w:customStyle="1" w:styleId="38">
    <w:name w:val="星耀图表名"/>
    <w:basedOn w:val="1"/>
    <w:link w:val="37"/>
    <w:qFormat/>
    <w:uiPriority w:val="4"/>
    <w:pPr>
      <w:spacing w:before="60" w:after="60"/>
      <w:jc w:val="center"/>
    </w:pPr>
    <w:rPr>
      <w:rFonts w:ascii="Times New Roman" w:hAnsi="Times New Roman" w:eastAsia="仿宋_GB2312"/>
      <w:b/>
      <w:kern w:val="0"/>
      <w:sz w:val="24"/>
      <w:szCs w:val="28"/>
    </w:rPr>
  </w:style>
  <w:style w:type="character" w:customStyle="1" w:styleId="39">
    <w:name w:val="闻政图（表）注 Char"/>
    <w:link w:val="40"/>
    <w:qFormat/>
    <w:uiPriority w:val="5"/>
    <w:rPr>
      <w:rFonts w:ascii="Times New Roman" w:hAnsi="Times New Roman" w:eastAsia="仿宋_GB2312" w:cs="Arial"/>
      <w:kern w:val="0"/>
    </w:rPr>
  </w:style>
  <w:style w:type="paragraph" w:customStyle="1" w:styleId="40">
    <w:name w:val="星耀图（表）注"/>
    <w:basedOn w:val="1"/>
    <w:link w:val="39"/>
    <w:qFormat/>
    <w:uiPriority w:val="5"/>
    <w:pPr>
      <w:spacing w:before="120"/>
    </w:pPr>
    <w:rPr>
      <w:rFonts w:ascii="Times New Roman" w:hAnsi="Times New Roman" w:eastAsia="仿宋_GB2312" w:cs="Arial"/>
      <w:kern w:val="0"/>
    </w:rPr>
  </w:style>
  <w:style w:type="character" w:customStyle="1" w:styleId="41">
    <w:name w:val="闻政表文字 字符"/>
    <w:link w:val="42"/>
    <w:qFormat/>
    <w:uiPriority w:val="5"/>
    <w:rPr>
      <w:rFonts w:ascii="Times New Roman" w:hAnsi="Times New Roman" w:eastAsia="仿宋_GB2312" w:cs="宋体"/>
      <w:bCs/>
      <w:color w:val="000000"/>
      <w:kern w:val="0"/>
      <w:sz w:val="22"/>
      <w:szCs w:val="22"/>
      <w:lang w:val="zh-CN" w:eastAsia="zh-CN"/>
    </w:rPr>
  </w:style>
  <w:style w:type="paragraph" w:customStyle="1" w:styleId="42">
    <w:name w:val="星耀表文字"/>
    <w:basedOn w:val="3"/>
    <w:link w:val="41"/>
    <w:qFormat/>
    <w:uiPriority w:val="5"/>
    <w:pPr>
      <w:widowControl/>
      <w:spacing w:line="320" w:lineRule="exact"/>
      <w:ind w:firstLine="0" w:firstLineChars="0"/>
      <w:jc w:val="center"/>
    </w:pPr>
    <w:rPr>
      <w:rFonts w:cs="宋体"/>
      <w:bCs/>
      <w:color w:val="000000"/>
      <w:sz w:val="22"/>
      <w:szCs w:val="22"/>
    </w:rPr>
  </w:style>
  <w:style w:type="paragraph" w:customStyle="1" w:styleId="43">
    <w:name w:val="星耀附件三级标题"/>
    <w:basedOn w:val="44"/>
    <w:qFormat/>
    <w:uiPriority w:val="8"/>
    <w:rPr>
      <w:rFonts w:ascii="Times New Roman" w:hAnsi="Times New Roman" w:eastAsia="仿宋_GB2312"/>
    </w:rPr>
  </w:style>
  <w:style w:type="paragraph" w:customStyle="1" w:styleId="44">
    <w:name w:val="星耀附件二级标题"/>
    <w:basedOn w:val="45"/>
    <w:qFormat/>
    <w:uiPriority w:val="8"/>
    <w:rPr>
      <w:rFonts w:ascii="宋体" w:hAnsi="宋体" w:eastAsia="宋体"/>
    </w:rPr>
  </w:style>
  <w:style w:type="paragraph" w:customStyle="1" w:styleId="45">
    <w:name w:val="星耀附件一级标题"/>
    <w:basedOn w:val="46"/>
    <w:next w:val="47"/>
    <w:qFormat/>
    <w:uiPriority w:val="6"/>
    <w:pPr>
      <w:ind w:firstLine="200" w:firstLineChars="200"/>
      <w:jc w:val="left"/>
    </w:pPr>
    <w:rPr>
      <w:rFonts w:cs="宋体"/>
      <w:sz w:val="28"/>
    </w:rPr>
  </w:style>
  <w:style w:type="paragraph" w:customStyle="1" w:styleId="46">
    <w:name w:val="星耀附件报告名"/>
    <w:basedOn w:val="3"/>
    <w:qFormat/>
    <w:uiPriority w:val="9"/>
    <w:pPr>
      <w:spacing w:before="120" w:after="60"/>
      <w:ind w:firstLine="0" w:firstLineChars="0"/>
      <w:jc w:val="center"/>
    </w:pPr>
    <w:rPr>
      <w:b/>
    </w:rPr>
  </w:style>
  <w:style w:type="paragraph" w:customStyle="1" w:styleId="47">
    <w:name w:val="星耀附件正文"/>
    <w:basedOn w:val="3"/>
    <w:qFormat/>
    <w:uiPriority w:val="6"/>
    <w:rPr>
      <w:sz w:val="28"/>
    </w:rPr>
  </w:style>
  <w:style w:type="paragraph" w:customStyle="1" w:styleId="48">
    <w:name w:val="星耀附件四级标题"/>
    <w:basedOn w:val="43"/>
    <w:qFormat/>
    <w:uiPriority w:val="9"/>
    <w:pPr>
      <w:spacing w:before="0" w:after="0"/>
    </w:pPr>
  </w:style>
  <w:style w:type="paragraph" w:customStyle="1" w:styleId="49">
    <w:name w:val="星耀脚注"/>
    <w:basedOn w:val="3"/>
    <w:qFormat/>
    <w:uiPriority w:val="9"/>
    <w:pPr>
      <w:spacing w:line="400" w:lineRule="exact"/>
      <w:ind w:firstLine="0" w:firstLineChars="0"/>
    </w:pPr>
    <w:rPr>
      <w:sz w:val="18"/>
    </w:rPr>
  </w:style>
  <w:style w:type="paragraph" w:customStyle="1" w:styleId="50">
    <w:name w:val="星耀封面项目信息"/>
    <w:basedOn w:val="1"/>
    <w:qFormat/>
    <w:uiPriority w:val="0"/>
    <w:pPr>
      <w:spacing w:before="120"/>
      <w:ind w:left="800" w:leftChars="800"/>
      <w:jc w:val="left"/>
    </w:pPr>
    <w:rPr>
      <w:rFonts w:ascii="Times New Roman" w:hAnsi="Times New Roman" w:eastAsia="仿宋_GB2312"/>
      <w:kern w:val="0"/>
      <w:sz w:val="32"/>
      <w:szCs w:val="28"/>
      <w:lang w:val="zh-CN"/>
    </w:rPr>
  </w:style>
  <w:style w:type="paragraph" w:customStyle="1" w:styleId="51">
    <w:name w:val="星耀封面标题"/>
    <w:basedOn w:val="1"/>
    <w:next w:val="50"/>
    <w:qFormat/>
    <w:uiPriority w:val="0"/>
    <w:pPr>
      <w:jc w:val="center"/>
    </w:pPr>
    <w:rPr>
      <w:rFonts w:ascii="Times New Roman" w:hAnsi="Times New Roman" w:eastAsia="黑体"/>
      <w:snapToGrid w:val="0"/>
      <w:sz w:val="48"/>
      <w:szCs w:val="24"/>
    </w:rPr>
  </w:style>
  <w:style w:type="paragraph" w:customStyle="1" w:styleId="52">
    <w:name w:val="TOC 标题1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outlineLvl w:val="9"/>
    </w:pPr>
    <w:rPr>
      <w:rFonts w:ascii="等线 Light" w:hAnsi="等线 Light" w:eastAsia="等线 Light"/>
      <w:b/>
      <w:bCs w:val="0"/>
      <w:color w:val="2F5496"/>
      <w:kern w:val="0"/>
      <w:szCs w:val="32"/>
    </w:rPr>
  </w:style>
  <w:style w:type="paragraph" w:customStyle="1" w:styleId="53">
    <w:name w:val="星耀评价小组人员名单"/>
    <w:basedOn w:val="1"/>
    <w:qFormat/>
    <w:uiPriority w:val="0"/>
    <w:pPr>
      <w:jc w:val="left"/>
    </w:pPr>
    <w:rPr>
      <w:rFonts w:eastAsia="仿宋_GB2312"/>
      <w:sz w:val="32"/>
    </w:rPr>
  </w:style>
  <w:style w:type="paragraph" w:customStyle="1" w:styleId="54">
    <w:name w:val="星耀备注类"/>
    <w:basedOn w:val="3"/>
    <w:qFormat/>
    <w:uiPriority w:val="5"/>
    <w:pPr>
      <w:spacing w:line="240" w:lineRule="auto"/>
      <w:jc w:val="left"/>
    </w:pPr>
    <w:rPr>
      <w:rFonts w:cs="宋体"/>
      <w:sz w:val="21"/>
    </w:rPr>
  </w:style>
  <w:style w:type="paragraph" w:customStyle="1" w:styleId="55">
    <w:name w:val="星耀附件标题"/>
    <w:basedOn w:val="3"/>
    <w:qFormat/>
    <w:uiPriority w:val="6"/>
    <w:pPr>
      <w:numPr>
        <w:ilvl w:val="5"/>
        <w:numId w:val="1"/>
      </w:numPr>
      <w:spacing w:before="120" w:after="60" w:line="240" w:lineRule="auto"/>
      <w:ind w:firstLineChars="0"/>
      <w:outlineLvl w:val="0"/>
    </w:pPr>
    <w:rPr>
      <w:rFonts w:eastAsia="黑体"/>
      <w:b/>
    </w:rPr>
  </w:style>
  <w:style w:type="paragraph" w:customStyle="1" w:styleId="56">
    <w:name w:val="星耀目录标题"/>
    <w:basedOn w:val="51"/>
    <w:qFormat/>
    <w:uiPriority w:val="1"/>
  </w:style>
  <w:style w:type="table" w:customStyle="1" w:styleId="57">
    <w:name w:val="无格式表格 11"/>
    <w:basedOn w:val="19"/>
    <w:qFormat/>
    <w:uiPriority w:val="41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58">
    <w:name w:val="网格型浅色1"/>
    <w:basedOn w:val="19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  <w:style w:type="paragraph" w:customStyle="1" w:styleId="59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2178</Characters>
  <Lines>18</Lines>
  <Paragraphs>5</Paragraphs>
  <TotalTime>11</TotalTime>
  <ScaleCrop>false</ScaleCrop>
  <LinksUpToDate>false</LinksUpToDate>
  <CharactersWithSpaces>2554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2022-10-28T00:00:00Z</dcterms:created>
  <dc:creator>wjd</dc:creator>
  <cp:lastModifiedBy>邓国威</cp:lastModifiedBy>
  <cp:lastPrinted>2022-12-15T23:04:00Z</cp:lastPrinted>
  <dcterms:modified xsi:type="dcterms:W3CDTF">2023-05-18T10:18:37Z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2DEDBE5373EB454F8D33B002AC5FB477</vt:lpwstr>
  </property>
</Properties>
</file>