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color w:val="000000"/>
          <w:kern w:val="0"/>
          <w:sz w:val="44"/>
          <w:szCs w:val="44"/>
          <w:lang w:val="en-US" w:eastAsia="zh-CN" w:bidi="ar"/>
        </w:rPr>
        <w:t>大鹏办事处社区党群服务中心区级配套</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color w:val="000000"/>
          <w:kern w:val="0"/>
          <w:sz w:val="44"/>
          <w:szCs w:val="44"/>
          <w:lang w:val="en-US" w:eastAsia="zh-CN" w:bidi="ar"/>
        </w:rPr>
        <w:t>运营经费项目支出绩效评价报告</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pPr>
      <w:r>
        <w:rPr>
          <w:rFonts w:ascii="黑体" w:hAnsi="宋体" w:eastAsia="黑体" w:cs="黑体"/>
          <w:color w:val="000000"/>
          <w:kern w:val="0"/>
          <w:sz w:val="30"/>
          <w:szCs w:val="30"/>
          <w:lang w:val="en-US" w:eastAsia="zh-CN" w:bidi="ar"/>
        </w:rPr>
        <w:t>一、基本情况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（一）项目概况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bCs/>
          <w:color w:val="000000"/>
          <w:kern w:val="0"/>
          <w:sz w:val="32"/>
          <w:szCs w:val="32"/>
          <w:lang w:val="en-US" w:eastAsia="zh-Hans" w:bidi="ar"/>
        </w:rPr>
      </w:pPr>
      <w:r>
        <w:rPr>
          <w:rFonts w:hint="eastAsia" w:ascii="仿宋_GB2312" w:hAnsi="仿宋_GB2312" w:eastAsia="仿宋_GB2312" w:cs="仿宋_GB2312"/>
          <w:b/>
          <w:bCs/>
          <w:color w:val="000000"/>
          <w:kern w:val="0"/>
          <w:sz w:val="32"/>
          <w:szCs w:val="32"/>
          <w:lang w:eastAsia="zh-CN" w:bidi="ar"/>
        </w:rPr>
        <w:t>1</w:t>
      </w:r>
      <w:r>
        <w:rPr>
          <w:rFonts w:hint="eastAsia" w:ascii="仿宋_GB2312" w:hAnsi="仿宋_GB2312" w:eastAsia="仿宋_GB2312" w:cs="仿宋_GB2312"/>
          <w:b/>
          <w:bCs/>
          <w:color w:val="000000"/>
          <w:kern w:val="0"/>
          <w:sz w:val="32"/>
          <w:szCs w:val="32"/>
          <w:lang w:val="en-US" w:eastAsia="zh-Hans" w:bidi="ar"/>
        </w:rPr>
        <w:t>.项目背景</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深圳市大鹏新区大鹏办事处是深圳市大鹏新区管委会的派出机构，贯彻执行国家法律、法规、规章和市政府、新区管委会的决定、指示，完成市、新区部署的各项任务；负责维护社会稳定和社会治安综合治理工作，开展人民调解和治安保卫工作；参与新建、改建居住区的公共建筑、市政设施配套项目的验收工作，协助有关部门对公共建筑、市政配套设施的使用进行监督管理；负责城市管理工作和城管综合执法工作；做好“三防”（防汛、防旱、防风）和抗灾救灾工作；负责劳动管理和安全生产监督工作；开展拥军优属和拥政爱民等各项民政工作，做好人民武装工作；承办新区管委会交办的其他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为提高社区建设质量，提高人民群众幸福感和获得感，依据《中共深圳市委深圳市人民政府关于加强社会建设的决定》《深圳市社区服务“十二五”规划》《深圳市社区党群服务中心政府购买项目服务标准》《大鹏新区推进社区党群服务中心运营改革实施方案》等文件要求，深圳市社区公共服务项目可由社区服务中心向具备相关资质的社会组织购买。</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bCs/>
          <w:color w:val="000000"/>
          <w:kern w:val="0"/>
          <w:sz w:val="32"/>
          <w:szCs w:val="32"/>
          <w:lang w:val="en-US" w:eastAsia="zh-Hans" w:bidi="ar"/>
        </w:rPr>
      </w:pPr>
      <w:r>
        <w:rPr>
          <w:rFonts w:hint="eastAsia" w:ascii="仿宋_GB2312" w:hAnsi="仿宋_GB2312" w:eastAsia="仿宋_GB2312" w:cs="仿宋_GB2312"/>
          <w:b/>
          <w:bCs/>
          <w:color w:val="000000"/>
          <w:kern w:val="0"/>
          <w:sz w:val="32"/>
          <w:szCs w:val="32"/>
          <w:lang w:val="en-US" w:eastAsia="zh-Hans" w:bidi="ar"/>
        </w:rPr>
        <w:t>项目内容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000000"/>
          <w:kern w:val="0"/>
          <w:sz w:val="32"/>
          <w:szCs w:val="32"/>
          <w:lang w:eastAsia="zh-Hans" w:bidi="ar"/>
        </w:rPr>
      </w:pPr>
      <w:r>
        <w:rPr>
          <w:rFonts w:hint="eastAsia" w:ascii="仿宋_GB2312" w:hAnsi="仿宋_GB2312" w:eastAsia="仿宋_GB2312" w:cs="仿宋_GB2312"/>
          <w:color w:val="000000"/>
          <w:kern w:val="0"/>
          <w:sz w:val="32"/>
          <w:szCs w:val="32"/>
          <w:lang w:eastAsia="zh-Hans" w:bidi="ar"/>
        </w:rPr>
        <w:t>大鹏办事处社区党群服务中心区级配套运营经费</w:t>
      </w:r>
      <w:r>
        <w:rPr>
          <w:rFonts w:hint="eastAsia" w:ascii="仿宋_GB2312" w:hAnsi="仿宋_GB2312" w:eastAsia="仿宋_GB2312" w:cs="仿宋_GB2312"/>
          <w:color w:val="000000"/>
          <w:kern w:val="0"/>
          <w:sz w:val="32"/>
          <w:szCs w:val="32"/>
          <w:lang w:val="en-US" w:eastAsia="zh-Hans" w:bidi="ar"/>
        </w:rPr>
        <w:t>项目包括B包</w:t>
      </w:r>
      <w:r>
        <w:rPr>
          <w:rFonts w:hint="eastAsia" w:ascii="仿宋_GB2312" w:hAnsi="仿宋_GB2312" w:eastAsia="仿宋_GB2312" w:cs="仿宋_GB2312"/>
          <w:color w:val="000000"/>
          <w:kern w:val="0"/>
          <w:sz w:val="32"/>
          <w:szCs w:val="32"/>
          <w:lang w:val="en-US" w:eastAsia="zh-CN" w:bidi="ar"/>
        </w:rPr>
        <w:t>社区儿童青少年项目和社区家庭服务</w:t>
      </w:r>
      <w:r>
        <w:rPr>
          <w:rFonts w:hint="eastAsia" w:ascii="仿宋_GB2312" w:hAnsi="仿宋_GB2312" w:eastAsia="仿宋_GB2312" w:cs="仿宋_GB2312"/>
          <w:color w:val="000000"/>
          <w:kern w:val="0"/>
          <w:sz w:val="32"/>
          <w:szCs w:val="32"/>
          <w:lang w:val="en-US" w:eastAsia="zh-Hans" w:bidi="ar"/>
        </w:rPr>
        <w:t>和C包</w:t>
      </w:r>
      <w:r>
        <w:rPr>
          <w:rFonts w:hint="eastAsia" w:ascii="仿宋_GB2312" w:hAnsi="仿宋_GB2312" w:eastAsia="仿宋_GB2312" w:cs="仿宋_GB2312"/>
          <w:color w:val="000000"/>
          <w:kern w:val="0"/>
          <w:sz w:val="32"/>
          <w:szCs w:val="32"/>
          <w:lang w:val="en-US" w:eastAsia="zh-CN" w:bidi="ar"/>
        </w:rPr>
        <w:t>社区妇女服务、社区发展和特色服务</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val="en-US" w:eastAsia="zh-Hans" w:bidi="ar"/>
        </w:rPr>
        <w:t>服务承接机构分别为</w:t>
      </w:r>
      <w:r>
        <w:rPr>
          <w:rFonts w:hint="eastAsia" w:ascii="仿宋_GB2312" w:hAnsi="仿宋_GB2312" w:eastAsia="仿宋_GB2312" w:cs="仿宋_GB2312"/>
          <w:color w:val="000000"/>
          <w:kern w:val="0"/>
          <w:sz w:val="32"/>
          <w:szCs w:val="32"/>
          <w:lang w:val="en-US" w:eastAsia="zh-CN" w:bidi="ar"/>
        </w:rPr>
        <w:t>深圳市龙华区启明星社工服务中心</w:t>
      </w:r>
      <w:r>
        <w:rPr>
          <w:rFonts w:hint="eastAsia" w:ascii="仿宋_GB2312" w:hAnsi="仿宋_GB2312" w:eastAsia="仿宋_GB2312" w:cs="仿宋_GB2312"/>
          <w:color w:val="000000"/>
          <w:kern w:val="0"/>
          <w:sz w:val="32"/>
          <w:szCs w:val="32"/>
          <w:lang w:val="en-US" w:eastAsia="zh-Hans" w:bidi="ar"/>
        </w:rPr>
        <w:t>和</w:t>
      </w:r>
      <w:r>
        <w:rPr>
          <w:rFonts w:hint="eastAsia" w:ascii="仿宋_GB2312" w:hAnsi="仿宋_GB2312" w:eastAsia="仿宋_GB2312" w:cs="仿宋_GB2312"/>
          <w:color w:val="000000"/>
          <w:kern w:val="0"/>
          <w:sz w:val="32"/>
          <w:szCs w:val="32"/>
          <w:lang w:val="en-US" w:eastAsia="zh-CN" w:bidi="ar"/>
        </w:rPr>
        <w:t>深圳市新现代社工服务中心</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val="en-US" w:eastAsia="zh-Hans" w:bidi="ar"/>
        </w:rPr>
        <w:t>项目内容简介如下</w:t>
      </w:r>
      <w:r>
        <w:rPr>
          <w:rFonts w:hint="eastAsia" w:ascii="仿宋_GB2312" w:hAnsi="仿宋_GB2312" w:eastAsia="仿宋_GB2312" w:cs="仿宋_GB2312"/>
          <w:color w:val="000000"/>
          <w:kern w:val="0"/>
          <w:sz w:val="32"/>
          <w:szCs w:val="32"/>
          <w:lang w:eastAsia="zh-Hans" w:bidi="ar"/>
        </w:rPr>
        <w:t>：</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社区儿童青少年项目和社区家庭服务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kern w:val="0"/>
          <w:sz w:val="32"/>
          <w:szCs w:val="32"/>
          <w:lang w:eastAsia="zh-Hans" w:bidi="ar"/>
        </w:rPr>
      </w:pPr>
      <w:r>
        <w:rPr>
          <w:rFonts w:hint="eastAsia" w:ascii="仿宋_GB2312" w:hAnsi="仿宋_GB2312" w:eastAsia="仿宋_GB2312" w:cs="仿宋_GB2312"/>
          <w:color w:val="000000"/>
          <w:kern w:val="0"/>
          <w:sz w:val="32"/>
          <w:szCs w:val="32"/>
          <w:lang w:eastAsia="zh-Hans" w:bidi="ar"/>
        </w:rPr>
        <w:t xml:space="preserve">    </w:t>
      </w:r>
      <w:r>
        <w:rPr>
          <w:rFonts w:hint="eastAsia" w:ascii="仿宋_GB2312" w:hAnsi="仿宋_GB2312" w:eastAsia="仿宋_GB2312" w:cs="仿宋_GB2312"/>
          <w:color w:val="000000"/>
          <w:kern w:val="0"/>
          <w:sz w:val="32"/>
          <w:szCs w:val="32"/>
          <w:lang w:val="en-US" w:eastAsia="zh-Hans" w:bidi="ar"/>
        </w:rPr>
        <w:t>为满足社区儿童青少年安全认知意识培育</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丰富社会支持网络结构和特殊儿童青少年群体关爱支持等需求</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采用社会生态系统理论</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社区营造理论等专业社会工作理论</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制定并实施青少年特色项目</w:t>
      </w:r>
      <w:r>
        <w:rPr>
          <w:rFonts w:hint="eastAsia" w:ascii="仿宋_GB2312" w:hAnsi="仿宋_GB2312" w:eastAsia="仿宋_GB2312" w:cs="仿宋_GB2312"/>
          <w:color w:val="000000"/>
          <w:kern w:val="0"/>
          <w:sz w:val="32"/>
          <w:szCs w:val="32"/>
          <w:lang w:eastAsia="zh-Hans" w:bidi="ar"/>
        </w:rPr>
        <w:t>，促进辖区儿童青少年的成长与家庭关系的和谐，构建共建共治共享的社会治理格局。</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560" w:lineRule="exact"/>
        <w:ind w:firstLine="600" w:firstLineChars="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社区妇女服务、社区发展和特色服务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kern w:val="0"/>
          <w:sz w:val="32"/>
          <w:szCs w:val="32"/>
          <w:lang w:eastAsia="zh-Hans" w:bidi="ar"/>
        </w:rPr>
      </w:pPr>
      <w:r>
        <w:rPr>
          <w:rFonts w:hint="eastAsia" w:ascii="仿宋_GB2312" w:hAnsi="仿宋_GB2312" w:eastAsia="仿宋_GB2312" w:cs="仿宋_GB2312"/>
          <w:color w:val="000000"/>
          <w:kern w:val="0"/>
          <w:sz w:val="32"/>
          <w:szCs w:val="32"/>
          <w:lang w:eastAsia="zh-Hans" w:bidi="ar"/>
        </w:rPr>
        <w:t xml:space="preserve">    以社区妇女为主体，充分调动社区妇女个体、群体与社区间相互的作用，不断促进妇女学习与社区参与，推动发展成为社区骨干，从而不断提升社区发展的影响力，促进社区融合与发展。</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Hans" w:bidi="ar"/>
        </w:rPr>
        <w:t>资金投入和使用情况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依据《大鹏办事处2020年部门预算“二上”方案》及批复，社区党群服务中心区级配套运营经费预算为162.00万元，其中包括社区党群服务中心青少年服务项目（中标价格80.72万），以及社区党群服务中心妇女服务项目（中标价格80.5万）。</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2020年3月25日，大鹏办事处与深圳市龙华区启明星社工服务中心签订《大鹏新区大鹏办事处社区党群服务项目服务协议（项目名称：社区儿童青少年项目和社区家庭服务）》，合同期限自2020年4月1日至2021年3月31日，项目金额为80.30万元，分二期支付</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val="en-US" w:eastAsia="zh-CN" w:bidi="ar"/>
        </w:rPr>
        <w:t>第一期</w:t>
      </w:r>
      <w:r>
        <w:rPr>
          <w:rFonts w:hint="eastAsia" w:ascii="仿宋_GB2312" w:hAnsi="仿宋_GB2312" w:eastAsia="仿宋_GB2312" w:cs="仿宋_GB2312"/>
          <w:color w:val="000000"/>
          <w:kern w:val="0"/>
          <w:sz w:val="32"/>
          <w:szCs w:val="32"/>
          <w:lang w:val="en-US" w:eastAsia="zh-Hans" w:bidi="ar"/>
        </w:rPr>
        <w:t>费用于</w:t>
      </w:r>
      <w:r>
        <w:rPr>
          <w:rFonts w:hint="eastAsia" w:ascii="仿宋_GB2312" w:hAnsi="仿宋_GB2312" w:eastAsia="仿宋_GB2312" w:cs="仿宋_GB2312"/>
          <w:color w:val="000000"/>
          <w:kern w:val="0"/>
          <w:sz w:val="32"/>
          <w:szCs w:val="32"/>
          <w:lang w:eastAsia="zh-Hans" w:bidi="ar"/>
        </w:rPr>
        <w:t>2020</w:t>
      </w:r>
      <w:r>
        <w:rPr>
          <w:rFonts w:hint="eastAsia" w:ascii="仿宋_GB2312" w:hAnsi="仿宋_GB2312" w:eastAsia="仿宋_GB2312" w:cs="仿宋_GB2312"/>
          <w:color w:val="000000"/>
          <w:kern w:val="0"/>
          <w:sz w:val="32"/>
          <w:szCs w:val="32"/>
          <w:lang w:val="en-US" w:eastAsia="zh-Hans" w:bidi="ar"/>
        </w:rPr>
        <w:t>年</w:t>
      </w:r>
      <w:r>
        <w:rPr>
          <w:rFonts w:hint="eastAsia" w:ascii="仿宋_GB2312" w:hAnsi="仿宋_GB2312" w:eastAsia="仿宋_GB2312" w:cs="仿宋_GB2312"/>
          <w:color w:val="000000"/>
          <w:kern w:val="0"/>
          <w:sz w:val="32"/>
          <w:szCs w:val="32"/>
          <w:lang w:eastAsia="zh-Hans" w:bidi="ar"/>
        </w:rPr>
        <w:t>3</w:t>
      </w:r>
      <w:r>
        <w:rPr>
          <w:rFonts w:hint="eastAsia" w:ascii="仿宋_GB2312" w:hAnsi="仿宋_GB2312" w:eastAsia="仿宋_GB2312" w:cs="仿宋_GB2312"/>
          <w:color w:val="000000"/>
          <w:kern w:val="0"/>
          <w:sz w:val="32"/>
          <w:szCs w:val="32"/>
          <w:lang w:val="en-US" w:eastAsia="zh-Hans" w:bidi="ar"/>
        </w:rPr>
        <w:t>月</w:t>
      </w:r>
      <w:r>
        <w:rPr>
          <w:rFonts w:hint="eastAsia" w:ascii="仿宋_GB2312" w:hAnsi="仿宋_GB2312" w:eastAsia="仿宋_GB2312" w:cs="仿宋_GB2312"/>
          <w:color w:val="000000"/>
          <w:kern w:val="0"/>
          <w:sz w:val="32"/>
          <w:szCs w:val="32"/>
          <w:lang w:eastAsia="zh-Hans" w:bidi="ar"/>
        </w:rPr>
        <w:t>31</w:t>
      </w:r>
      <w:r>
        <w:rPr>
          <w:rFonts w:hint="eastAsia" w:ascii="仿宋_GB2312" w:hAnsi="仿宋_GB2312" w:eastAsia="仿宋_GB2312" w:cs="仿宋_GB2312"/>
          <w:color w:val="000000"/>
          <w:kern w:val="0"/>
          <w:sz w:val="32"/>
          <w:szCs w:val="32"/>
          <w:lang w:val="en-US" w:eastAsia="zh-Hans" w:bidi="ar"/>
        </w:rPr>
        <w:t>日</w:t>
      </w:r>
      <w:r>
        <w:rPr>
          <w:rFonts w:hint="eastAsia" w:ascii="仿宋_GB2312" w:hAnsi="仿宋_GB2312" w:eastAsia="仿宋_GB2312" w:cs="仿宋_GB2312"/>
          <w:color w:val="000000"/>
          <w:kern w:val="0"/>
          <w:sz w:val="32"/>
          <w:szCs w:val="32"/>
          <w:lang w:val="en-US" w:eastAsia="zh-CN" w:bidi="ar"/>
        </w:rPr>
        <w:t>支付</w:t>
      </w:r>
      <w:r>
        <w:rPr>
          <w:rFonts w:hint="eastAsia" w:ascii="仿宋_GB2312" w:hAnsi="仿宋_GB2312" w:eastAsia="仿宋_GB2312" w:cs="仿宋_GB2312"/>
          <w:color w:val="000000"/>
          <w:kern w:val="0"/>
          <w:sz w:val="32"/>
          <w:szCs w:val="32"/>
          <w:lang w:eastAsia="zh-CN" w:bidi="ar"/>
        </w:rPr>
        <w:t>28</w:t>
      </w:r>
      <w:r>
        <w:rPr>
          <w:rFonts w:hint="eastAsia" w:ascii="仿宋_GB2312" w:hAnsi="仿宋_GB2312" w:eastAsia="仿宋_GB2312" w:cs="仿宋_GB2312"/>
          <w:color w:val="000000"/>
          <w:kern w:val="0"/>
          <w:sz w:val="32"/>
          <w:szCs w:val="32"/>
          <w:lang w:val="en-US" w:eastAsia="zh-Hans" w:bidi="ar"/>
        </w:rPr>
        <w:t>.</w:t>
      </w:r>
      <w:r>
        <w:rPr>
          <w:rFonts w:hint="eastAsia" w:ascii="仿宋_GB2312" w:hAnsi="仿宋_GB2312" w:eastAsia="仿宋_GB2312" w:cs="仿宋_GB2312"/>
          <w:color w:val="000000"/>
          <w:kern w:val="0"/>
          <w:sz w:val="32"/>
          <w:szCs w:val="32"/>
          <w:lang w:eastAsia="zh-Hans" w:bidi="ar"/>
        </w:rPr>
        <w:t>1</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val="en-US" w:eastAsia="zh-Hans" w:bidi="ar"/>
        </w:rPr>
        <w:t>万元</w:t>
      </w:r>
      <w:r>
        <w:rPr>
          <w:rFonts w:hint="eastAsia" w:ascii="仿宋_GB2312" w:hAnsi="仿宋_GB2312" w:eastAsia="仿宋_GB2312" w:cs="仿宋_GB2312"/>
          <w:color w:val="000000"/>
          <w:kern w:val="0"/>
          <w:sz w:val="32"/>
          <w:szCs w:val="32"/>
          <w:lang w:eastAsia="zh-CN" w:bidi="ar"/>
        </w:rPr>
        <w:t>，2020</w:t>
      </w:r>
      <w:r>
        <w:rPr>
          <w:rFonts w:hint="eastAsia" w:ascii="仿宋_GB2312" w:hAnsi="仿宋_GB2312" w:eastAsia="仿宋_GB2312" w:cs="仿宋_GB2312"/>
          <w:color w:val="000000"/>
          <w:kern w:val="0"/>
          <w:sz w:val="32"/>
          <w:szCs w:val="32"/>
          <w:lang w:val="en-US" w:eastAsia="zh-Hans" w:bidi="ar"/>
        </w:rPr>
        <w:t>年</w:t>
      </w:r>
      <w:r>
        <w:rPr>
          <w:rFonts w:hint="eastAsia" w:ascii="仿宋_GB2312" w:hAnsi="仿宋_GB2312" w:eastAsia="仿宋_GB2312" w:cs="仿宋_GB2312"/>
          <w:color w:val="000000"/>
          <w:kern w:val="0"/>
          <w:sz w:val="32"/>
          <w:szCs w:val="32"/>
          <w:lang w:eastAsia="zh-CN" w:bidi="ar"/>
        </w:rPr>
        <w:t>4</w:t>
      </w:r>
      <w:r>
        <w:rPr>
          <w:rFonts w:hint="eastAsia" w:ascii="仿宋_GB2312" w:hAnsi="仿宋_GB2312" w:eastAsia="仿宋_GB2312" w:cs="仿宋_GB2312"/>
          <w:color w:val="000000"/>
          <w:kern w:val="0"/>
          <w:sz w:val="32"/>
          <w:szCs w:val="32"/>
          <w:lang w:val="en-US" w:eastAsia="zh-Hans" w:bidi="ar"/>
        </w:rPr>
        <w:t>月</w:t>
      </w:r>
      <w:r>
        <w:rPr>
          <w:rFonts w:hint="eastAsia" w:ascii="仿宋_GB2312" w:hAnsi="仿宋_GB2312" w:eastAsia="仿宋_GB2312" w:cs="仿宋_GB2312"/>
          <w:color w:val="000000"/>
          <w:kern w:val="0"/>
          <w:sz w:val="32"/>
          <w:szCs w:val="32"/>
          <w:lang w:eastAsia="zh-Hans" w:bidi="ar"/>
        </w:rPr>
        <w:t>17</w:t>
      </w:r>
      <w:r>
        <w:rPr>
          <w:rFonts w:hint="eastAsia" w:ascii="仿宋_GB2312" w:hAnsi="仿宋_GB2312" w:eastAsia="仿宋_GB2312" w:cs="仿宋_GB2312"/>
          <w:color w:val="000000"/>
          <w:kern w:val="0"/>
          <w:sz w:val="32"/>
          <w:szCs w:val="32"/>
          <w:lang w:val="en-US" w:eastAsia="zh-Hans" w:bidi="ar"/>
        </w:rPr>
        <w:t>日支付</w:t>
      </w:r>
      <w:r>
        <w:rPr>
          <w:rFonts w:hint="eastAsia" w:ascii="仿宋_GB2312" w:hAnsi="仿宋_GB2312" w:eastAsia="仿宋_GB2312" w:cs="仿宋_GB2312"/>
          <w:color w:val="000000"/>
          <w:kern w:val="0"/>
          <w:sz w:val="32"/>
          <w:szCs w:val="32"/>
          <w:lang w:eastAsia="zh-Hans" w:bidi="ar"/>
        </w:rPr>
        <w:t>32</w:t>
      </w:r>
      <w:r>
        <w:rPr>
          <w:rFonts w:hint="eastAsia" w:ascii="仿宋_GB2312" w:hAnsi="仿宋_GB2312" w:eastAsia="仿宋_GB2312" w:cs="仿宋_GB2312"/>
          <w:color w:val="000000"/>
          <w:kern w:val="0"/>
          <w:sz w:val="32"/>
          <w:szCs w:val="32"/>
          <w:lang w:val="en-US" w:eastAsia="zh-Hans" w:bidi="ar"/>
        </w:rPr>
        <w:t>.</w:t>
      </w:r>
      <w:r>
        <w:rPr>
          <w:rFonts w:hint="eastAsia" w:ascii="仿宋_GB2312" w:hAnsi="仿宋_GB2312" w:eastAsia="仿宋_GB2312" w:cs="仿宋_GB2312"/>
          <w:color w:val="000000"/>
          <w:kern w:val="0"/>
          <w:sz w:val="32"/>
          <w:szCs w:val="32"/>
          <w:lang w:eastAsia="zh-Hans" w:bidi="ar"/>
        </w:rPr>
        <w:t>12</w:t>
      </w:r>
      <w:r>
        <w:rPr>
          <w:rFonts w:hint="eastAsia" w:ascii="仿宋_GB2312" w:hAnsi="仿宋_GB2312" w:eastAsia="仿宋_GB2312" w:cs="仿宋_GB2312"/>
          <w:color w:val="000000"/>
          <w:kern w:val="0"/>
          <w:sz w:val="32"/>
          <w:szCs w:val="32"/>
          <w:lang w:val="en-US" w:eastAsia="zh-Hans" w:bidi="ar"/>
        </w:rPr>
        <w:t>万元</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合计</w:t>
      </w:r>
      <w:r>
        <w:rPr>
          <w:rFonts w:hint="eastAsia" w:ascii="仿宋_GB2312" w:hAnsi="仿宋_GB2312" w:eastAsia="仿宋_GB2312" w:cs="仿宋_GB2312"/>
          <w:color w:val="000000"/>
          <w:kern w:val="0"/>
          <w:sz w:val="32"/>
          <w:szCs w:val="32"/>
          <w:lang w:val="en-US" w:eastAsia="zh-CN" w:bidi="ar"/>
        </w:rPr>
        <w:t>60.23万元（占总额75%）。</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2020年3月25日，大鹏办事处与深圳市新现代社工服务中心签订《大鹏新区大鹏办事处社区党群服务项目服务协议（项目名称：社区妇女服务、社区发展和特色服务）》，合同期限自2020年4月1日至2021年3月31日，项目金额为80.24万元，分二期支付</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val="en-US" w:eastAsia="zh-CN" w:bidi="ar"/>
        </w:rPr>
        <w:t>第一期</w:t>
      </w:r>
      <w:r>
        <w:rPr>
          <w:rFonts w:hint="eastAsia" w:ascii="仿宋_GB2312" w:hAnsi="仿宋_GB2312" w:eastAsia="仿宋_GB2312" w:cs="仿宋_GB2312"/>
          <w:color w:val="000000"/>
          <w:kern w:val="0"/>
          <w:sz w:val="32"/>
          <w:szCs w:val="32"/>
          <w:lang w:val="en-US" w:eastAsia="zh-Hans" w:bidi="ar"/>
        </w:rPr>
        <w:t>费用于</w:t>
      </w:r>
      <w:r>
        <w:rPr>
          <w:rFonts w:hint="eastAsia" w:ascii="仿宋_GB2312" w:hAnsi="仿宋_GB2312" w:eastAsia="仿宋_GB2312" w:cs="仿宋_GB2312"/>
          <w:color w:val="000000"/>
          <w:kern w:val="0"/>
          <w:sz w:val="32"/>
          <w:szCs w:val="32"/>
          <w:lang w:eastAsia="zh-Hans" w:bidi="ar"/>
        </w:rPr>
        <w:t>2020</w:t>
      </w:r>
      <w:r>
        <w:rPr>
          <w:rFonts w:hint="eastAsia" w:ascii="仿宋_GB2312" w:hAnsi="仿宋_GB2312" w:eastAsia="仿宋_GB2312" w:cs="仿宋_GB2312"/>
          <w:color w:val="000000"/>
          <w:kern w:val="0"/>
          <w:sz w:val="32"/>
          <w:szCs w:val="32"/>
          <w:lang w:val="en-US" w:eastAsia="zh-Hans" w:bidi="ar"/>
        </w:rPr>
        <w:t>年</w:t>
      </w:r>
      <w:r>
        <w:rPr>
          <w:rFonts w:hint="eastAsia" w:ascii="仿宋_GB2312" w:hAnsi="仿宋_GB2312" w:eastAsia="仿宋_GB2312" w:cs="仿宋_GB2312"/>
          <w:color w:val="000000"/>
          <w:kern w:val="0"/>
          <w:sz w:val="32"/>
          <w:szCs w:val="32"/>
          <w:lang w:eastAsia="zh-Hans" w:bidi="ar"/>
        </w:rPr>
        <w:t>3</w:t>
      </w:r>
      <w:r>
        <w:rPr>
          <w:rFonts w:hint="eastAsia" w:ascii="仿宋_GB2312" w:hAnsi="仿宋_GB2312" w:eastAsia="仿宋_GB2312" w:cs="仿宋_GB2312"/>
          <w:color w:val="000000"/>
          <w:kern w:val="0"/>
          <w:sz w:val="32"/>
          <w:szCs w:val="32"/>
          <w:lang w:val="en-US" w:eastAsia="zh-Hans" w:bidi="ar"/>
        </w:rPr>
        <w:t>月</w:t>
      </w:r>
      <w:r>
        <w:rPr>
          <w:rFonts w:hint="eastAsia" w:ascii="仿宋_GB2312" w:hAnsi="仿宋_GB2312" w:eastAsia="仿宋_GB2312" w:cs="仿宋_GB2312"/>
          <w:color w:val="000000"/>
          <w:kern w:val="0"/>
          <w:sz w:val="32"/>
          <w:szCs w:val="32"/>
          <w:lang w:eastAsia="zh-Hans" w:bidi="ar"/>
        </w:rPr>
        <w:t>31</w:t>
      </w:r>
      <w:r>
        <w:rPr>
          <w:rFonts w:hint="eastAsia" w:ascii="仿宋_GB2312" w:hAnsi="仿宋_GB2312" w:eastAsia="仿宋_GB2312" w:cs="仿宋_GB2312"/>
          <w:color w:val="000000"/>
          <w:kern w:val="0"/>
          <w:sz w:val="32"/>
          <w:szCs w:val="32"/>
          <w:lang w:val="en-US" w:eastAsia="zh-Hans" w:bidi="ar"/>
        </w:rPr>
        <w:t>日支付</w:t>
      </w:r>
      <w:r>
        <w:rPr>
          <w:rFonts w:hint="eastAsia" w:ascii="仿宋_GB2312" w:hAnsi="仿宋_GB2312" w:eastAsia="仿宋_GB2312" w:cs="仿宋_GB2312"/>
          <w:color w:val="000000"/>
          <w:kern w:val="0"/>
          <w:sz w:val="32"/>
          <w:szCs w:val="32"/>
          <w:lang w:eastAsia="zh-Hans" w:bidi="ar"/>
        </w:rPr>
        <w:t>28</w:t>
      </w:r>
      <w:r>
        <w:rPr>
          <w:rFonts w:hint="eastAsia" w:ascii="仿宋_GB2312" w:hAnsi="仿宋_GB2312" w:eastAsia="仿宋_GB2312" w:cs="仿宋_GB2312"/>
          <w:color w:val="000000"/>
          <w:kern w:val="0"/>
          <w:sz w:val="32"/>
          <w:szCs w:val="32"/>
          <w:lang w:val="en-US" w:eastAsia="zh-Hans" w:bidi="ar"/>
        </w:rPr>
        <w:t>.</w:t>
      </w:r>
      <w:r>
        <w:rPr>
          <w:rFonts w:hint="eastAsia" w:ascii="仿宋_GB2312" w:hAnsi="仿宋_GB2312" w:eastAsia="仿宋_GB2312" w:cs="仿宋_GB2312"/>
          <w:color w:val="000000"/>
          <w:kern w:val="0"/>
          <w:sz w:val="32"/>
          <w:szCs w:val="32"/>
          <w:lang w:eastAsia="zh-Hans" w:bidi="ar"/>
        </w:rPr>
        <w:t>08</w:t>
      </w:r>
      <w:r>
        <w:rPr>
          <w:rFonts w:hint="eastAsia" w:ascii="仿宋_GB2312" w:hAnsi="仿宋_GB2312" w:eastAsia="仿宋_GB2312" w:cs="仿宋_GB2312"/>
          <w:color w:val="000000"/>
          <w:kern w:val="0"/>
          <w:sz w:val="32"/>
          <w:szCs w:val="32"/>
          <w:lang w:val="en-US" w:eastAsia="zh-Hans" w:bidi="ar"/>
        </w:rPr>
        <w:t>万元</w:t>
      </w:r>
      <w:r>
        <w:rPr>
          <w:rFonts w:hint="eastAsia" w:ascii="仿宋_GB2312" w:hAnsi="仿宋_GB2312" w:eastAsia="仿宋_GB2312" w:cs="仿宋_GB2312"/>
          <w:color w:val="000000"/>
          <w:kern w:val="0"/>
          <w:sz w:val="32"/>
          <w:szCs w:val="32"/>
          <w:lang w:eastAsia="zh-Hans" w:bidi="ar"/>
        </w:rPr>
        <w:t>，2020</w:t>
      </w:r>
      <w:r>
        <w:rPr>
          <w:rFonts w:hint="eastAsia" w:ascii="仿宋_GB2312" w:hAnsi="仿宋_GB2312" w:eastAsia="仿宋_GB2312" w:cs="仿宋_GB2312"/>
          <w:color w:val="000000"/>
          <w:kern w:val="0"/>
          <w:sz w:val="32"/>
          <w:szCs w:val="32"/>
          <w:lang w:val="en-US" w:eastAsia="zh-Hans" w:bidi="ar"/>
        </w:rPr>
        <w:t>年</w:t>
      </w:r>
      <w:r>
        <w:rPr>
          <w:rFonts w:hint="eastAsia" w:ascii="仿宋_GB2312" w:hAnsi="仿宋_GB2312" w:eastAsia="仿宋_GB2312" w:cs="仿宋_GB2312"/>
          <w:color w:val="000000"/>
          <w:kern w:val="0"/>
          <w:sz w:val="32"/>
          <w:szCs w:val="32"/>
          <w:lang w:eastAsia="zh-Hans" w:bidi="ar"/>
        </w:rPr>
        <w:t>4</w:t>
      </w:r>
      <w:r>
        <w:rPr>
          <w:rFonts w:hint="eastAsia" w:ascii="仿宋_GB2312" w:hAnsi="仿宋_GB2312" w:eastAsia="仿宋_GB2312" w:cs="仿宋_GB2312"/>
          <w:color w:val="000000"/>
          <w:kern w:val="0"/>
          <w:sz w:val="32"/>
          <w:szCs w:val="32"/>
          <w:lang w:val="en-US" w:eastAsia="zh-Hans" w:bidi="ar"/>
        </w:rPr>
        <w:t>月</w:t>
      </w:r>
      <w:r>
        <w:rPr>
          <w:rFonts w:hint="eastAsia" w:ascii="仿宋_GB2312" w:hAnsi="仿宋_GB2312" w:eastAsia="仿宋_GB2312" w:cs="仿宋_GB2312"/>
          <w:color w:val="000000"/>
          <w:kern w:val="0"/>
          <w:sz w:val="32"/>
          <w:szCs w:val="32"/>
          <w:lang w:eastAsia="zh-Hans" w:bidi="ar"/>
        </w:rPr>
        <w:t>17</w:t>
      </w:r>
      <w:r>
        <w:rPr>
          <w:rFonts w:hint="eastAsia" w:ascii="仿宋_GB2312" w:hAnsi="仿宋_GB2312" w:eastAsia="仿宋_GB2312" w:cs="仿宋_GB2312"/>
          <w:color w:val="000000"/>
          <w:kern w:val="0"/>
          <w:sz w:val="32"/>
          <w:szCs w:val="32"/>
          <w:lang w:val="en-US" w:eastAsia="zh-Hans" w:bidi="ar"/>
        </w:rPr>
        <w:t>日支付</w:t>
      </w:r>
      <w:r>
        <w:rPr>
          <w:rFonts w:hint="eastAsia" w:ascii="仿宋_GB2312" w:hAnsi="仿宋_GB2312" w:eastAsia="仿宋_GB2312" w:cs="仿宋_GB2312"/>
          <w:color w:val="000000"/>
          <w:kern w:val="0"/>
          <w:sz w:val="32"/>
          <w:szCs w:val="32"/>
          <w:lang w:eastAsia="zh-Hans" w:bidi="ar"/>
        </w:rPr>
        <w:t>32</w:t>
      </w:r>
      <w:r>
        <w:rPr>
          <w:rFonts w:hint="eastAsia" w:ascii="仿宋_GB2312" w:hAnsi="仿宋_GB2312" w:eastAsia="仿宋_GB2312" w:cs="仿宋_GB2312"/>
          <w:color w:val="000000"/>
          <w:kern w:val="0"/>
          <w:sz w:val="32"/>
          <w:szCs w:val="32"/>
          <w:lang w:val="en-US" w:eastAsia="zh-Hans" w:bidi="ar"/>
        </w:rPr>
        <w:t>.</w:t>
      </w:r>
      <w:r>
        <w:rPr>
          <w:rFonts w:hint="eastAsia" w:ascii="仿宋_GB2312" w:hAnsi="仿宋_GB2312" w:eastAsia="仿宋_GB2312" w:cs="仿宋_GB2312"/>
          <w:color w:val="000000"/>
          <w:kern w:val="0"/>
          <w:sz w:val="32"/>
          <w:szCs w:val="32"/>
          <w:lang w:val="en-US" w:eastAsia="zh-CN" w:bidi="ar"/>
        </w:rPr>
        <w:t>10</w:t>
      </w:r>
      <w:r>
        <w:rPr>
          <w:rFonts w:hint="eastAsia" w:ascii="仿宋_GB2312" w:hAnsi="仿宋_GB2312" w:eastAsia="仿宋_GB2312" w:cs="仿宋_GB2312"/>
          <w:color w:val="000000"/>
          <w:kern w:val="0"/>
          <w:sz w:val="32"/>
          <w:szCs w:val="32"/>
          <w:lang w:val="en-US" w:eastAsia="zh-Hans" w:bidi="ar"/>
        </w:rPr>
        <w:t>万元</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合计</w:t>
      </w:r>
      <w:r>
        <w:rPr>
          <w:rFonts w:hint="eastAsia" w:ascii="仿宋_GB2312" w:hAnsi="仿宋_GB2312" w:eastAsia="仿宋_GB2312" w:cs="仿宋_GB2312"/>
          <w:color w:val="000000"/>
          <w:kern w:val="0"/>
          <w:sz w:val="32"/>
          <w:szCs w:val="32"/>
          <w:lang w:val="en-US" w:eastAsia="zh-CN" w:bidi="ar"/>
        </w:rPr>
        <w:t>60.18万元（占总额75%）。</w:t>
      </w:r>
    </w:p>
    <w:p>
      <w:pPr>
        <w:keepNext w:val="0"/>
        <w:keepLines w:val="0"/>
        <w:widowControl/>
        <w:numPr>
          <w:ilvl w:val="0"/>
          <w:numId w:val="3"/>
        </w:numPr>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项目绩效目标</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材料中未见关于项目绩效目标的设置情况，以下绩效目标由评价方根据</w:t>
      </w:r>
      <w:r>
        <w:rPr>
          <w:rFonts w:hint="eastAsia" w:ascii="仿宋_GB2312" w:hAnsi="仿宋_GB2312" w:eastAsia="仿宋_GB2312" w:cs="仿宋_GB2312"/>
          <w:color w:val="000000"/>
          <w:kern w:val="0"/>
          <w:sz w:val="32"/>
          <w:szCs w:val="32"/>
          <w:lang w:val="en-US" w:eastAsia="zh-Hans" w:bidi="ar"/>
        </w:rPr>
        <w:t>年度工作任务目标和</w:t>
      </w:r>
      <w:r>
        <w:rPr>
          <w:rFonts w:hint="eastAsia" w:ascii="仿宋_GB2312" w:hAnsi="仿宋_GB2312" w:eastAsia="仿宋_GB2312" w:cs="仿宋_GB2312"/>
          <w:color w:val="000000"/>
          <w:kern w:val="0"/>
          <w:sz w:val="32"/>
          <w:szCs w:val="32"/>
          <w:lang w:val="en-US" w:eastAsia="zh-CN" w:bidi="ar"/>
        </w:rPr>
        <w:t>往年绩效目标调整设置。</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项目绩效目标：以“社区营造”为切入点，系统运用社工专业理论，</w:t>
      </w:r>
      <w:r>
        <w:rPr>
          <w:rFonts w:hint="eastAsia" w:ascii="仿宋_GB2312" w:hAnsi="仿宋_GB2312" w:eastAsia="仿宋_GB2312" w:cs="仿宋_GB2312"/>
          <w:color w:val="000000"/>
          <w:sz w:val="32"/>
          <w:szCs w:val="32"/>
          <w:lang w:val="en-US" w:eastAsia="zh-Hans"/>
        </w:rPr>
        <w:t>采用社工专业服务</w:t>
      </w:r>
      <w:r>
        <w:rPr>
          <w:rFonts w:hint="eastAsia" w:ascii="仿宋_GB2312" w:hAnsi="仿宋_GB2312" w:eastAsia="仿宋_GB2312" w:cs="仿宋_GB2312"/>
          <w:color w:val="000000"/>
          <w:sz w:val="32"/>
          <w:szCs w:val="32"/>
          <w:lang w:eastAsia="zh-Hans"/>
        </w:rPr>
        <w:t>，</w:t>
      </w:r>
      <w:r>
        <w:rPr>
          <w:rFonts w:hint="eastAsia" w:ascii="仿宋_GB2312" w:hAnsi="仿宋_GB2312" w:eastAsia="仿宋_GB2312" w:cs="仿宋_GB2312"/>
          <w:color w:val="000000"/>
          <w:sz w:val="32"/>
          <w:szCs w:val="32"/>
        </w:rPr>
        <w:t>打造大鹏儿童、青少年、</w:t>
      </w:r>
      <w:r>
        <w:rPr>
          <w:rFonts w:hint="eastAsia" w:ascii="仿宋_GB2312" w:hAnsi="仿宋_GB2312" w:eastAsia="仿宋_GB2312" w:cs="仿宋_GB2312"/>
          <w:color w:val="000000"/>
          <w:sz w:val="32"/>
          <w:szCs w:val="32"/>
          <w:lang w:val="en-US" w:eastAsia="zh-Hans"/>
        </w:rPr>
        <w:t>妇女</w:t>
      </w:r>
      <w:r>
        <w:rPr>
          <w:rFonts w:hint="eastAsia" w:ascii="仿宋_GB2312" w:hAnsi="仿宋_GB2312" w:eastAsia="仿宋_GB2312" w:cs="仿宋_GB2312"/>
          <w:color w:val="000000"/>
          <w:sz w:val="32"/>
          <w:szCs w:val="32"/>
        </w:rPr>
        <w:t>及家庭领域精品服务，不断促进辖区和谐</w:t>
      </w:r>
      <w:r>
        <w:rPr>
          <w:rFonts w:hint="eastAsia" w:ascii="仿宋_GB2312" w:hAnsi="仿宋_GB2312" w:eastAsia="仿宋_GB2312" w:cs="仿宋_GB2312"/>
          <w:color w:val="000000"/>
          <w:sz w:val="32"/>
          <w:szCs w:val="32"/>
          <w:lang w:val="en-US" w:eastAsia="zh-Hans"/>
        </w:rPr>
        <w:t>发展</w:t>
      </w:r>
      <w:r>
        <w:rPr>
          <w:rFonts w:hint="eastAsia" w:ascii="仿宋_GB2312" w:hAnsi="仿宋_GB2312" w:eastAsia="仿宋_GB2312" w:cs="仿宋_GB2312"/>
          <w:color w:val="000000"/>
          <w:sz w:val="32"/>
          <w:szCs w:val="32"/>
        </w:rPr>
        <w:t>，以构建共建共治共享的社会治理格局。</w:t>
      </w:r>
    </w:p>
    <w:p>
      <w:pPr>
        <w:spacing w:line="560" w:lineRule="exact"/>
        <w:ind w:firstLine="640" w:firstLineChars="200"/>
        <w:rPr>
          <w:rFonts w:hint="eastAsia" w:ascii="仿宋_GB2312" w:hAnsi="仿宋_GB2312" w:eastAsia="仿宋_GB2312" w:cs="仿宋_GB2312"/>
          <w:color w:val="000000"/>
          <w:sz w:val="32"/>
          <w:szCs w:val="32"/>
          <w:lang w:eastAsia="zh-Hans"/>
        </w:rPr>
      </w:pPr>
      <w:r>
        <w:rPr>
          <w:rFonts w:hint="eastAsia" w:ascii="仿宋_GB2312" w:hAnsi="仿宋_GB2312" w:eastAsia="仿宋_GB2312" w:cs="仿宋_GB2312"/>
          <w:color w:val="000000"/>
          <w:sz w:val="32"/>
          <w:szCs w:val="32"/>
          <w:lang w:val="en-US" w:eastAsia="zh-Hans"/>
        </w:rPr>
        <w:t>项目绩效指标设置如下表所示</w:t>
      </w:r>
      <w:r>
        <w:rPr>
          <w:rFonts w:hint="eastAsia" w:ascii="仿宋_GB2312" w:hAnsi="仿宋_GB2312" w:eastAsia="仿宋_GB2312" w:cs="仿宋_GB2312"/>
          <w:color w:val="000000"/>
          <w:sz w:val="32"/>
          <w:szCs w:val="32"/>
          <w:lang w:eastAsia="zh-Hans"/>
        </w:rPr>
        <w:t>：</w:t>
      </w:r>
    </w:p>
    <w:p>
      <w:pPr>
        <w:ind w:firstLine="560"/>
        <w:jc w:val="center"/>
        <w:rPr>
          <w:rFonts w:hint="eastAsia" w:ascii="黑体" w:hAnsi="黑体" w:eastAsia="黑体" w:cs="黑体"/>
          <w:bCs/>
          <w:sz w:val="28"/>
          <w:szCs w:val="28"/>
          <w:lang w:val="en-US" w:eastAsia="zh-Hans"/>
        </w:rPr>
      </w:pPr>
      <w:r>
        <w:rPr>
          <w:rFonts w:hint="eastAsia" w:ascii="黑体" w:hAnsi="黑体" w:eastAsia="黑体" w:cs="黑体"/>
          <w:bCs/>
          <w:sz w:val="28"/>
          <w:szCs w:val="28"/>
          <w:lang w:val="en-US" w:eastAsia="zh-Hans"/>
        </w:rPr>
        <w:t>表</w:t>
      </w:r>
      <w:r>
        <w:rPr>
          <w:rFonts w:hint="default" w:ascii="黑体" w:hAnsi="黑体" w:eastAsia="黑体" w:cs="黑体"/>
          <w:bCs/>
          <w:sz w:val="28"/>
          <w:szCs w:val="28"/>
          <w:lang w:eastAsia="zh-Hans"/>
        </w:rPr>
        <w:t xml:space="preserve">1  </w:t>
      </w:r>
      <w:r>
        <w:rPr>
          <w:rFonts w:hint="eastAsia" w:ascii="黑体" w:hAnsi="黑体" w:eastAsia="黑体" w:cs="黑体"/>
          <w:bCs/>
          <w:sz w:val="28"/>
          <w:szCs w:val="28"/>
          <w:lang w:val="en-US" w:eastAsia="zh-Hans"/>
        </w:rPr>
        <w:t>项目绩效指标一览表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40"/>
        <w:gridCol w:w="278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noWrap w:val="0"/>
            <w:vAlign w:val="top"/>
          </w:tcPr>
          <w:p>
            <w:pPr>
              <w:widowControl/>
              <w:ind w:firstLine="0" w:firstLineChars="0"/>
              <w:jc w:val="center"/>
              <w:rPr>
                <w:rFonts w:hint="eastAsia" w:ascii="宋体" w:hAnsi="宋体" w:eastAsia="宋体" w:cs="宋体"/>
                <w:b/>
                <w:bCs/>
                <w:kern w:val="0"/>
                <w:sz w:val="28"/>
                <w:szCs w:val="28"/>
                <w:lang w:val="en-US" w:eastAsia="zh-Hans"/>
              </w:rPr>
            </w:pPr>
            <w:r>
              <w:rPr>
                <w:rFonts w:hint="eastAsia" w:ascii="宋体" w:hAnsi="宋体" w:eastAsia="宋体" w:cs="宋体"/>
                <w:b/>
                <w:bCs/>
                <w:kern w:val="0"/>
                <w:sz w:val="28"/>
                <w:szCs w:val="28"/>
                <w:lang w:val="en-US" w:eastAsia="zh-Hans"/>
              </w:rPr>
              <w:t>一级指标</w:t>
            </w:r>
          </w:p>
        </w:tc>
        <w:tc>
          <w:tcPr>
            <w:tcW w:w="1840" w:type="dxa"/>
            <w:noWrap w:val="0"/>
            <w:vAlign w:val="top"/>
          </w:tcPr>
          <w:p>
            <w:pPr>
              <w:widowControl/>
              <w:ind w:firstLine="0" w:firstLineChars="0"/>
              <w:jc w:val="center"/>
              <w:rPr>
                <w:rFonts w:hint="eastAsia" w:ascii="宋体" w:hAnsi="宋体" w:eastAsia="宋体" w:cs="宋体"/>
                <w:b/>
                <w:bCs/>
                <w:kern w:val="0"/>
                <w:sz w:val="28"/>
                <w:szCs w:val="28"/>
                <w:lang w:val="en-US" w:eastAsia="zh-Hans"/>
              </w:rPr>
            </w:pPr>
            <w:r>
              <w:rPr>
                <w:rFonts w:hint="eastAsia" w:ascii="宋体" w:hAnsi="宋体" w:eastAsia="宋体" w:cs="宋体"/>
                <w:b/>
                <w:bCs/>
                <w:kern w:val="0"/>
                <w:sz w:val="28"/>
                <w:szCs w:val="28"/>
                <w:lang w:val="en-US" w:eastAsia="zh-Hans"/>
              </w:rPr>
              <w:t>二级指标</w:t>
            </w:r>
          </w:p>
        </w:tc>
        <w:tc>
          <w:tcPr>
            <w:tcW w:w="2781" w:type="dxa"/>
            <w:noWrap w:val="0"/>
            <w:vAlign w:val="top"/>
          </w:tcPr>
          <w:p>
            <w:pPr>
              <w:widowControl/>
              <w:ind w:firstLine="0" w:firstLineChars="0"/>
              <w:jc w:val="center"/>
              <w:rPr>
                <w:rFonts w:hint="eastAsia" w:ascii="宋体" w:hAnsi="宋体" w:eastAsia="宋体" w:cs="宋体"/>
                <w:b/>
                <w:bCs/>
                <w:kern w:val="0"/>
                <w:sz w:val="28"/>
                <w:szCs w:val="28"/>
                <w:lang w:val="en-US" w:eastAsia="zh-Hans"/>
              </w:rPr>
            </w:pPr>
            <w:r>
              <w:rPr>
                <w:rFonts w:hint="eastAsia" w:ascii="宋体" w:hAnsi="宋体" w:eastAsia="宋体" w:cs="宋体"/>
                <w:b/>
                <w:bCs/>
                <w:kern w:val="0"/>
                <w:sz w:val="28"/>
                <w:szCs w:val="28"/>
                <w:lang w:val="en-US" w:eastAsia="zh-Hans"/>
              </w:rPr>
              <w:t>三级指标</w:t>
            </w:r>
          </w:p>
        </w:tc>
        <w:tc>
          <w:tcPr>
            <w:tcW w:w="2130" w:type="dxa"/>
            <w:noWrap w:val="0"/>
            <w:vAlign w:val="top"/>
          </w:tcPr>
          <w:p>
            <w:pPr>
              <w:widowControl/>
              <w:ind w:firstLine="0" w:firstLineChars="0"/>
              <w:jc w:val="center"/>
              <w:rPr>
                <w:rFonts w:hint="eastAsia" w:ascii="宋体" w:hAnsi="宋体" w:eastAsia="宋体" w:cs="宋体"/>
                <w:b/>
                <w:bCs/>
                <w:kern w:val="0"/>
                <w:sz w:val="28"/>
                <w:szCs w:val="28"/>
                <w:lang w:val="en-US" w:eastAsia="zh-Hans"/>
              </w:rPr>
            </w:pPr>
            <w:r>
              <w:rPr>
                <w:rFonts w:hint="eastAsia" w:ascii="宋体" w:hAnsi="宋体" w:eastAsia="宋体" w:cs="宋体"/>
                <w:b/>
                <w:bCs/>
                <w:kern w:val="0"/>
                <w:sz w:val="28"/>
                <w:szCs w:val="28"/>
                <w:lang w:val="en-US" w:eastAsia="zh-Hans"/>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vMerge w:val="restart"/>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产出指标</w:t>
            </w:r>
          </w:p>
        </w:tc>
        <w:tc>
          <w:tcPr>
            <w:tcW w:w="1840" w:type="dxa"/>
            <w:vMerge w:val="restart"/>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数量指标</w:t>
            </w: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发展妇女志愿者</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w:t>
            </w:r>
            <w:r>
              <w:rPr>
                <w:rFonts w:hint="default" w:ascii="宋体" w:hAnsi="宋体" w:eastAsia="宋体" w:cs="宋体"/>
                <w:kern w:val="0"/>
                <w:sz w:val="28"/>
                <w:szCs w:val="28"/>
                <w:lang w:eastAsia="zh-CN"/>
              </w:rPr>
              <w:t>30</w:t>
            </w:r>
            <w:r>
              <w:rPr>
                <w:rFonts w:hint="eastAsia" w:ascii="宋体" w:hAnsi="宋体" w:eastAsia="宋体" w:cs="宋体"/>
                <w:kern w:val="0"/>
                <w:sz w:val="28"/>
                <w:szCs w:val="28"/>
                <w:lang w:val="en-US" w:eastAsia="zh-Hans"/>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1840"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青少年特色项目</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w:t>
            </w:r>
            <w:r>
              <w:rPr>
                <w:rFonts w:hint="default" w:ascii="宋体" w:hAnsi="宋体" w:eastAsia="宋体" w:cs="宋体"/>
                <w:kern w:val="0"/>
                <w:sz w:val="28"/>
                <w:szCs w:val="28"/>
                <w:lang w:eastAsia="zh-CN"/>
              </w:rPr>
              <w:t>1</w:t>
            </w:r>
            <w:r>
              <w:rPr>
                <w:rFonts w:hint="eastAsia" w:ascii="宋体" w:hAnsi="宋体" w:eastAsia="宋体" w:cs="宋体"/>
                <w:kern w:val="0"/>
                <w:sz w:val="28"/>
                <w:szCs w:val="28"/>
                <w:lang w:val="en-US" w:eastAsia="zh-Hans"/>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1840"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家庭特色项目</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w:t>
            </w:r>
            <w:r>
              <w:rPr>
                <w:rFonts w:hint="default" w:ascii="宋体" w:hAnsi="宋体" w:eastAsia="宋体" w:cs="宋体"/>
                <w:kern w:val="0"/>
                <w:sz w:val="28"/>
                <w:szCs w:val="28"/>
                <w:lang w:eastAsia="zh-CN"/>
              </w:rPr>
              <w:t>1</w:t>
            </w:r>
            <w:r>
              <w:rPr>
                <w:rFonts w:hint="eastAsia" w:ascii="宋体" w:hAnsi="宋体" w:eastAsia="宋体" w:cs="宋体"/>
                <w:kern w:val="0"/>
                <w:sz w:val="28"/>
                <w:szCs w:val="28"/>
                <w:lang w:val="en-US" w:eastAsia="zh-Hans"/>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1840"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形成居民骨干队伍</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w:t>
            </w:r>
            <w:r>
              <w:rPr>
                <w:rFonts w:hint="default" w:ascii="宋体" w:hAnsi="宋体" w:eastAsia="宋体" w:cs="宋体"/>
                <w:kern w:val="0"/>
                <w:sz w:val="28"/>
                <w:szCs w:val="28"/>
                <w:lang w:eastAsia="zh-CN"/>
              </w:rPr>
              <w:t>1</w:t>
            </w:r>
            <w:r>
              <w:rPr>
                <w:rFonts w:hint="eastAsia" w:ascii="宋体" w:hAnsi="宋体" w:eastAsia="宋体" w:cs="宋体"/>
                <w:kern w:val="0"/>
                <w:sz w:val="28"/>
                <w:szCs w:val="28"/>
                <w:lang w:val="en-US" w:eastAsia="zh-Hans"/>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68"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184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质量指标</w:t>
            </w: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服务妇女占总体妇女人数比例</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w:t>
            </w:r>
            <w:r>
              <w:rPr>
                <w:rFonts w:hint="default" w:ascii="宋体" w:hAnsi="宋体" w:eastAsia="宋体" w:cs="宋体"/>
                <w:kern w:val="0"/>
                <w:sz w:val="28"/>
                <w:szCs w:val="28"/>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vMerge w:val="restart"/>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效益指标</w:t>
            </w:r>
          </w:p>
        </w:tc>
        <w:tc>
          <w:tcPr>
            <w:tcW w:w="1840" w:type="dxa"/>
            <w:vMerge w:val="restart"/>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社会效益</w:t>
            </w: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扩大社工知名度影响力</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有效扩大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1840" w:type="dxa"/>
            <w:vMerge w:val="continue"/>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促进社区家庭关系和谐</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有效促进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满意度指标</w:t>
            </w:r>
          </w:p>
        </w:tc>
        <w:tc>
          <w:tcPr>
            <w:tcW w:w="184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满意度指标</w:t>
            </w:r>
          </w:p>
        </w:tc>
        <w:tc>
          <w:tcPr>
            <w:tcW w:w="2781"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Hans"/>
              </w:rPr>
            </w:pPr>
            <w:r>
              <w:rPr>
                <w:rFonts w:hint="eastAsia" w:ascii="宋体" w:hAnsi="宋体" w:eastAsia="宋体" w:cs="宋体"/>
                <w:kern w:val="0"/>
                <w:sz w:val="28"/>
                <w:szCs w:val="28"/>
                <w:lang w:val="en-US" w:eastAsia="zh-Hans"/>
              </w:rPr>
              <w:t>居民满意度</w:t>
            </w:r>
          </w:p>
        </w:tc>
        <w:tc>
          <w:tcPr>
            <w:tcW w:w="2130" w:type="dxa"/>
            <w:noWrap w:val="0"/>
            <w:vAlign w:val="top"/>
          </w:tcPr>
          <w:p>
            <w:pPr>
              <w:widowControl/>
              <w:spacing w:line="240" w:lineRule="auto"/>
              <w:ind w:firstLine="0" w:firstLineChars="0"/>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w:t>
            </w:r>
            <w:r>
              <w:rPr>
                <w:rFonts w:hint="default" w:ascii="宋体" w:hAnsi="宋体" w:eastAsia="宋体" w:cs="宋体"/>
                <w:kern w:val="0"/>
                <w:sz w:val="28"/>
                <w:szCs w:val="28"/>
                <w:lang w:eastAsia="zh-CN"/>
              </w:rPr>
              <w:t>90%</w:t>
            </w:r>
          </w:p>
        </w:tc>
      </w:tr>
    </w:tbl>
    <w:p>
      <w:pPr>
        <w:keepNext w:val="0"/>
        <w:keepLines w:val="0"/>
        <w:widowControl/>
        <w:numPr>
          <w:ilvl w:val="0"/>
          <w:numId w:val="0"/>
        </w:numPr>
        <w:suppressLineNumbers w:val="0"/>
        <w:ind w:firstLine="600"/>
        <w:jc w:val="left"/>
        <w:rPr>
          <w:rFonts w:hint="eastAsia" w:ascii="仿宋_GB2312" w:hAnsi="宋体" w:eastAsia="仿宋_GB2312" w:cs="仿宋_GB2312"/>
          <w:color w:val="000000"/>
          <w:kern w:val="0"/>
          <w:sz w:val="28"/>
          <w:szCs w:val="28"/>
          <w:lang w:val="en-US" w:eastAsia="zh-CN" w:bidi="ar"/>
        </w:rPr>
      </w:pPr>
    </w:p>
    <w:p>
      <w:pPr>
        <w:keepNext w:val="0"/>
        <w:keepLines w:val="0"/>
        <w:widowControl/>
        <w:suppressLineNumbers w:val="0"/>
        <w:ind w:firstLine="640" w:firstLineChars="200"/>
        <w:jc w:val="left"/>
        <w:rPr>
          <w:sz w:val="32"/>
          <w:szCs w:val="32"/>
        </w:rPr>
      </w:pPr>
      <w:r>
        <w:rPr>
          <w:rFonts w:hint="eastAsia" w:ascii="黑体" w:hAnsi="宋体" w:eastAsia="黑体" w:cs="黑体"/>
          <w:color w:val="000000"/>
          <w:kern w:val="0"/>
          <w:sz w:val="32"/>
          <w:szCs w:val="32"/>
          <w:lang w:val="en-US" w:eastAsia="zh-CN" w:bidi="ar"/>
        </w:rPr>
        <w:t>二、绩效评价工作开展情况</w:t>
      </w:r>
    </w:p>
    <w:p>
      <w:pPr>
        <w:keepNext w:val="0"/>
        <w:keepLines w:val="0"/>
        <w:widowControl/>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（一）绩效评价目的、对象和范围</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通过绩效评价，发现存在问题，提出改进建议，推动项目管理单位不断改进工作，提高行政效能和用财水平。同时，将绩效评价结果作为下一年度部门预算安排的重要依据，逐步推进绩效评价结果的应用，促进财政资源合理有效分配，提升财政资金的使用效益。</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本次绩效评价范围为2020年大鹏办事处社区党群服务中心区级配套运营经费162.00万元。</w:t>
      </w:r>
    </w:p>
    <w:p>
      <w:pPr>
        <w:keepNext w:val="0"/>
        <w:keepLines w:val="0"/>
        <w:widowControl/>
        <w:suppressLineNumbers w:val="0"/>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color w:val="000000"/>
          <w:kern w:val="0"/>
          <w:sz w:val="32"/>
          <w:szCs w:val="32"/>
          <w:lang w:val="en-US" w:eastAsia="zh-CN" w:bidi="ar"/>
        </w:rPr>
        <w:t>（二）绩效</w:t>
      </w:r>
      <w:r>
        <w:rPr>
          <w:rFonts w:hint="eastAsia" w:ascii="楷体_GB2312" w:hAnsi="楷体_GB2312" w:eastAsia="楷体_GB2312" w:cs="楷体_GB2312"/>
          <w:color w:val="000000"/>
          <w:kern w:val="0"/>
          <w:sz w:val="32"/>
          <w:szCs w:val="32"/>
          <w:lang w:val="en-US" w:eastAsia="zh-Hans" w:bidi="ar"/>
        </w:rPr>
        <w:t>评价方法</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1.评价原则</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本次绩效评价遵循科学规范、公开公正、绩效相关的原则，根据项目的特点，采用案卷研究法、现场核查法、问卷调查法、预定目标与实施效果比较法、专家评审法进行评价，对项目资金的使用过程和效果作出全面、准确和客观的评价。</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2.评价体系</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本次项目评价指标体系由决策（15分）、过程（20分）、产出（35分）、效益（30分）四个一级指标构成，二级指标由项目立项（4分）、绩效目标（7分）、资金投入（4分）、资金管理（12分）、组织实施（8分）、产出数量（20分）、产出质量（5分）、产出时效（5分）、产出成本（5分）、项目效益（30分）组成。</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评价计分采取百分制，评价结果为优、良、合格、不合格4个等级。具体分值及等级见下表2：</w:t>
      </w:r>
    </w:p>
    <w:p>
      <w:pPr>
        <w:ind w:firstLine="560"/>
        <w:jc w:val="center"/>
        <w:rPr>
          <w:rFonts w:hint="eastAsia" w:ascii="黑体" w:hAnsi="黑体" w:eastAsia="黑体" w:cs="黑体"/>
          <w:bCs/>
          <w:sz w:val="28"/>
          <w:szCs w:val="28"/>
          <w:lang w:val="en-US" w:eastAsia="zh-Hans"/>
        </w:rPr>
      </w:pPr>
      <w:r>
        <w:rPr>
          <w:rFonts w:hint="eastAsia" w:ascii="黑体" w:hAnsi="黑体" w:eastAsia="黑体" w:cs="黑体"/>
          <w:bCs/>
          <w:sz w:val="28"/>
          <w:szCs w:val="28"/>
          <w:lang w:val="en-US" w:eastAsia="zh-Hans"/>
        </w:rPr>
        <w:t>表</w:t>
      </w:r>
      <w:r>
        <w:rPr>
          <w:rFonts w:hint="default" w:ascii="黑体" w:hAnsi="黑体" w:eastAsia="黑体" w:cs="黑体"/>
          <w:bCs/>
          <w:sz w:val="28"/>
          <w:szCs w:val="28"/>
          <w:lang w:eastAsia="zh-Hans"/>
        </w:rPr>
        <w:t xml:space="preserve">2  </w:t>
      </w:r>
      <w:r>
        <w:rPr>
          <w:rFonts w:hint="eastAsia" w:ascii="黑体" w:hAnsi="黑体" w:eastAsia="黑体" w:cs="黑体"/>
          <w:bCs/>
          <w:sz w:val="28"/>
          <w:szCs w:val="28"/>
          <w:lang w:val="en-US" w:eastAsia="zh-Hans"/>
        </w:rPr>
        <w:t>评价分值与评价等级表</w:t>
      </w:r>
    </w:p>
    <w:tbl>
      <w:tblPr>
        <w:tblStyle w:val="5"/>
        <w:tblW w:w="0" w:type="auto"/>
        <w:jc w:val="center"/>
        <w:tblLayout w:type="fixed"/>
        <w:tblCellMar>
          <w:top w:w="0" w:type="dxa"/>
          <w:left w:w="108" w:type="dxa"/>
          <w:bottom w:w="0" w:type="dxa"/>
          <w:right w:w="108" w:type="dxa"/>
        </w:tblCellMar>
      </w:tblPr>
      <w:tblGrid>
        <w:gridCol w:w="1660"/>
        <w:gridCol w:w="1570"/>
        <w:gridCol w:w="1570"/>
        <w:gridCol w:w="1570"/>
        <w:gridCol w:w="1570"/>
      </w:tblGrid>
      <w:tr>
        <w:tblPrEx>
          <w:tblCellMar>
            <w:top w:w="0" w:type="dxa"/>
            <w:left w:w="108" w:type="dxa"/>
            <w:bottom w:w="0" w:type="dxa"/>
            <w:right w:w="108" w:type="dxa"/>
          </w:tblCellMar>
        </w:tblPrEx>
        <w:trPr>
          <w:trHeight w:val="689" w:hRule="atLeast"/>
          <w:jc w:val="center"/>
        </w:trPr>
        <w:tc>
          <w:tcPr>
            <w:tcW w:w="166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Hans"/>
              </w:rPr>
            </w:pPr>
            <w:r>
              <w:rPr>
                <w:rFonts w:hint="eastAsia" w:ascii="仿宋_GB2312" w:hAnsi="仿宋_GB2312" w:eastAsia="仿宋_GB2312" w:cs="仿宋_GB2312"/>
                <w:b/>
                <w:bCs/>
                <w:kern w:val="0"/>
                <w:sz w:val="28"/>
                <w:szCs w:val="28"/>
                <w:lang w:val="en-US" w:eastAsia="zh-Hans"/>
              </w:rPr>
              <w:t>评价等级</w:t>
            </w:r>
          </w:p>
        </w:tc>
        <w:tc>
          <w:tcPr>
            <w:tcW w:w="1570" w:type="dxa"/>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Hans"/>
              </w:rPr>
            </w:pPr>
            <w:r>
              <w:rPr>
                <w:rFonts w:hint="eastAsia" w:ascii="仿宋_GB2312" w:hAnsi="仿宋_GB2312" w:eastAsia="仿宋_GB2312" w:cs="仿宋_GB2312"/>
                <w:b/>
                <w:bCs/>
                <w:kern w:val="0"/>
                <w:sz w:val="28"/>
                <w:szCs w:val="28"/>
                <w:lang w:val="en-US" w:eastAsia="zh-Hans"/>
              </w:rPr>
              <w:t>优</w:t>
            </w:r>
          </w:p>
        </w:tc>
        <w:tc>
          <w:tcPr>
            <w:tcW w:w="1570" w:type="dxa"/>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Hans"/>
              </w:rPr>
            </w:pPr>
            <w:r>
              <w:rPr>
                <w:rFonts w:hint="eastAsia" w:ascii="仿宋_GB2312" w:hAnsi="仿宋_GB2312" w:eastAsia="仿宋_GB2312" w:cs="仿宋_GB2312"/>
                <w:b/>
                <w:bCs/>
                <w:kern w:val="0"/>
                <w:sz w:val="28"/>
                <w:szCs w:val="28"/>
                <w:lang w:val="en-US" w:eastAsia="zh-Hans"/>
              </w:rPr>
              <w:t>良</w:t>
            </w:r>
          </w:p>
        </w:tc>
        <w:tc>
          <w:tcPr>
            <w:tcW w:w="1570" w:type="dxa"/>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Hans"/>
              </w:rPr>
            </w:pPr>
            <w:r>
              <w:rPr>
                <w:rFonts w:hint="eastAsia" w:ascii="仿宋_GB2312" w:hAnsi="仿宋_GB2312" w:eastAsia="仿宋_GB2312" w:cs="仿宋_GB2312"/>
                <w:b/>
                <w:bCs/>
                <w:kern w:val="0"/>
                <w:sz w:val="28"/>
                <w:szCs w:val="28"/>
                <w:lang w:val="en-US" w:eastAsia="zh-Hans"/>
              </w:rPr>
              <w:t>合格</w:t>
            </w:r>
          </w:p>
        </w:tc>
        <w:tc>
          <w:tcPr>
            <w:tcW w:w="1570" w:type="dxa"/>
            <w:tcBorders>
              <w:top w:val="single" w:color="auto" w:sz="4" w:space="0"/>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Hans"/>
              </w:rPr>
            </w:pPr>
            <w:r>
              <w:rPr>
                <w:rFonts w:hint="eastAsia" w:ascii="仿宋_GB2312" w:hAnsi="仿宋_GB2312" w:eastAsia="仿宋_GB2312" w:cs="仿宋_GB2312"/>
                <w:b/>
                <w:bCs/>
                <w:kern w:val="0"/>
                <w:sz w:val="28"/>
                <w:szCs w:val="28"/>
                <w:lang w:val="en-US" w:eastAsia="zh-Hans"/>
              </w:rPr>
              <w:t>不合格</w:t>
            </w:r>
          </w:p>
        </w:tc>
      </w:tr>
      <w:tr>
        <w:tblPrEx>
          <w:tblCellMar>
            <w:top w:w="0" w:type="dxa"/>
            <w:left w:w="108" w:type="dxa"/>
            <w:bottom w:w="0" w:type="dxa"/>
            <w:right w:w="108" w:type="dxa"/>
          </w:tblCellMar>
        </w:tblPrEx>
        <w:trPr>
          <w:trHeight w:val="730" w:hRule="atLeast"/>
          <w:jc w:val="center"/>
        </w:trPr>
        <w:tc>
          <w:tcPr>
            <w:tcW w:w="1660" w:type="dxa"/>
            <w:tcBorders>
              <w:top w:val="nil"/>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kern w:val="0"/>
                <w:sz w:val="28"/>
                <w:szCs w:val="28"/>
                <w:lang w:val="en-US" w:eastAsia="zh-Hans"/>
              </w:rPr>
            </w:pPr>
            <w:r>
              <w:rPr>
                <w:rFonts w:hint="eastAsia" w:ascii="仿宋_GB2312" w:hAnsi="仿宋_GB2312" w:eastAsia="仿宋_GB2312" w:cs="仿宋_GB2312"/>
                <w:kern w:val="0"/>
                <w:sz w:val="28"/>
                <w:szCs w:val="28"/>
                <w:lang w:val="en-US" w:eastAsia="zh-Hans"/>
              </w:rPr>
              <w:t>分值</w:t>
            </w:r>
          </w:p>
        </w:tc>
        <w:tc>
          <w:tcPr>
            <w:tcW w:w="1570" w:type="dxa"/>
            <w:tcBorders>
              <w:top w:val="nil"/>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kern w:val="0"/>
                <w:sz w:val="28"/>
                <w:szCs w:val="28"/>
                <w:lang w:val="en-US" w:eastAsia="zh-Hans"/>
              </w:rPr>
            </w:pPr>
            <w:r>
              <w:rPr>
                <w:rFonts w:hint="eastAsia" w:ascii="仿宋_GB2312" w:hAnsi="仿宋_GB2312" w:eastAsia="仿宋_GB2312" w:cs="仿宋_GB2312"/>
                <w:kern w:val="0"/>
                <w:sz w:val="28"/>
                <w:szCs w:val="28"/>
                <w:lang w:val="en-US" w:eastAsia="zh-Hans"/>
              </w:rPr>
              <w:t>100－90分</w:t>
            </w:r>
          </w:p>
        </w:tc>
        <w:tc>
          <w:tcPr>
            <w:tcW w:w="1570" w:type="dxa"/>
            <w:tcBorders>
              <w:top w:val="nil"/>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kern w:val="0"/>
                <w:sz w:val="28"/>
                <w:szCs w:val="28"/>
                <w:lang w:val="en-US" w:eastAsia="zh-Hans"/>
              </w:rPr>
            </w:pPr>
            <w:r>
              <w:rPr>
                <w:rFonts w:hint="eastAsia" w:ascii="仿宋_GB2312" w:hAnsi="仿宋_GB2312" w:eastAsia="仿宋_GB2312" w:cs="仿宋_GB2312"/>
                <w:kern w:val="0"/>
                <w:sz w:val="28"/>
                <w:szCs w:val="28"/>
                <w:lang w:val="en-US" w:eastAsia="zh-Hans"/>
              </w:rPr>
              <w:t>89－80分</w:t>
            </w:r>
          </w:p>
        </w:tc>
        <w:tc>
          <w:tcPr>
            <w:tcW w:w="1570" w:type="dxa"/>
            <w:tcBorders>
              <w:top w:val="nil"/>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kern w:val="0"/>
                <w:sz w:val="28"/>
                <w:szCs w:val="28"/>
                <w:lang w:val="en-US" w:eastAsia="zh-Hans"/>
              </w:rPr>
            </w:pPr>
            <w:r>
              <w:rPr>
                <w:rFonts w:hint="eastAsia" w:ascii="仿宋_GB2312" w:hAnsi="仿宋_GB2312" w:eastAsia="仿宋_GB2312" w:cs="仿宋_GB2312"/>
                <w:kern w:val="0"/>
                <w:sz w:val="28"/>
                <w:szCs w:val="28"/>
                <w:lang w:val="en-US" w:eastAsia="zh-Hans"/>
              </w:rPr>
              <w:t>79－60分</w:t>
            </w:r>
          </w:p>
        </w:tc>
        <w:tc>
          <w:tcPr>
            <w:tcW w:w="1570" w:type="dxa"/>
            <w:tcBorders>
              <w:top w:val="nil"/>
              <w:left w:val="nil"/>
              <w:bottom w:val="single" w:color="auto" w:sz="4" w:space="0"/>
              <w:right w:val="single" w:color="auto" w:sz="4" w:space="0"/>
            </w:tcBorders>
            <w:noWrap w:val="0"/>
            <w:vAlign w:val="center"/>
          </w:tcPr>
          <w:p>
            <w:pPr>
              <w:widowControl/>
              <w:spacing w:line="240" w:lineRule="auto"/>
              <w:ind w:firstLine="0" w:firstLineChars="0"/>
              <w:jc w:val="center"/>
              <w:rPr>
                <w:rFonts w:hint="eastAsia" w:ascii="仿宋_GB2312" w:hAnsi="仿宋_GB2312" w:eastAsia="仿宋_GB2312" w:cs="仿宋_GB2312"/>
                <w:kern w:val="0"/>
                <w:sz w:val="28"/>
                <w:szCs w:val="28"/>
                <w:lang w:val="en-US" w:eastAsia="zh-Hans"/>
              </w:rPr>
            </w:pPr>
            <w:r>
              <w:rPr>
                <w:rFonts w:hint="eastAsia" w:ascii="仿宋_GB2312" w:hAnsi="仿宋_GB2312" w:eastAsia="仿宋_GB2312" w:cs="仿宋_GB2312"/>
                <w:kern w:val="0"/>
                <w:sz w:val="28"/>
                <w:szCs w:val="28"/>
                <w:lang w:val="en-US" w:eastAsia="zh-Hans"/>
              </w:rPr>
              <w:t>60分以下</w:t>
            </w:r>
          </w:p>
        </w:tc>
      </w:tr>
    </w:tbl>
    <w:p>
      <w:pPr>
        <w:keepNext w:val="0"/>
        <w:keepLines w:val="0"/>
        <w:widowControl/>
        <w:suppressLineNumbers w:val="0"/>
        <w:ind w:firstLine="600" w:firstLineChars="200"/>
        <w:jc w:val="left"/>
        <w:rPr>
          <w:rFonts w:hint="eastAsia" w:ascii="仿宋_GB2312" w:hAnsi="宋体" w:eastAsia="仿宋_GB2312" w:cs="仿宋_GB2312"/>
          <w:color w:val="000000"/>
          <w:kern w:val="0"/>
          <w:sz w:val="30"/>
          <w:szCs w:val="30"/>
          <w:lang w:val="en-US" w:eastAsia="zh-CN" w:bidi="ar"/>
        </w:rPr>
      </w:pPr>
      <w:r>
        <w:rPr>
          <w:rFonts w:hint="eastAsia" w:ascii="仿宋_GB2312" w:hAnsi="宋体" w:eastAsia="仿宋_GB2312" w:cs="仿宋_GB2312"/>
          <w:color w:val="000000"/>
          <w:kern w:val="0"/>
          <w:sz w:val="30"/>
          <w:szCs w:val="30"/>
          <w:lang w:val="en-US" w:eastAsia="zh-CN" w:bidi="ar"/>
        </w:rPr>
        <w:t>3.评价方法</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（1）比较法。是指将通过对绩效目标和实施效果、历史和当期情况、不同部门和地区同类支出的比较，综合分析其绩效目标的实现程度。</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（2）成本效益分析法。是指将一定时期内的支出与效益进行对比分析以评价绩效目标实现程度。</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（3）公众评判法。是指通过专家评估、公众问卷及抽样调查等对财政支出效果进行评判，评价绩效目标实现程度。</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（4）案卷研究法。针对评价对象设计主管单位自评表，实施单位自评表，组织单位进行绩效自评，并对单位提交的自评材料进行审核和梳理，撰写材料审核意见。</w:t>
      </w:r>
    </w:p>
    <w:p>
      <w:pPr>
        <w:keepNext w:val="0"/>
        <w:keepLines w:val="0"/>
        <w:widowControl/>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（三）绩效评价工作过程</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评价流程分集中培训、单位对接、资料收集、书面评审、现场评价、提交报告六个阶段实施，具体安排如下：</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（1）集中培训</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为指导资金使用单位配合做好本次评价工作，第三方机构对项目团队人员进行培训，主要包括项目开展要求、流程、重点关注内容等。</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（2）单位对接</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第三方机构与项目单位对接，了解项目资金情况、实施情况及绩效情况。</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（3）资料收集</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0"/>
          <w:szCs w:val="30"/>
          <w:lang w:val="en-US" w:eastAsia="zh-CN" w:bidi="ar"/>
        </w:rPr>
      </w:pPr>
      <w:r>
        <w:rPr>
          <w:rFonts w:hint="eastAsia" w:ascii="仿宋_GB2312" w:hAnsi="宋体" w:eastAsia="仿宋_GB2312" w:cs="仿宋_GB2312"/>
          <w:color w:val="000000"/>
          <w:kern w:val="0"/>
          <w:sz w:val="32"/>
          <w:szCs w:val="32"/>
          <w:lang w:val="en-US" w:eastAsia="zh-CN" w:bidi="ar"/>
        </w:rPr>
        <w:t>项目单位进行自评，并将自评材料报给第三方机构。</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（4）书面评审</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资料收集齐全后，第三方机构对材料进行梳理和审核，并形成书面审核意见。目的在于审查被评单位报送资料的完整性、规范性和内容的真实性，重点考察项目支出的绩效，与现场考察结果形成对照，从中发现差异与问题。</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（5）现场评价</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为进一步验证材料的真实性和绩效管理及实施情况，第三方机构对项目进行现场核查。</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（6）提交报告</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0"/>
          <w:szCs w:val="30"/>
          <w:lang w:val="en-US" w:eastAsia="zh-CN" w:bidi="ar"/>
        </w:rPr>
      </w:pPr>
      <w:r>
        <w:rPr>
          <w:rFonts w:hint="eastAsia" w:ascii="仿宋_GB2312" w:hAnsi="宋体" w:eastAsia="仿宋_GB2312" w:cs="仿宋_GB2312"/>
          <w:color w:val="000000"/>
          <w:kern w:val="0"/>
          <w:sz w:val="32"/>
          <w:szCs w:val="32"/>
          <w:lang w:val="en-US" w:eastAsia="zh-CN" w:bidi="ar"/>
        </w:rPr>
        <w:t>根据综合评价结果，撰写并评价分析报告。组织专家组对《绩效评价报告》和评价结果进行终审。</w:t>
      </w:r>
    </w:p>
    <w:p>
      <w:pPr>
        <w:keepNext w:val="0"/>
        <w:keepLines w:val="0"/>
        <w:widowControl/>
        <w:suppressLineNumbers w:val="0"/>
        <w:ind w:firstLine="640" w:firstLineChars="200"/>
        <w:jc w:val="left"/>
        <w:rPr>
          <w:sz w:val="32"/>
          <w:szCs w:val="32"/>
        </w:rPr>
      </w:pPr>
      <w:r>
        <w:rPr>
          <w:rFonts w:hint="eastAsia" w:ascii="黑体" w:hAnsi="宋体" w:eastAsia="黑体" w:cs="黑体"/>
          <w:color w:val="000000"/>
          <w:kern w:val="0"/>
          <w:sz w:val="32"/>
          <w:szCs w:val="32"/>
          <w:lang w:val="en-US" w:eastAsia="zh-CN" w:bidi="ar"/>
        </w:rPr>
        <w:t>三、综合评价情况及评价结论</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依据指标评价体系，经综合分析与评价，项目综合评分为7</w:t>
      </w:r>
      <w:r>
        <w:rPr>
          <w:rFonts w:hint="default" w:ascii="仿宋_GB2312" w:hAnsi="宋体" w:eastAsia="仿宋_GB2312" w:cs="仿宋_GB2312"/>
          <w:color w:val="000000"/>
          <w:kern w:val="0"/>
          <w:sz w:val="32"/>
          <w:szCs w:val="32"/>
          <w:lang w:eastAsia="zh-CN" w:bidi="ar"/>
        </w:rPr>
        <w:t>7</w:t>
      </w:r>
      <w:r>
        <w:rPr>
          <w:rFonts w:hint="eastAsia" w:ascii="仿宋_GB2312" w:hAnsi="宋体" w:eastAsia="仿宋_GB2312" w:cs="仿宋_GB2312"/>
          <w:color w:val="000000"/>
          <w:kern w:val="0"/>
          <w:sz w:val="32"/>
          <w:szCs w:val="32"/>
          <w:lang w:val="en-US" w:eastAsia="zh-Hans" w:bidi="ar"/>
        </w:rPr>
        <w:t>.</w:t>
      </w:r>
      <w:r>
        <w:rPr>
          <w:rFonts w:hint="default" w:ascii="仿宋_GB2312" w:hAnsi="宋体" w:eastAsia="仿宋_GB2312" w:cs="仿宋_GB2312"/>
          <w:color w:val="000000"/>
          <w:kern w:val="0"/>
          <w:sz w:val="32"/>
          <w:szCs w:val="32"/>
          <w:lang w:eastAsia="zh-Hans" w:bidi="ar"/>
        </w:rPr>
        <w:t>75</w:t>
      </w:r>
      <w:r>
        <w:rPr>
          <w:rFonts w:hint="eastAsia" w:ascii="仿宋_GB2312" w:hAnsi="宋体" w:eastAsia="仿宋_GB2312" w:cs="仿宋_GB2312"/>
          <w:color w:val="000000"/>
          <w:kern w:val="0"/>
          <w:sz w:val="32"/>
          <w:szCs w:val="32"/>
          <w:lang w:val="en-US" w:eastAsia="zh-CN" w:bidi="ar"/>
        </w:rPr>
        <w:t>分，等级为“合格”。其中：一级指标由决策（15分）、过程（20分）、产出（35分）、效益（30分），具体指标评分详见附件1。</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二级指标得分率见下表</w:t>
      </w:r>
      <w:r>
        <w:rPr>
          <w:rFonts w:hint="default" w:ascii="仿宋_GB2312" w:hAnsi="宋体" w:eastAsia="仿宋_GB2312" w:cs="仿宋_GB2312"/>
          <w:color w:val="000000"/>
          <w:kern w:val="0"/>
          <w:sz w:val="32"/>
          <w:szCs w:val="32"/>
          <w:lang w:eastAsia="zh-CN" w:bidi="ar"/>
        </w:rPr>
        <w:t>3</w:t>
      </w:r>
      <w:r>
        <w:rPr>
          <w:rFonts w:hint="eastAsia" w:ascii="仿宋_GB2312" w:hAnsi="宋体" w:eastAsia="仿宋_GB2312" w:cs="仿宋_GB2312"/>
          <w:color w:val="000000"/>
          <w:kern w:val="0"/>
          <w:sz w:val="32"/>
          <w:szCs w:val="32"/>
          <w:lang w:val="en-US" w:eastAsia="zh-CN" w:bidi="ar"/>
        </w:rPr>
        <w:t>。总体而言，该项资金使用绩效基本符合预期，项目立项、资金投入、资金管理、组织实施、产出时效、产出成立方面情况良好，但绩效目标、产出数量、产出质量、实施效益等方面有待进一步提升。</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p>
    <w:p>
      <w:pPr>
        <w:ind w:firstLine="560"/>
        <w:jc w:val="center"/>
        <w:rPr>
          <w:rFonts w:hint="default" w:ascii="黑体" w:hAnsi="黑体" w:eastAsia="黑体" w:cs="黑体"/>
          <w:bCs/>
          <w:sz w:val="28"/>
          <w:szCs w:val="28"/>
          <w:lang w:val="en-US" w:eastAsia="zh-CN"/>
        </w:rPr>
      </w:pPr>
      <w:r>
        <w:rPr>
          <w:rFonts w:hint="eastAsia" w:ascii="黑体" w:hAnsi="黑体" w:eastAsia="黑体" w:cs="黑体"/>
          <w:bCs/>
          <w:sz w:val="28"/>
          <w:szCs w:val="28"/>
          <w:lang w:val="en-US" w:eastAsia="zh-Hans"/>
        </w:rPr>
        <w:t>表</w:t>
      </w:r>
      <w:r>
        <w:rPr>
          <w:rFonts w:hint="default" w:ascii="黑体" w:hAnsi="黑体" w:eastAsia="黑体" w:cs="黑体"/>
          <w:bCs/>
          <w:sz w:val="28"/>
          <w:szCs w:val="28"/>
          <w:lang w:eastAsia="zh-Hans"/>
        </w:rPr>
        <w:t xml:space="preserve">3  </w:t>
      </w:r>
      <w:r>
        <w:rPr>
          <w:rFonts w:hint="eastAsia" w:ascii="黑体" w:hAnsi="黑体" w:eastAsia="黑体" w:cs="黑体"/>
          <w:bCs/>
          <w:sz w:val="28"/>
          <w:szCs w:val="28"/>
          <w:lang w:val="en-US" w:eastAsia="zh-CN"/>
        </w:rPr>
        <w:t>二级指标得分率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2226"/>
        <w:gridCol w:w="163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二级指标</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权重（%）</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实际得分</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项目立项（4分）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绩效目标（7分）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0</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资金投入（4分）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资金管理（12分）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12%</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lang w:eastAsia="zh-CN"/>
              </w:rPr>
              <w:t>0</w:t>
            </w:r>
            <w:r>
              <w:rPr>
                <w:rFonts w:hint="eastAsia" w:ascii="仿宋_GB2312" w:hAnsi="仿宋_GB2312" w:eastAsia="仿宋_GB2312" w:cs="仿宋_GB2312"/>
                <w:kern w:val="0"/>
                <w:sz w:val="28"/>
                <w:szCs w:val="28"/>
                <w:lang w:val="en-US" w:eastAsia="zh-Hans"/>
              </w:rPr>
              <w:t>.</w:t>
            </w:r>
            <w:r>
              <w:rPr>
                <w:rFonts w:hint="eastAsia" w:ascii="仿宋_GB2312" w:hAnsi="仿宋_GB2312" w:eastAsia="仿宋_GB2312" w:cs="仿宋_GB2312"/>
                <w:kern w:val="0"/>
                <w:sz w:val="28"/>
                <w:szCs w:val="28"/>
                <w:lang w:eastAsia="zh-Hans"/>
              </w:rPr>
              <w:t>75</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eastAsia="zh-CN"/>
              </w:rPr>
              <w:t>89</w:t>
            </w:r>
            <w:r>
              <w:rPr>
                <w:rFonts w:hint="eastAsia" w:ascii="仿宋_GB2312" w:hAnsi="仿宋_GB2312" w:eastAsia="仿宋_GB2312" w:cs="仿宋_GB2312"/>
                <w:kern w:val="0"/>
                <w:sz w:val="28"/>
                <w:szCs w:val="28"/>
                <w:lang w:val="en-US" w:eastAsia="zh-Hans"/>
              </w:rPr>
              <w:t>.</w:t>
            </w:r>
            <w:r>
              <w:rPr>
                <w:rFonts w:hint="eastAsia" w:ascii="仿宋_GB2312" w:hAnsi="仿宋_GB2312" w:eastAsia="仿宋_GB2312" w:cs="仿宋_GB2312"/>
                <w:kern w:val="0"/>
                <w:sz w:val="28"/>
                <w:szCs w:val="28"/>
                <w:lang w:eastAsia="zh-Hans"/>
              </w:rPr>
              <w:t>58</w:t>
            </w:r>
            <w:r>
              <w:rPr>
                <w:rFonts w:hint="eastAsia" w:ascii="仿宋_GB2312" w:hAnsi="仿宋_GB2312" w:eastAsia="仿宋_GB2312" w:cs="仿宋_GB2312"/>
                <w:kern w:val="0"/>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组织实施（8分）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8%</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产出数量（20分）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15</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产出质量（5分）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产出时效（5分）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产出成本（5分）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项目效益（30分）</w:t>
            </w:r>
          </w:p>
        </w:tc>
        <w:tc>
          <w:tcPr>
            <w:tcW w:w="2226"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30%</w:t>
            </w:r>
          </w:p>
        </w:tc>
        <w:tc>
          <w:tcPr>
            <w:tcW w:w="1639"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25</w:t>
            </w:r>
          </w:p>
        </w:tc>
        <w:tc>
          <w:tcPr>
            <w:tcW w:w="2131" w:type="dxa"/>
            <w:noWrap w:val="0"/>
            <w:vAlign w:val="top"/>
          </w:tcPr>
          <w:p>
            <w:pPr>
              <w:widowControl/>
              <w:spacing w:line="240" w:lineRule="auto"/>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83.3%</w:t>
            </w:r>
          </w:p>
        </w:tc>
      </w:tr>
    </w:tbl>
    <w:p>
      <w:pPr>
        <w:widowControl/>
        <w:spacing w:line="240" w:lineRule="auto"/>
        <w:ind w:firstLine="0" w:firstLineChars="0"/>
        <w:jc w:val="center"/>
        <w:rPr>
          <w:rFonts w:hint="eastAsia" w:ascii="宋体" w:hAnsi="宋体" w:eastAsia="宋体" w:cs="宋体"/>
          <w:kern w:val="0"/>
          <w:sz w:val="28"/>
          <w:szCs w:val="28"/>
          <w:lang w:val="en-US" w:eastAsia="zh-CN"/>
        </w:rPr>
      </w:pPr>
    </w:p>
    <w:p>
      <w:pPr>
        <w:keepNext w:val="0"/>
        <w:keepLines w:val="0"/>
        <w:widowControl/>
        <w:suppressLineNumbers w:val="0"/>
        <w:ind w:firstLine="640" w:firstLineChars="200"/>
        <w:jc w:val="left"/>
        <w:rPr>
          <w:sz w:val="32"/>
          <w:szCs w:val="32"/>
        </w:rPr>
      </w:pPr>
      <w:r>
        <w:rPr>
          <w:rFonts w:hint="eastAsia" w:ascii="黑体" w:hAnsi="宋体" w:eastAsia="黑体" w:cs="黑体"/>
          <w:color w:val="000000"/>
          <w:kern w:val="0"/>
          <w:sz w:val="32"/>
          <w:szCs w:val="32"/>
          <w:lang w:val="en-US" w:eastAsia="zh-CN" w:bidi="ar"/>
        </w:rPr>
        <w:t>四、绩效评价指标分析</w:t>
      </w:r>
    </w:p>
    <w:p>
      <w:pPr>
        <w:keepNext w:val="0"/>
        <w:keepLines w:val="0"/>
        <w:widowControl/>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（一）项目决策情况</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包括立项必要性、依据充分性、程序合规性、投入经济性、预算编制规范性、绩效目标合理性、实施方案可行性等。</w:t>
      </w:r>
      <w:r>
        <w:rPr>
          <w:rFonts w:hint="eastAsia" w:ascii="仿宋_GB2312" w:hAnsi="宋体" w:eastAsia="仿宋_GB2312" w:cs="仿宋_GB2312"/>
          <w:color w:val="000000"/>
          <w:kern w:val="0"/>
          <w:sz w:val="32"/>
          <w:szCs w:val="32"/>
          <w:lang w:val="en-US" w:eastAsia="zh-Hans" w:bidi="ar"/>
        </w:rPr>
        <w:t>主要</w:t>
      </w:r>
      <w:r>
        <w:rPr>
          <w:rFonts w:hint="eastAsia" w:ascii="仿宋_GB2312" w:hAnsi="宋体" w:eastAsia="仿宋_GB2312" w:cs="仿宋_GB2312"/>
          <w:color w:val="000000"/>
          <w:kern w:val="0"/>
          <w:sz w:val="32"/>
          <w:szCs w:val="32"/>
          <w:lang w:val="en-US" w:eastAsia="zh-CN" w:bidi="ar"/>
        </w:rPr>
        <w:t>从立项依据充分性、立项程序规范性、绩效目标合理性、绩效指标明确性、预算编制科学性、资金分配合理性考察项目决策情况，该项满分15分，得分7分，得分率为47%。三级指标得分情况如下：</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立项依据充分性。满分2分，得分2分，得分率为100%。项目依据《中共深圳市委深圳市人民政府关于加强社会建设的决定》《深圳市社区服务“十二五”规划》《深圳市社区党群服务中心政府购买项目服务标准》《大鹏新区推进社区党群服务中心运营改革实施方案》及深圳市大鹏新区统战和社会建设局《关于启动社区党群服务中心服务项目采购工作的函》实施，符合国家法律、法规及社会建设规划。</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（2）立项程序规范性。满分2分，得分2分，得分率为100%。项目经大鹏办事处主任办公会议决议实施，形成相关《会议纪要》，立项程序规范。</w:t>
      </w:r>
    </w:p>
    <w:p>
      <w:pPr>
        <w:keepNext w:val="0"/>
        <w:keepLines w:val="0"/>
        <w:widowControl/>
        <w:suppressLineNumbers w:val="0"/>
        <w:ind w:firstLine="640" w:firstLineChars="200"/>
        <w:jc w:val="left"/>
        <w:rPr>
          <w:rFonts w:hint="default"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w:t>
      </w:r>
      <w:r>
        <w:rPr>
          <w:rFonts w:hint="eastAsia" w:ascii="仿宋_GB2312" w:hAnsi="宋体" w:eastAsia="仿宋_GB2312" w:cs="仿宋_GB2312"/>
          <w:color w:val="000000"/>
          <w:kern w:val="0"/>
          <w:sz w:val="32"/>
          <w:szCs w:val="32"/>
          <w:highlight w:val="none"/>
          <w:lang w:val="en-US" w:eastAsia="zh-CN" w:bidi="ar"/>
        </w:rPr>
        <w:t>3）绩效目标合理性。满分4分，得分0分，得分率为0%。未见社区党群服务中心区级</w:t>
      </w:r>
      <w:r>
        <w:rPr>
          <w:rFonts w:hint="eastAsia" w:ascii="仿宋_GB2312" w:hAnsi="宋体" w:eastAsia="仿宋_GB2312" w:cs="仿宋_GB2312"/>
          <w:color w:val="000000"/>
          <w:kern w:val="0"/>
          <w:sz w:val="32"/>
          <w:szCs w:val="32"/>
          <w:lang w:val="en-US" w:eastAsia="zh-CN" w:bidi="ar"/>
        </w:rPr>
        <w:t>配套运营经费项目设定绩效目标，以上绩效目标由评价方根据项目工作计划总结设置。本项不得分。</w:t>
      </w:r>
    </w:p>
    <w:p>
      <w:pPr>
        <w:keepNext w:val="0"/>
        <w:keepLines w:val="0"/>
        <w:widowControl/>
        <w:suppressLineNumbers w:val="0"/>
        <w:ind w:firstLine="640" w:firstLineChars="200"/>
        <w:jc w:val="left"/>
        <w:rPr>
          <w:rFonts w:hint="default"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w:t>
      </w:r>
      <w:r>
        <w:rPr>
          <w:rFonts w:hint="eastAsia" w:ascii="仿宋_GB2312" w:hAnsi="宋体" w:eastAsia="仿宋_GB2312" w:cs="仿宋_GB2312"/>
          <w:color w:val="000000"/>
          <w:kern w:val="0"/>
          <w:sz w:val="32"/>
          <w:szCs w:val="32"/>
          <w:highlight w:val="none"/>
          <w:lang w:val="en-US" w:eastAsia="zh-CN" w:bidi="ar"/>
        </w:rPr>
        <w:t>4）绩效指标明确性，满</w:t>
      </w:r>
      <w:r>
        <w:rPr>
          <w:rFonts w:hint="eastAsia" w:ascii="仿宋_GB2312" w:hAnsi="宋体" w:eastAsia="仿宋_GB2312" w:cs="仿宋_GB2312"/>
          <w:color w:val="000000"/>
          <w:kern w:val="0"/>
          <w:sz w:val="32"/>
          <w:szCs w:val="32"/>
          <w:lang w:val="en-US" w:eastAsia="zh-CN" w:bidi="ar"/>
        </w:rPr>
        <w:t>分3分，得分0分，得分率为0%。</w:t>
      </w:r>
      <w:r>
        <w:rPr>
          <w:rFonts w:hint="eastAsia" w:ascii="仿宋_GB2312" w:hAnsi="宋体" w:eastAsia="仿宋_GB2312" w:cs="仿宋_GB2312"/>
          <w:color w:val="000000"/>
          <w:kern w:val="0"/>
          <w:sz w:val="32"/>
          <w:szCs w:val="32"/>
          <w:highlight w:val="none"/>
          <w:lang w:val="en-US" w:eastAsia="zh-CN" w:bidi="ar"/>
        </w:rPr>
        <w:t>未见社区党群服务中心区级</w:t>
      </w:r>
      <w:r>
        <w:rPr>
          <w:rFonts w:hint="eastAsia" w:ascii="仿宋_GB2312" w:hAnsi="宋体" w:eastAsia="仿宋_GB2312" w:cs="仿宋_GB2312"/>
          <w:color w:val="000000"/>
          <w:kern w:val="0"/>
          <w:sz w:val="32"/>
          <w:szCs w:val="32"/>
          <w:lang w:val="en-US" w:eastAsia="zh-CN" w:bidi="ar"/>
        </w:rPr>
        <w:t>配套运营经费项目设定绩效目标，以上绩效目标由评价方根据项目工作计划总结设置。本项不得分。</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w:t>
      </w:r>
      <w:r>
        <w:rPr>
          <w:rFonts w:hint="eastAsia" w:ascii="仿宋_GB2312" w:hAnsi="宋体" w:eastAsia="仿宋_GB2312" w:cs="仿宋_GB2312"/>
          <w:color w:val="000000"/>
          <w:kern w:val="0"/>
          <w:sz w:val="32"/>
          <w:szCs w:val="32"/>
          <w:highlight w:val="none"/>
          <w:lang w:val="en-US" w:eastAsia="zh-CN" w:bidi="ar"/>
        </w:rPr>
        <w:t>5）预算编制科学性。</w:t>
      </w:r>
      <w:r>
        <w:rPr>
          <w:rFonts w:hint="eastAsia" w:ascii="仿宋_GB2312" w:hAnsi="宋体" w:eastAsia="仿宋_GB2312" w:cs="仿宋_GB2312"/>
          <w:color w:val="000000"/>
          <w:kern w:val="0"/>
          <w:sz w:val="32"/>
          <w:szCs w:val="32"/>
          <w:lang w:val="en-US" w:eastAsia="zh-CN" w:bidi="ar"/>
        </w:rPr>
        <w:t>满分2分，得分2分，得分率为100%。预算编制依据大鹏新区统战和</w:t>
      </w:r>
      <w:bookmarkStart w:id="0" w:name="_GoBack"/>
      <w:bookmarkEnd w:id="0"/>
      <w:r>
        <w:rPr>
          <w:rFonts w:hint="eastAsia" w:ascii="仿宋_GB2312" w:hAnsi="宋体" w:eastAsia="仿宋_GB2312" w:cs="仿宋_GB2312"/>
          <w:color w:val="000000"/>
          <w:kern w:val="0"/>
          <w:sz w:val="32"/>
          <w:szCs w:val="32"/>
          <w:lang w:val="en-US" w:eastAsia="zh-CN" w:bidi="ar"/>
        </w:rPr>
        <w:t>社会建设局《关于启动社区党群服务中心服务项目采购工作的函》（深鹏社建函〔2017〕1号）建议标准制定。该建议标准为：社工9.3万元/每人每年，行政人员7.6万元/每人每年，每个项目安排不少于2名本地户籍行政人员。预算编制依据充分合理。</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w:t>
      </w:r>
      <w:r>
        <w:rPr>
          <w:rFonts w:hint="eastAsia" w:ascii="仿宋_GB2312" w:hAnsi="宋体" w:eastAsia="仿宋_GB2312" w:cs="仿宋_GB2312"/>
          <w:color w:val="000000"/>
          <w:kern w:val="0"/>
          <w:sz w:val="32"/>
          <w:szCs w:val="32"/>
          <w:highlight w:val="none"/>
          <w:lang w:val="en-US" w:eastAsia="zh-CN" w:bidi="ar"/>
        </w:rPr>
        <w:t>6）资金分配合理性。满分2分，得分1分，得分率为50%。项目资金分配未明确细化</w:t>
      </w:r>
      <w:r>
        <w:rPr>
          <w:rFonts w:hint="eastAsia" w:ascii="仿宋_GB2312" w:hAnsi="宋体" w:eastAsia="仿宋_GB2312" w:cs="仿宋_GB2312"/>
          <w:color w:val="000000"/>
          <w:kern w:val="0"/>
          <w:sz w:val="32"/>
          <w:szCs w:val="32"/>
          <w:lang w:val="en-US" w:eastAsia="zh-CN" w:bidi="ar"/>
        </w:rPr>
        <w:t>到工作人员薪酬、服务费、管理费等方面，扣1分。</w:t>
      </w:r>
    </w:p>
    <w:p>
      <w:pPr>
        <w:keepNext w:val="0"/>
        <w:keepLines w:val="0"/>
        <w:widowControl/>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（二）项目过程情况</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0"/>
          <w:szCs w:val="30"/>
          <w:lang w:val="en-US" w:eastAsia="zh-CN" w:bidi="ar"/>
        </w:rPr>
      </w:pPr>
      <w:r>
        <w:rPr>
          <w:rFonts w:hint="eastAsia" w:ascii="仿宋_GB2312" w:hAnsi="宋体" w:eastAsia="仿宋_GB2312" w:cs="仿宋_GB2312"/>
          <w:color w:val="000000"/>
          <w:kern w:val="0"/>
          <w:sz w:val="32"/>
          <w:szCs w:val="32"/>
          <w:lang w:val="en-US" w:eastAsia="zh-CN" w:bidi="ar"/>
        </w:rPr>
        <w:t>包括体制机制、组织协调、职责分工和人员管理的合理性，业务和财务管理制度的健全性和执行的有效性，以及资金分配合理性、资金到位及时性、预算执行效率性和资金使用合规性等。</w:t>
      </w:r>
      <w:r>
        <w:rPr>
          <w:rFonts w:hint="eastAsia" w:ascii="仿宋_GB2312" w:hAnsi="宋体" w:eastAsia="仿宋_GB2312" w:cs="仿宋_GB2312"/>
          <w:color w:val="000000"/>
          <w:kern w:val="0"/>
          <w:sz w:val="32"/>
          <w:szCs w:val="32"/>
          <w:lang w:val="en-US" w:eastAsia="zh-Hans" w:bidi="ar"/>
        </w:rPr>
        <w:t>主要</w:t>
      </w:r>
      <w:r>
        <w:rPr>
          <w:rFonts w:hint="eastAsia" w:ascii="仿宋_GB2312" w:hAnsi="宋体" w:eastAsia="仿宋_GB2312" w:cs="仿宋_GB2312"/>
          <w:color w:val="000000"/>
          <w:kern w:val="0"/>
          <w:sz w:val="32"/>
          <w:szCs w:val="32"/>
          <w:lang w:val="en-US" w:eastAsia="zh-CN" w:bidi="ar"/>
        </w:rPr>
        <w:t>从资金到位率、预算执行率、资金使用合规性、管理制度健全性、制度执行有效性考察项目过程情况，该项满分20分，得分1</w:t>
      </w:r>
      <w:r>
        <w:rPr>
          <w:rFonts w:hint="default" w:ascii="仿宋_GB2312" w:hAnsi="宋体" w:eastAsia="仿宋_GB2312" w:cs="仿宋_GB2312"/>
          <w:color w:val="000000"/>
          <w:kern w:val="0"/>
          <w:sz w:val="32"/>
          <w:szCs w:val="32"/>
          <w:lang w:eastAsia="zh-CN" w:bidi="ar"/>
        </w:rPr>
        <w:t>7</w:t>
      </w:r>
      <w:r>
        <w:rPr>
          <w:rFonts w:hint="eastAsia" w:ascii="仿宋_GB2312" w:hAnsi="宋体" w:eastAsia="仿宋_GB2312" w:cs="仿宋_GB2312"/>
          <w:color w:val="000000"/>
          <w:kern w:val="0"/>
          <w:sz w:val="32"/>
          <w:szCs w:val="32"/>
          <w:lang w:val="en-US" w:eastAsia="zh-Hans" w:bidi="ar"/>
        </w:rPr>
        <w:t>.</w:t>
      </w:r>
      <w:r>
        <w:rPr>
          <w:rFonts w:hint="default" w:ascii="仿宋_GB2312" w:hAnsi="宋体" w:eastAsia="仿宋_GB2312" w:cs="仿宋_GB2312"/>
          <w:color w:val="000000"/>
          <w:kern w:val="0"/>
          <w:sz w:val="32"/>
          <w:szCs w:val="32"/>
          <w:lang w:eastAsia="zh-Hans" w:bidi="ar"/>
        </w:rPr>
        <w:t>75</w:t>
      </w:r>
      <w:r>
        <w:rPr>
          <w:rFonts w:hint="eastAsia" w:ascii="仿宋_GB2312" w:hAnsi="宋体" w:eastAsia="仿宋_GB2312" w:cs="仿宋_GB2312"/>
          <w:color w:val="000000"/>
          <w:kern w:val="0"/>
          <w:sz w:val="32"/>
          <w:szCs w:val="32"/>
          <w:lang w:val="en-US" w:eastAsia="zh-CN" w:bidi="ar"/>
        </w:rPr>
        <w:t>分，得分率为</w:t>
      </w:r>
      <w:r>
        <w:rPr>
          <w:rFonts w:hint="default" w:ascii="仿宋_GB2312" w:hAnsi="宋体" w:eastAsia="仿宋_GB2312" w:cs="仿宋_GB2312"/>
          <w:color w:val="000000"/>
          <w:kern w:val="0"/>
          <w:sz w:val="32"/>
          <w:szCs w:val="32"/>
          <w:lang w:eastAsia="zh-CN" w:bidi="ar"/>
        </w:rPr>
        <w:t>88</w:t>
      </w:r>
      <w:r>
        <w:rPr>
          <w:rFonts w:hint="eastAsia" w:ascii="仿宋_GB2312" w:hAnsi="宋体" w:eastAsia="仿宋_GB2312" w:cs="仿宋_GB2312"/>
          <w:color w:val="000000"/>
          <w:kern w:val="0"/>
          <w:sz w:val="32"/>
          <w:szCs w:val="32"/>
          <w:lang w:val="en-US" w:eastAsia="zh-Hans" w:bidi="ar"/>
        </w:rPr>
        <w:t>.</w:t>
      </w:r>
      <w:r>
        <w:rPr>
          <w:rFonts w:hint="default" w:ascii="仿宋_GB2312" w:hAnsi="宋体" w:eastAsia="仿宋_GB2312" w:cs="仿宋_GB2312"/>
          <w:color w:val="000000"/>
          <w:kern w:val="0"/>
          <w:sz w:val="32"/>
          <w:szCs w:val="32"/>
          <w:lang w:eastAsia="zh-Hans" w:bidi="ar"/>
        </w:rPr>
        <w:t>75</w:t>
      </w:r>
      <w:r>
        <w:rPr>
          <w:rFonts w:hint="eastAsia" w:ascii="仿宋_GB2312" w:hAnsi="宋体" w:eastAsia="仿宋_GB2312" w:cs="仿宋_GB2312"/>
          <w:color w:val="000000"/>
          <w:kern w:val="0"/>
          <w:sz w:val="32"/>
          <w:szCs w:val="32"/>
          <w:lang w:val="en-US" w:eastAsia="zh-CN" w:bidi="ar"/>
        </w:rPr>
        <w:t>%。三级指标得分情况如下：</w:t>
      </w:r>
    </w:p>
    <w:p>
      <w:pPr>
        <w:keepNext w:val="0"/>
        <w:keepLines w:val="0"/>
        <w:widowControl/>
        <w:numPr>
          <w:ilvl w:val="0"/>
          <w:numId w:val="0"/>
        </w:numPr>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（7）资金到位率。满分3分，得分3分，得分率为100%。预算资金162万元，因疫情影响，实际项目减少，预算指标调整为160.7115万元，实际到位160.7115万元。</w:t>
      </w:r>
    </w:p>
    <w:p>
      <w:pPr>
        <w:keepNext w:val="0"/>
        <w:keepLines w:val="0"/>
        <w:widowControl/>
        <w:numPr>
          <w:ilvl w:val="0"/>
          <w:numId w:val="0"/>
        </w:numPr>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（8）预算执行率。满分5分，得分</w:t>
      </w:r>
      <w:r>
        <w:rPr>
          <w:rFonts w:hint="default" w:ascii="仿宋_GB2312" w:hAnsi="宋体" w:eastAsia="仿宋_GB2312" w:cs="仿宋_GB2312"/>
          <w:color w:val="000000"/>
          <w:kern w:val="0"/>
          <w:sz w:val="32"/>
          <w:szCs w:val="32"/>
          <w:highlight w:val="none"/>
          <w:lang w:eastAsia="zh-CN" w:bidi="ar"/>
        </w:rPr>
        <w:t>3</w:t>
      </w:r>
      <w:r>
        <w:rPr>
          <w:rFonts w:hint="eastAsia" w:ascii="仿宋_GB2312" w:hAnsi="宋体" w:eastAsia="仿宋_GB2312" w:cs="仿宋_GB2312"/>
          <w:color w:val="000000"/>
          <w:kern w:val="0"/>
          <w:sz w:val="32"/>
          <w:szCs w:val="32"/>
          <w:highlight w:val="none"/>
          <w:lang w:val="en-US" w:eastAsia="zh-Hans" w:bidi="ar"/>
        </w:rPr>
        <w:t>.</w:t>
      </w:r>
      <w:r>
        <w:rPr>
          <w:rFonts w:hint="default" w:ascii="仿宋_GB2312" w:hAnsi="宋体" w:eastAsia="仿宋_GB2312" w:cs="仿宋_GB2312"/>
          <w:color w:val="000000"/>
          <w:kern w:val="0"/>
          <w:sz w:val="32"/>
          <w:szCs w:val="32"/>
          <w:highlight w:val="none"/>
          <w:lang w:eastAsia="zh-Hans" w:bidi="ar"/>
        </w:rPr>
        <w:t>75</w:t>
      </w:r>
      <w:r>
        <w:rPr>
          <w:rFonts w:hint="eastAsia" w:ascii="仿宋_GB2312" w:hAnsi="宋体" w:eastAsia="仿宋_GB2312" w:cs="仿宋_GB2312"/>
          <w:color w:val="000000"/>
          <w:kern w:val="0"/>
          <w:sz w:val="32"/>
          <w:szCs w:val="32"/>
          <w:lang w:val="en-US" w:eastAsia="zh-CN" w:bidi="ar"/>
        </w:rPr>
        <w:t>分，得分率为</w:t>
      </w:r>
      <w:r>
        <w:rPr>
          <w:rFonts w:hint="default" w:ascii="仿宋_GB2312" w:hAnsi="宋体" w:eastAsia="仿宋_GB2312" w:cs="仿宋_GB2312"/>
          <w:color w:val="000000"/>
          <w:kern w:val="0"/>
          <w:sz w:val="32"/>
          <w:szCs w:val="32"/>
          <w:lang w:eastAsia="zh-CN" w:bidi="ar"/>
        </w:rPr>
        <w:t>75</w:t>
      </w:r>
      <w:r>
        <w:rPr>
          <w:rFonts w:hint="eastAsia" w:ascii="仿宋_GB2312" w:hAnsi="宋体" w:eastAsia="仿宋_GB2312" w:cs="仿宋_GB2312"/>
          <w:color w:val="000000"/>
          <w:kern w:val="0"/>
          <w:sz w:val="32"/>
          <w:szCs w:val="32"/>
          <w:lang w:val="en-US" w:eastAsia="zh-CN" w:bidi="ar"/>
        </w:rPr>
        <w:t>%。实际到位160.7115万元，实际支出1</w:t>
      </w:r>
      <w:r>
        <w:rPr>
          <w:rFonts w:hint="default" w:ascii="仿宋_GB2312" w:hAnsi="宋体" w:eastAsia="仿宋_GB2312" w:cs="仿宋_GB2312"/>
          <w:color w:val="000000"/>
          <w:kern w:val="0"/>
          <w:sz w:val="32"/>
          <w:szCs w:val="32"/>
          <w:lang w:eastAsia="zh-CN" w:bidi="ar"/>
        </w:rPr>
        <w:t>20</w:t>
      </w:r>
      <w:r>
        <w:rPr>
          <w:rFonts w:hint="eastAsia" w:ascii="仿宋_GB2312" w:hAnsi="宋体" w:eastAsia="仿宋_GB2312" w:cs="仿宋_GB2312"/>
          <w:color w:val="000000"/>
          <w:kern w:val="0"/>
          <w:sz w:val="32"/>
          <w:szCs w:val="32"/>
          <w:lang w:val="en-US" w:eastAsia="zh-Hans" w:bidi="ar"/>
        </w:rPr>
        <w:t>.</w:t>
      </w:r>
      <w:r>
        <w:rPr>
          <w:rFonts w:hint="default" w:ascii="仿宋_GB2312" w:hAnsi="宋体" w:eastAsia="仿宋_GB2312" w:cs="仿宋_GB2312"/>
          <w:color w:val="000000"/>
          <w:kern w:val="0"/>
          <w:sz w:val="32"/>
          <w:szCs w:val="32"/>
          <w:lang w:eastAsia="zh-Hans" w:bidi="ar"/>
        </w:rPr>
        <w:t>4065</w:t>
      </w:r>
      <w:r>
        <w:rPr>
          <w:rFonts w:hint="eastAsia" w:ascii="仿宋_GB2312" w:hAnsi="宋体" w:eastAsia="仿宋_GB2312" w:cs="仿宋_GB2312"/>
          <w:color w:val="000000"/>
          <w:kern w:val="0"/>
          <w:sz w:val="32"/>
          <w:szCs w:val="32"/>
          <w:lang w:val="en-US" w:eastAsia="zh-CN" w:bidi="ar"/>
        </w:rPr>
        <w:t>万元</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Hans" w:bidi="ar"/>
        </w:rPr>
        <w:t>支出率为</w:t>
      </w:r>
      <w:r>
        <w:rPr>
          <w:rFonts w:hint="default" w:ascii="仿宋_GB2312" w:hAnsi="宋体" w:eastAsia="仿宋_GB2312" w:cs="仿宋_GB2312"/>
          <w:color w:val="000000"/>
          <w:kern w:val="0"/>
          <w:sz w:val="32"/>
          <w:szCs w:val="32"/>
          <w:lang w:eastAsia="zh-Hans" w:bidi="ar"/>
        </w:rPr>
        <w:t>75%</w:t>
      </w:r>
      <w:r>
        <w:rPr>
          <w:rFonts w:hint="eastAsia" w:ascii="仿宋_GB2312" w:hAnsi="宋体" w:eastAsia="仿宋_GB2312" w:cs="仿宋_GB2312"/>
          <w:color w:val="000000"/>
          <w:kern w:val="0"/>
          <w:sz w:val="32"/>
          <w:szCs w:val="32"/>
          <w:lang w:val="en-US" w:eastAsia="zh-CN" w:bidi="ar"/>
        </w:rPr>
        <w:t>。</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（9）资金使用合规性。满分4分，得分4分，得分率为100%。资金拨付有完整的审批程序和手续，与预算批复相符，不存在截留等。</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highlight w:val="none"/>
          <w:lang w:val="en-US" w:eastAsia="zh-CN" w:bidi="ar"/>
        </w:rPr>
      </w:pPr>
      <w:r>
        <w:rPr>
          <w:rFonts w:hint="eastAsia" w:ascii="仿宋_GB2312" w:hAnsi="宋体" w:eastAsia="仿宋_GB2312" w:cs="仿宋_GB2312"/>
          <w:color w:val="000000"/>
          <w:kern w:val="0"/>
          <w:sz w:val="32"/>
          <w:szCs w:val="32"/>
          <w:lang w:val="en-US" w:eastAsia="zh-CN" w:bidi="ar"/>
        </w:rPr>
        <w:t>（10）管理制度健全性。满分4分，得分3分，得分率为75%。大鹏办事处制定了《大鹏办事处财务管理规定》，确保项目资金专款专用。但社区党群服务中心区级配套运营经费</w:t>
      </w:r>
      <w:r>
        <w:rPr>
          <w:rFonts w:hint="eastAsia" w:ascii="仿宋_GB2312" w:hAnsi="宋体" w:eastAsia="仿宋_GB2312" w:cs="仿宋_GB2312"/>
          <w:color w:val="000000"/>
          <w:kern w:val="0"/>
          <w:sz w:val="32"/>
          <w:szCs w:val="32"/>
          <w:lang w:val="en-US" w:eastAsia="zh-Hans" w:bidi="ar"/>
        </w:rPr>
        <w:t>使用</w:t>
      </w:r>
      <w:r>
        <w:rPr>
          <w:rFonts w:hint="eastAsia" w:ascii="仿宋_GB2312" w:hAnsi="宋体" w:eastAsia="仿宋_GB2312" w:cs="仿宋_GB2312"/>
          <w:color w:val="000000"/>
          <w:kern w:val="0"/>
          <w:sz w:val="32"/>
          <w:szCs w:val="32"/>
          <w:lang w:val="en-US" w:eastAsia="zh-CN" w:bidi="ar"/>
        </w:rPr>
        <w:t>未有专门的管理规定，</w:t>
      </w:r>
      <w:r>
        <w:rPr>
          <w:rFonts w:hint="eastAsia" w:ascii="仿宋_GB2312" w:hAnsi="宋体" w:eastAsia="仿宋_GB2312" w:cs="仿宋_GB2312"/>
          <w:color w:val="000000"/>
          <w:kern w:val="0"/>
          <w:sz w:val="32"/>
          <w:szCs w:val="32"/>
          <w:highlight w:val="none"/>
          <w:lang w:val="en-US" w:eastAsia="zh-CN" w:bidi="ar"/>
        </w:rPr>
        <w:t>扣1分。</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highlight w:val="none"/>
          <w:lang w:val="en-US" w:eastAsia="zh-CN" w:bidi="ar"/>
        </w:rPr>
        <w:t>（11）制度执行有效性。满分4分，得分4分，得分率为100%。项目按照《中</w:t>
      </w:r>
      <w:r>
        <w:rPr>
          <w:rFonts w:hint="eastAsia" w:ascii="仿宋_GB2312" w:hAnsi="宋体" w:eastAsia="仿宋_GB2312" w:cs="仿宋_GB2312"/>
          <w:color w:val="000000"/>
          <w:kern w:val="0"/>
          <w:sz w:val="32"/>
          <w:szCs w:val="32"/>
          <w:lang w:val="en-US" w:eastAsia="zh-CN" w:bidi="ar"/>
        </w:rPr>
        <w:t>共深圳市委深圳市人民政府关于加强社会建设的决定》《深圳市社区服务“十二五”规划》《深圳市社区党群服务中心政府购买项目服务标准》《大鹏新区推进社区党群服务中心运</w:t>
      </w:r>
      <w:r>
        <w:rPr>
          <w:rFonts w:hint="eastAsia" w:ascii="仿宋_GB2312" w:hAnsi="宋体" w:eastAsia="仿宋_GB2312" w:cs="仿宋_GB2312"/>
          <w:color w:val="000000"/>
          <w:kern w:val="0"/>
          <w:sz w:val="32"/>
          <w:szCs w:val="32"/>
          <w:highlight w:val="none"/>
          <w:lang w:val="en-US" w:eastAsia="zh-CN" w:bidi="ar"/>
        </w:rPr>
        <w:t>营改革实施方案》等</w:t>
      </w:r>
      <w:r>
        <w:rPr>
          <w:rFonts w:hint="eastAsia" w:ascii="仿宋_GB2312" w:hAnsi="宋体" w:eastAsia="仿宋_GB2312" w:cs="仿宋_GB2312"/>
          <w:color w:val="000000"/>
          <w:kern w:val="0"/>
          <w:sz w:val="32"/>
          <w:szCs w:val="32"/>
          <w:lang w:val="en-US" w:eastAsia="zh-CN" w:bidi="ar"/>
        </w:rPr>
        <w:t>文件要求实施</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Hans" w:bidi="ar"/>
        </w:rPr>
        <w:t>未见违反上述管理制度的情况</w:t>
      </w:r>
      <w:r>
        <w:rPr>
          <w:rFonts w:hint="eastAsia" w:ascii="仿宋_GB2312" w:hAnsi="宋体" w:eastAsia="仿宋_GB2312" w:cs="仿宋_GB2312"/>
          <w:color w:val="000000"/>
          <w:kern w:val="0"/>
          <w:sz w:val="32"/>
          <w:szCs w:val="32"/>
          <w:lang w:val="en-US" w:eastAsia="zh-CN" w:bidi="ar"/>
        </w:rPr>
        <w:t>。</w:t>
      </w:r>
    </w:p>
    <w:p>
      <w:pPr>
        <w:keepNext w:val="0"/>
        <w:keepLines w:val="0"/>
        <w:widowControl/>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（三）项目产出情况</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包括产出数量完成率、质量达标率、完成及时性和成本节约率等。</w:t>
      </w:r>
      <w:r>
        <w:rPr>
          <w:rFonts w:hint="eastAsia" w:ascii="仿宋_GB2312" w:hAnsi="宋体" w:eastAsia="仿宋_GB2312" w:cs="仿宋_GB2312"/>
          <w:color w:val="000000"/>
          <w:kern w:val="0"/>
          <w:sz w:val="32"/>
          <w:szCs w:val="32"/>
          <w:lang w:val="en-US" w:eastAsia="zh-Hans" w:bidi="ar"/>
        </w:rPr>
        <w:t>主要</w:t>
      </w:r>
      <w:r>
        <w:rPr>
          <w:rFonts w:hint="eastAsia" w:ascii="仿宋_GB2312" w:hAnsi="宋体" w:eastAsia="仿宋_GB2312" w:cs="仿宋_GB2312"/>
          <w:color w:val="000000"/>
          <w:kern w:val="0"/>
          <w:sz w:val="32"/>
          <w:szCs w:val="32"/>
          <w:lang w:val="en-US" w:eastAsia="zh-CN" w:bidi="ar"/>
        </w:rPr>
        <w:t>从产出数量、产出质量、产出时效、产出成本等方面考察项目产出情况，该项满分35分，得分28分，得分率为80%。三级指标得分情况如下：</w:t>
      </w:r>
    </w:p>
    <w:tbl>
      <w:tblPr>
        <w:tblStyle w:val="6"/>
        <w:tblpPr w:leftFromText="180" w:rightFromText="180" w:vertAnchor="text" w:horzAnchor="page" w:tblpX="1974" w:tblpY="12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2300"/>
        <w:gridCol w:w="4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263" w:type="dxa"/>
            <w:noWrap w:val="0"/>
            <w:vAlign w:val="top"/>
          </w:tcPr>
          <w:p>
            <w:pPr>
              <w:widowControl/>
              <w:spacing w:line="240" w:lineRule="auto"/>
              <w:ind w:firstLine="0" w:firstLineChars="0"/>
              <w:jc w:val="center"/>
              <w:rPr>
                <w:rFonts w:hint="eastAsia" w:ascii="仿宋_GB2312" w:hAnsi="仿宋_GB2312" w:eastAsia="仿宋_GB2312" w:cs="仿宋_GB2312"/>
                <w:b/>
                <w:bCs/>
                <w:kern w:val="0"/>
                <w:sz w:val="21"/>
                <w:szCs w:val="21"/>
                <w:lang w:val="en-US" w:eastAsia="zh-Hans"/>
              </w:rPr>
            </w:pPr>
            <w:r>
              <w:rPr>
                <w:rFonts w:hint="eastAsia" w:ascii="仿宋_GB2312" w:hAnsi="仿宋_GB2312" w:eastAsia="仿宋_GB2312" w:cs="仿宋_GB2312"/>
                <w:b/>
                <w:bCs/>
                <w:kern w:val="0"/>
                <w:sz w:val="21"/>
                <w:szCs w:val="21"/>
                <w:lang w:val="en-US" w:eastAsia="zh-Hans"/>
              </w:rPr>
              <w:t>项目</w:t>
            </w:r>
          </w:p>
          <w:p>
            <w:pPr>
              <w:widowControl/>
              <w:spacing w:line="240" w:lineRule="auto"/>
              <w:ind w:firstLine="0" w:firstLineChars="0"/>
              <w:jc w:val="center"/>
              <w:rPr>
                <w:rFonts w:hint="eastAsia" w:ascii="仿宋_GB2312" w:hAnsi="仿宋_GB2312" w:eastAsia="仿宋_GB2312" w:cs="仿宋_GB2312"/>
                <w:kern w:val="0"/>
                <w:sz w:val="21"/>
                <w:szCs w:val="21"/>
                <w:lang w:val="en-US" w:eastAsia="zh-Hans"/>
              </w:rPr>
            </w:pPr>
            <w:r>
              <w:rPr>
                <w:rFonts w:hint="eastAsia" w:ascii="仿宋_GB2312" w:hAnsi="仿宋_GB2312" w:eastAsia="仿宋_GB2312" w:cs="仿宋_GB2312"/>
                <w:b/>
                <w:bCs/>
                <w:kern w:val="0"/>
                <w:sz w:val="21"/>
                <w:szCs w:val="21"/>
                <w:lang w:val="en-US" w:eastAsia="zh-Hans"/>
              </w:rPr>
              <w:t>类型</w:t>
            </w:r>
          </w:p>
        </w:tc>
        <w:tc>
          <w:tcPr>
            <w:tcW w:w="2300" w:type="dxa"/>
            <w:noWrap w:val="0"/>
            <w:vAlign w:val="top"/>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b/>
                <w:bCs/>
                <w:kern w:val="0"/>
                <w:sz w:val="21"/>
                <w:szCs w:val="21"/>
                <w:lang w:val="en-US" w:eastAsia="zh-CN"/>
              </w:rPr>
              <w:t>任务</w:t>
            </w:r>
            <w:r>
              <w:rPr>
                <w:rFonts w:hint="eastAsia" w:ascii="仿宋_GB2312" w:hAnsi="仿宋_GB2312" w:eastAsia="仿宋_GB2312" w:cs="仿宋_GB2312"/>
                <w:b/>
                <w:bCs/>
                <w:kern w:val="0"/>
                <w:sz w:val="21"/>
                <w:szCs w:val="21"/>
                <w:lang w:val="en-US" w:eastAsia="zh-Hans"/>
              </w:rPr>
              <w:t>项目</w:t>
            </w:r>
          </w:p>
        </w:tc>
        <w:tc>
          <w:tcPr>
            <w:tcW w:w="4800" w:type="dxa"/>
            <w:noWrap w:val="0"/>
            <w:vAlign w:val="top"/>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b/>
                <w:bCs/>
                <w:kern w:val="0"/>
                <w:sz w:val="21"/>
                <w:szCs w:val="21"/>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263"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Hans"/>
              </w:rPr>
            </w:pPr>
            <w:r>
              <w:rPr>
                <w:rFonts w:hint="eastAsia" w:ascii="仿宋_GB2312" w:hAnsi="仿宋_GB2312" w:eastAsia="仿宋_GB2312" w:cs="仿宋_GB2312"/>
                <w:kern w:val="0"/>
                <w:sz w:val="21"/>
                <w:szCs w:val="21"/>
                <w:lang w:val="en-US" w:eastAsia="zh-Hans"/>
              </w:rPr>
              <w:t>儿童青少年和社区家庭服务项目</w:t>
            </w:r>
          </w:p>
        </w:tc>
        <w:tc>
          <w:tcPr>
            <w:tcW w:w="2300"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“正青春，正能量”young益青春加油站项目</w:t>
            </w:r>
          </w:p>
        </w:tc>
        <w:tc>
          <w:tcPr>
            <w:tcW w:w="4800"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增加儿童青少年安全知识，提升儿童青少年自我保护、防范危险的能力；培养儿童积极乐观的正面心态，提升儿童青少年抗压抗挫能力；促进儿童青少年社区参与，共建友好社区。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00"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“未来家庭”亲子教育计划项目</w:t>
            </w:r>
          </w:p>
        </w:tc>
        <w:tc>
          <w:tcPr>
            <w:tcW w:w="4800"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促使亲子建立良好的互动交流，形成亲密关系，改善亲子教育观念。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00"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“以爱为名”困境群体关爱行动项目</w:t>
            </w:r>
          </w:p>
        </w:tc>
        <w:tc>
          <w:tcPr>
            <w:tcW w:w="4800"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加强对大鹏办事处困境群体的关爱及支持，加强困境群体网络系统支持力度及增强其潜能，促使该群体更好生活。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00"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节日性活动</w:t>
            </w:r>
          </w:p>
        </w:tc>
        <w:tc>
          <w:tcPr>
            <w:tcW w:w="4800"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社区活动13场、小组12节，预计直接服务人数：850人。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00"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主题活动</w:t>
            </w:r>
          </w:p>
        </w:tc>
        <w:tc>
          <w:tcPr>
            <w:tcW w:w="4800"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社区活动19场、小组24节，预计直接服务人数：600人。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263"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00"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常规服务</w:t>
            </w:r>
          </w:p>
        </w:tc>
        <w:tc>
          <w:tcPr>
            <w:tcW w:w="4800"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7项。</w:t>
            </w:r>
          </w:p>
        </w:tc>
      </w:tr>
    </w:tbl>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u w:val="none"/>
          <w:lang w:val="en-US" w:eastAsia="zh-CN" w:bidi="ar"/>
        </w:rPr>
      </w:pPr>
    </w:p>
    <w:tbl>
      <w:tblPr>
        <w:tblStyle w:val="6"/>
        <w:tblpPr w:leftFromText="180" w:rightFromText="180" w:vertAnchor="text" w:horzAnchor="page" w:tblpX="1933" w:tblpY="3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
        <w:gridCol w:w="1122"/>
        <w:gridCol w:w="2321"/>
        <w:gridCol w:w="4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322" w:type="dxa"/>
            <w:gridSpan w:val="2"/>
            <w:vMerge w:val="restart"/>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Hans"/>
              </w:rPr>
            </w:pPr>
            <w:r>
              <w:rPr>
                <w:rFonts w:hint="eastAsia" w:ascii="仿宋_GB2312" w:hAnsi="仿宋_GB2312" w:eastAsia="仿宋_GB2312" w:cs="仿宋_GB2312"/>
                <w:kern w:val="0"/>
                <w:sz w:val="21"/>
                <w:szCs w:val="21"/>
                <w:lang w:val="en-US" w:eastAsia="zh-Hans"/>
              </w:rPr>
              <w:t>儿童青少年和社区家庭服务项目</w:t>
            </w: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“正青春，正能量”young益青春加油站项目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增加儿童青少年安全知识，提升儿童青少年自我保护、防范危险的能力；培养儿童积极乐观的正面心态，提升儿童青少年抗压抗挫能力；促进儿童青少年社区参与，共建友好社区。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gridSpan w:val="2"/>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“未来家庭”亲子教育计划项目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促使亲子建立良好的互动交流，形成亲密关系，改善亲子教育观念。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“以爱为名”困境群体关爱行动项目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加强对大鹏办事处困境群体的关爱及支持，加强困境群体网络系统支持力度及增强其潜能，促使该群体更好生活。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节日性活动</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社区活动13场、小组12节，预计直接服务人数：850人。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主题活动</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社区活动19场、小组24节，预计直接服务人数：600人。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Height w:val="444" w:hRule="atLeast"/>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常规服务</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7项。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Hans"/>
              </w:rPr>
            </w:pPr>
            <w:r>
              <w:rPr>
                <w:rFonts w:hint="eastAsia" w:ascii="仿宋_GB2312" w:hAnsi="仿宋_GB2312" w:eastAsia="仿宋_GB2312" w:cs="仿宋_GB2312"/>
                <w:kern w:val="0"/>
                <w:sz w:val="21"/>
                <w:szCs w:val="21"/>
                <w:lang w:val="en-US" w:eastAsia="zh-Hans"/>
              </w:rPr>
              <w:t>妇女</w:t>
            </w:r>
            <w:r>
              <w:rPr>
                <w:rFonts w:hint="eastAsia" w:ascii="仿宋_GB2312" w:hAnsi="仿宋_GB2312" w:eastAsia="仿宋_GB2312" w:cs="仿宋_GB2312"/>
                <w:kern w:val="0"/>
                <w:sz w:val="21"/>
                <w:szCs w:val="21"/>
                <w:lang w:eastAsia="zh-Hans"/>
              </w:rPr>
              <w:t>、</w:t>
            </w:r>
            <w:r>
              <w:rPr>
                <w:rFonts w:hint="eastAsia" w:ascii="仿宋_GB2312" w:hAnsi="仿宋_GB2312" w:eastAsia="仿宋_GB2312" w:cs="仿宋_GB2312"/>
                <w:kern w:val="0"/>
                <w:sz w:val="21"/>
                <w:szCs w:val="21"/>
                <w:lang w:val="en-US" w:eastAsia="zh-Hans"/>
              </w:rPr>
              <w:t>社区发展及特色服务项目</w:t>
            </w: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“越健康，悦生活”健康社区营造项目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提高社区居民健康意识，推动社区居民健康行为，营造健康社区环境。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“绿色生活，我们共行动”社区环保服务项目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增强社区居民的环保意识和社区归属感及责任感，发挥社区居民的力量。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“话心说爱共成长”促进社区家庭亲子关系发展项目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提升社区家庭妇女解决问题的能力，助力家长与孩子共同学习共同成长，促进社区家庭亲子关系良好发展。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“欢乐巧佳人”岭澳社区妇女成长项目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秉承助人自助的理念，充分挖掘和发挥妇女自身能力，提升女性自信心和自我认同度，搭建厨艺交流的平台，促进社区互助友爱，推动岭澳社区成为一个友爱互助，幸福和谐的社区。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爱心环保，垃圾分类齐参与项目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通过开展垃圾分类服务活动，集合优势视角、生态系统理论并运用专业的工作方法，主要从社区层面、家庭层面、个人层面三个方向为重点设计相应的主题活动及互动游戏，提高居民环保意识，逐渐让居民掌握基本的垃圾分类知识，养成良好的垃圾分类行为习惯，增强垃圾分类的行动自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“社工相伴，与你同行”社区融合项目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促进社区邻里居民的融合，提升邻里互助意识。</w:t>
            </w:r>
          </w:p>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00" w:type="dxa"/>
        </w:trPr>
        <w:tc>
          <w:tcPr>
            <w:tcW w:w="1122"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p>
        </w:tc>
        <w:tc>
          <w:tcPr>
            <w:tcW w:w="2321" w:type="dxa"/>
            <w:noWrap w:val="0"/>
            <w:vAlign w:val="center"/>
          </w:tcPr>
          <w:p>
            <w:pPr>
              <w:widowControl/>
              <w:spacing w:line="240" w:lineRule="auto"/>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“党建带妇建，带靓半边天”社区妇女自我提升项目</w:t>
            </w:r>
          </w:p>
        </w:tc>
        <w:tc>
          <w:tcPr>
            <w:tcW w:w="4768" w:type="dxa"/>
            <w:noWrap w:val="0"/>
            <w:vAlign w:val="top"/>
          </w:tcPr>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促进社区妇女意识和思维转变，提升自身魅力和价值，从而促进家庭文明和谐，社区健康发展。</w:t>
            </w:r>
          </w:p>
          <w:p>
            <w:pPr>
              <w:widowControl/>
              <w:spacing w:line="240" w:lineRule="auto"/>
              <w:ind w:firstLine="0" w:firstLineChars="0"/>
              <w:jc w:val="left"/>
              <w:rPr>
                <w:rFonts w:hint="eastAsia" w:ascii="仿宋_GB2312" w:hAnsi="仿宋_GB2312" w:eastAsia="仿宋_GB2312" w:cs="仿宋_GB2312"/>
                <w:kern w:val="0"/>
                <w:sz w:val="21"/>
                <w:szCs w:val="21"/>
                <w:lang w:val="en-US" w:eastAsia="zh-CN"/>
              </w:rPr>
            </w:pPr>
          </w:p>
        </w:tc>
      </w:tr>
    </w:tbl>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（12）实际完成率。满分20分，得分15分，得分率为75%。</w:t>
      </w:r>
    </w:p>
    <w:p>
      <w:pPr>
        <w:keepNext w:val="0"/>
        <w:keepLines w:val="0"/>
        <w:widowControl/>
        <w:suppressLineNumbers w:val="0"/>
        <w:ind w:firstLine="640" w:firstLineChars="200"/>
        <w:jc w:val="left"/>
        <w:rPr>
          <w:rFonts w:hint="default" w:ascii="仿宋_GB2312" w:hAnsi="宋体" w:eastAsia="仿宋_GB2312" w:cs="仿宋_GB2312"/>
          <w:color w:val="000000"/>
          <w:kern w:val="0"/>
          <w:sz w:val="32"/>
          <w:szCs w:val="32"/>
          <w:lang w:eastAsia="zh-CN" w:bidi="ar"/>
        </w:rPr>
      </w:pPr>
      <w:r>
        <w:rPr>
          <w:rFonts w:hint="eastAsia" w:ascii="仿宋_GB2312" w:hAnsi="宋体" w:eastAsia="仿宋_GB2312" w:cs="仿宋_GB2312"/>
          <w:color w:val="000000"/>
          <w:kern w:val="0"/>
          <w:sz w:val="32"/>
          <w:szCs w:val="32"/>
          <w:lang w:val="en-US" w:eastAsia="zh-CN" w:bidi="ar"/>
        </w:rPr>
        <w:t>按项目方</w:t>
      </w:r>
      <w:r>
        <w:rPr>
          <w:rFonts w:hint="eastAsia" w:ascii="仿宋_GB2312" w:hAnsi="宋体" w:eastAsia="仿宋_GB2312" w:cs="仿宋_GB2312"/>
          <w:color w:val="000000"/>
          <w:kern w:val="0"/>
          <w:sz w:val="32"/>
          <w:szCs w:val="32"/>
          <w:lang w:val="en-US" w:eastAsia="zh-Hans" w:bidi="ar"/>
        </w:rPr>
        <w:t>提供的</w:t>
      </w:r>
      <w:r>
        <w:rPr>
          <w:rFonts w:hint="default" w:ascii="仿宋_GB2312" w:hAnsi="宋体" w:eastAsia="仿宋_GB2312" w:cs="仿宋_GB2312"/>
          <w:color w:val="000000"/>
          <w:kern w:val="0"/>
          <w:sz w:val="32"/>
          <w:szCs w:val="32"/>
          <w:lang w:eastAsia="zh-Hans" w:bidi="ar"/>
        </w:rPr>
        <w:t>2020</w:t>
      </w:r>
      <w:r>
        <w:rPr>
          <w:rFonts w:hint="eastAsia" w:ascii="仿宋_GB2312" w:hAnsi="宋体" w:eastAsia="仿宋_GB2312" w:cs="仿宋_GB2312"/>
          <w:color w:val="000000"/>
          <w:kern w:val="0"/>
          <w:sz w:val="32"/>
          <w:szCs w:val="32"/>
          <w:lang w:val="en-US" w:eastAsia="zh-Hans" w:bidi="ar"/>
        </w:rPr>
        <w:t>年度</w:t>
      </w:r>
      <w:r>
        <w:rPr>
          <w:rFonts w:hint="eastAsia" w:ascii="仿宋_GB2312" w:hAnsi="宋体" w:eastAsia="仿宋_GB2312" w:cs="仿宋_GB2312"/>
          <w:color w:val="000000"/>
          <w:kern w:val="0"/>
          <w:sz w:val="32"/>
          <w:szCs w:val="32"/>
          <w:lang w:val="en-US" w:eastAsia="zh-CN" w:bidi="ar"/>
        </w:rPr>
        <w:t>工作</w:t>
      </w:r>
      <w:r>
        <w:rPr>
          <w:rFonts w:hint="eastAsia" w:ascii="仿宋_GB2312" w:hAnsi="宋体" w:eastAsia="仿宋_GB2312" w:cs="仿宋_GB2312"/>
          <w:color w:val="000000"/>
          <w:kern w:val="0"/>
          <w:sz w:val="32"/>
          <w:szCs w:val="32"/>
          <w:lang w:val="en-US" w:eastAsia="zh-Hans" w:bidi="ar"/>
        </w:rPr>
        <w:t>规划</w:t>
      </w:r>
      <w:r>
        <w:rPr>
          <w:rFonts w:hint="eastAsia" w:ascii="仿宋_GB2312" w:hAnsi="宋体" w:eastAsia="仿宋_GB2312" w:cs="仿宋_GB2312"/>
          <w:color w:val="000000"/>
          <w:kern w:val="0"/>
          <w:sz w:val="32"/>
          <w:szCs w:val="32"/>
          <w:lang w:val="en-US" w:eastAsia="zh-CN" w:bidi="ar"/>
        </w:rPr>
        <w:t>，项目方应完成如表</w:t>
      </w:r>
      <w:r>
        <w:rPr>
          <w:rFonts w:hint="default" w:ascii="仿宋_GB2312" w:hAnsi="宋体" w:eastAsia="仿宋_GB2312" w:cs="仿宋_GB2312"/>
          <w:color w:val="000000"/>
          <w:kern w:val="0"/>
          <w:sz w:val="32"/>
          <w:szCs w:val="32"/>
          <w:lang w:eastAsia="zh-CN" w:bidi="ar"/>
        </w:rPr>
        <w:t>4</w:t>
      </w:r>
      <w:r>
        <w:rPr>
          <w:rFonts w:hint="eastAsia" w:ascii="仿宋_GB2312" w:hAnsi="宋体" w:eastAsia="仿宋_GB2312" w:cs="仿宋_GB2312"/>
          <w:color w:val="000000"/>
          <w:kern w:val="0"/>
          <w:sz w:val="32"/>
          <w:szCs w:val="32"/>
          <w:lang w:val="en-US" w:eastAsia="zh-Hans" w:bidi="ar"/>
        </w:rPr>
        <w:t>所示</w:t>
      </w:r>
      <w:r>
        <w:rPr>
          <w:rFonts w:hint="eastAsia" w:ascii="仿宋_GB2312" w:hAnsi="宋体" w:eastAsia="仿宋_GB2312" w:cs="仿宋_GB2312"/>
          <w:color w:val="000000"/>
          <w:kern w:val="0"/>
          <w:sz w:val="32"/>
          <w:szCs w:val="32"/>
          <w:lang w:val="en-US" w:eastAsia="zh-CN" w:bidi="ar"/>
        </w:rPr>
        <w:t>的工作</w:t>
      </w:r>
      <w:r>
        <w:rPr>
          <w:rFonts w:hint="eastAsia" w:ascii="仿宋_GB2312" w:hAnsi="宋体" w:eastAsia="仿宋_GB2312" w:cs="仿宋_GB2312"/>
          <w:color w:val="000000"/>
          <w:kern w:val="0"/>
          <w:sz w:val="32"/>
          <w:szCs w:val="32"/>
          <w:lang w:val="en-US" w:eastAsia="zh-Hans" w:bidi="ar"/>
        </w:rPr>
        <w:t>任务</w:t>
      </w:r>
      <w:r>
        <w:rPr>
          <w:rFonts w:hint="eastAsia" w:ascii="仿宋_GB2312" w:hAnsi="宋体" w:eastAsia="仿宋_GB2312" w:cs="仿宋_GB2312"/>
          <w:color w:val="000000"/>
          <w:kern w:val="0"/>
          <w:sz w:val="32"/>
          <w:szCs w:val="32"/>
          <w:lang w:val="en-US" w:eastAsia="zh-CN" w:bidi="ar"/>
        </w:rPr>
        <w:t>目标</w:t>
      </w:r>
      <w:r>
        <w:rPr>
          <w:rFonts w:hint="default" w:ascii="仿宋_GB2312" w:hAnsi="宋体" w:eastAsia="仿宋_GB2312" w:cs="仿宋_GB2312"/>
          <w:color w:val="000000"/>
          <w:kern w:val="0"/>
          <w:sz w:val="32"/>
          <w:szCs w:val="32"/>
          <w:lang w:eastAsia="zh-CN" w:bidi="ar"/>
        </w:rPr>
        <w:t>。</w:t>
      </w:r>
    </w:p>
    <w:p>
      <w:pPr>
        <w:ind w:firstLine="560"/>
        <w:jc w:val="center"/>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表</w:t>
      </w:r>
      <w:r>
        <w:rPr>
          <w:rFonts w:hint="default" w:ascii="黑体" w:hAnsi="黑体" w:eastAsia="黑体" w:cs="黑体"/>
          <w:bCs/>
          <w:sz w:val="28"/>
          <w:szCs w:val="28"/>
          <w:lang w:eastAsia="zh-CN"/>
        </w:rPr>
        <w:t xml:space="preserve">4  </w:t>
      </w:r>
      <w:r>
        <w:rPr>
          <w:rFonts w:hint="eastAsia" w:ascii="黑体" w:hAnsi="黑体" w:eastAsia="黑体" w:cs="黑体"/>
          <w:bCs/>
          <w:sz w:val="28"/>
          <w:szCs w:val="28"/>
          <w:lang w:val="en-US" w:eastAsia="zh-CN"/>
        </w:rPr>
        <w:t>项目工作目标</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由于项目方未提供项目过程及产出的具体材料，无法判断项目的实际完成程度；仅能从服务单位及服务对象的满意度调查中推测项目实际完成率良好。</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（13）质量达标率</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CN" w:bidi="ar"/>
        </w:rPr>
        <w:t>满分5分，实际得分3分，得分率为60%。由于项目方未提供项目过程及产出的具体材料，无法判断项目的实际完成质量；仅能从服务单位及服务对象的满意度调查中推测项目实际完成质量良好。</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（14）完成及时性</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CN" w:bidi="ar"/>
        </w:rPr>
        <w:t>满分5分，实际得分5分，得分率为100%。根据服务单位及服务对象的满意度调查，项目已按时完成。</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0"/>
          <w:szCs w:val="30"/>
          <w:lang w:val="en-US" w:eastAsia="zh-CN" w:bidi="ar"/>
        </w:rPr>
      </w:pPr>
      <w:r>
        <w:rPr>
          <w:rFonts w:hint="eastAsia" w:ascii="仿宋_GB2312" w:hAnsi="宋体" w:eastAsia="仿宋_GB2312" w:cs="仿宋_GB2312"/>
          <w:color w:val="000000"/>
          <w:kern w:val="0"/>
          <w:sz w:val="32"/>
          <w:szCs w:val="32"/>
          <w:lang w:val="en-US" w:eastAsia="zh-CN" w:bidi="ar"/>
        </w:rPr>
        <w:t>（15）成本节约率。满分5分，得分5分，得分率为100%。未超预算，实际成本与计划成本一致。</w:t>
      </w:r>
    </w:p>
    <w:p>
      <w:pPr>
        <w:keepNext w:val="0"/>
        <w:keepLines w:val="0"/>
        <w:widowControl/>
        <w:suppressLineNumbers w:val="0"/>
        <w:ind w:firstLine="640" w:firstLineChars="200"/>
        <w:jc w:val="left"/>
        <w:rPr>
          <w:rFonts w:hint="eastAsia" w:ascii="楷体_GB2312" w:hAnsi="楷体_GB2312" w:eastAsia="楷体_GB2312" w:cs="楷体_GB2312"/>
          <w:color w:val="000000"/>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（四）项目效益情况</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从实施效益和满意度两个方面考察项目效果情况，该项满分30分，得分25分，得分率为83.3%。三级指标得分情况如下：</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（16）实施效益</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CN" w:bidi="ar"/>
        </w:rPr>
        <w:t>满分25分，实际得分20分，得分率为80%。由于项目方未提供项目过程及产出的具体材料，无法判断项目的实际实施效益；仅能从服务单位及服务对象的满意度调查中推测项目实际实施效益良好。</w:t>
      </w:r>
    </w:p>
    <w:p>
      <w:pPr>
        <w:keepNext w:val="0"/>
        <w:keepLines w:val="0"/>
        <w:widowControl/>
        <w:suppressLineNumbers w:val="0"/>
        <w:ind w:firstLine="640" w:firstLineChars="200"/>
        <w:jc w:val="left"/>
        <w:rPr>
          <w:rFonts w:hint="default" w:ascii="仿宋_GB2312" w:hAnsi="宋体" w:eastAsia="仿宋_GB2312" w:cs="仿宋_GB2312"/>
          <w:color w:val="000000"/>
          <w:kern w:val="0"/>
          <w:sz w:val="32"/>
          <w:szCs w:val="32"/>
          <w:lang w:val="en-US" w:eastAsia="zh-CN" w:bidi="ar"/>
        </w:rPr>
      </w:pPr>
      <w:r>
        <w:rPr>
          <w:rFonts w:hint="default" w:ascii="仿宋_GB2312" w:hAnsi="宋体" w:eastAsia="仿宋_GB2312" w:cs="仿宋_GB2312"/>
          <w:color w:val="000000"/>
          <w:kern w:val="0"/>
          <w:sz w:val="32"/>
          <w:szCs w:val="32"/>
          <w:lang w:eastAsia="zh-CN" w:bidi="ar"/>
        </w:rPr>
        <w:t>（17）</w:t>
      </w:r>
      <w:r>
        <w:rPr>
          <w:rFonts w:hint="eastAsia" w:ascii="仿宋_GB2312" w:hAnsi="宋体" w:eastAsia="仿宋_GB2312" w:cs="仿宋_GB2312"/>
          <w:color w:val="000000"/>
          <w:kern w:val="0"/>
          <w:sz w:val="32"/>
          <w:szCs w:val="32"/>
          <w:lang w:val="en-US" w:eastAsia="zh-CN" w:bidi="ar"/>
        </w:rPr>
        <w:t>满意度。满分5分，得分5分，得分率为100%。项目对服务单位及服务对象分别作了满意度调查，满意度大于95%。</w:t>
      </w:r>
    </w:p>
    <w:p>
      <w:pPr>
        <w:keepNext w:val="0"/>
        <w:keepLines w:val="0"/>
        <w:widowControl/>
        <w:suppressLineNumbers w:val="0"/>
        <w:ind w:firstLine="640" w:firstLineChars="200"/>
        <w:jc w:val="left"/>
      </w:pPr>
      <w:r>
        <w:rPr>
          <w:rFonts w:hint="eastAsia" w:ascii="黑体" w:hAnsi="宋体" w:eastAsia="黑体" w:cs="黑体"/>
          <w:color w:val="000000"/>
          <w:kern w:val="0"/>
          <w:sz w:val="32"/>
          <w:szCs w:val="32"/>
          <w:lang w:val="en-US" w:eastAsia="zh-CN" w:bidi="ar"/>
        </w:rPr>
        <w:t>五、主要经验及做法</w:t>
      </w:r>
      <w:r>
        <w:rPr>
          <w:rFonts w:hint="eastAsia" w:ascii="黑体" w:hAnsi="宋体" w:eastAsia="黑体" w:cs="黑体"/>
          <w:color w:val="000000"/>
          <w:kern w:val="0"/>
          <w:sz w:val="30"/>
          <w:szCs w:val="30"/>
          <w:lang w:val="en-US" w:eastAsia="zh-CN" w:bidi="ar"/>
        </w:rPr>
        <w:t xml:space="preserve"> </w:t>
      </w:r>
    </w:p>
    <w:p>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项目根据不同社区的具体环境，设计不同的社区服务项目，既覆盖普遍的社区服务需求，又结合当地社区的特色，能有效发挥社区服务的社会效益。如妇女项目中的“欢乐巧佳人”岭澳社区妇女成长项目，既提升社区妇女的自我认同度，又与当地社区的特色美食制作相结合，更与社区敬老助老活动相结合，充分联结社区的不同人群，社区服务的社会效益极佳。</w:t>
      </w:r>
    </w:p>
    <w:p>
      <w:pPr>
        <w:keepNext w:val="0"/>
        <w:keepLines w:val="0"/>
        <w:widowControl/>
        <w:numPr>
          <w:ilvl w:val="0"/>
          <w:numId w:val="4"/>
        </w:numPr>
        <w:suppressLineNumbers w:val="0"/>
        <w:ind w:firstLine="640" w:firstLineChars="200"/>
        <w:jc w:val="left"/>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存在的问题及原因分析 </w:t>
      </w:r>
    </w:p>
    <w:p>
      <w:pPr>
        <w:keepNext w:val="0"/>
        <w:keepLines w:val="0"/>
        <w:widowControl/>
        <w:numPr>
          <w:ilvl w:val="0"/>
          <w:numId w:val="5"/>
        </w:numPr>
        <w:suppressLineNumbers w:val="0"/>
        <w:ind w:firstLine="642" w:firstLineChars="200"/>
        <w:jc w:val="left"/>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项目方未设置绩效指标</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项目方在其工作计划中详细列出了量化的工作目标，具有较强的可操作性，但未能进一步根据这些工作目标列出绩效指标，致使评价方无法有效对项目运营作出准确的绩效评价，亦未能全面体现项目方的工作成果。造成这种问题的原因在于</w:t>
      </w:r>
      <w:r>
        <w:rPr>
          <w:rFonts w:hint="eastAsia" w:ascii="仿宋_GB2312" w:hAnsi="仿宋_GB2312" w:eastAsia="仿宋_GB2312" w:cs="仿宋_GB2312"/>
          <w:color w:val="000000"/>
          <w:kern w:val="0"/>
          <w:sz w:val="32"/>
          <w:szCs w:val="32"/>
          <w:lang w:val="en-US" w:eastAsia="zh-Hans" w:bidi="ar"/>
        </w:rPr>
        <w:t>项目方</w:t>
      </w:r>
      <w:r>
        <w:rPr>
          <w:rFonts w:hint="eastAsia" w:ascii="仿宋_GB2312" w:hAnsi="仿宋_GB2312" w:eastAsia="仿宋_GB2312" w:cs="仿宋_GB2312"/>
          <w:color w:val="000000"/>
          <w:kern w:val="0"/>
          <w:sz w:val="32"/>
          <w:szCs w:val="32"/>
          <w:lang w:val="en-US" w:eastAsia="zh-CN" w:bidi="ar"/>
        </w:rPr>
        <w:t>缺乏绩效考核的意识</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val="en-US" w:eastAsia="zh-Hans" w:bidi="ar"/>
        </w:rPr>
        <w:t>未在工作实践中开展有效的绩效管理</w:t>
      </w:r>
      <w:r>
        <w:rPr>
          <w:rFonts w:hint="eastAsia" w:ascii="仿宋_GB2312" w:hAnsi="仿宋_GB2312" w:eastAsia="仿宋_GB2312" w:cs="仿宋_GB2312"/>
          <w:color w:val="000000"/>
          <w:kern w:val="0"/>
          <w:sz w:val="32"/>
          <w:szCs w:val="32"/>
          <w:lang w:val="en-US" w:eastAsia="zh-CN" w:bidi="ar"/>
        </w:rPr>
        <w:t>。</w:t>
      </w:r>
    </w:p>
    <w:p>
      <w:pPr>
        <w:keepNext w:val="0"/>
        <w:keepLines w:val="0"/>
        <w:widowControl/>
        <w:numPr>
          <w:ilvl w:val="0"/>
          <w:numId w:val="6"/>
        </w:numPr>
        <w:suppressLineNumbers w:val="0"/>
        <w:ind w:firstLine="642" w:firstLineChars="200"/>
        <w:jc w:val="left"/>
        <w:rPr>
          <w:rFonts w:hint="eastAsia" w:ascii="仿宋_GB2312" w:hAnsi="仿宋_GB2312" w:eastAsia="仿宋_GB2312" w:cs="仿宋_GB2312"/>
          <w:b/>
          <w:bCs/>
          <w:color w:val="000000"/>
          <w:kern w:val="0"/>
          <w:sz w:val="32"/>
          <w:szCs w:val="32"/>
          <w:lang w:eastAsia="zh-Hans" w:bidi="ar"/>
        </w:rPr>
      </w:pPr>
      <w:r>
        <w:rPr>
          <w:rFonts w:hint="eastAsia" w:ascii="仿宋_GB2312" w:hAnsi="仿宋_GB2312" w:eastAsia="仿宋_GB2312" w:cs="仿宋_GB2312"/>
          <w:b/>
          <w:bCs/>
          <w:color w:val="000000"/>
          <w:kern w:val="0"/>
          <w:sz w:val="32"/>
          <w:szCs w:val="32"/>
          <w:lang w:val="en-US" w:eastAsia="zh-Hans" w:bidi="ar"/>
        </w:rPr>
        <w:t>管理制度未能及时更新</w:t>
      </w:r>
      <w:r>
        <w:rPr>
          <w:rFonts w:hint="eastAsia" w:ascii="仿宋_GB2312" w:hAnsi="仿宋_GB2312" w:eastAsia="仿宋_GB2312" w:cs="仿宋_GB2312"/>
          <w:b/>
          <w:bCs/>
          <w:color w:val="000000"/>
          <w:kern w:val="0"/>
          <w:sz w:val="32"/>
          <w:szCs w:val="32"/>
          <w:lang w:eastAsia="zh-Hans" w:bidi="ar"/>
        </w:rPr>
        <w:t>，</w:t>
      </w:r>
      <w:r>
        <w:rPr>
          <w:rFonts w:hint="eastAsia" w:ascii="仿宋_GB2312" w:hAnsi="仿宋_GB2312" w:eastAsia="仿宋_GB2312" w:cs="仿宋_GB2312"/>
          <w:b/>
          <w:bCs/>
          <w:color w:val="000000"/>
          <w:kern w:val="0"/>
          <w:sz w:val="32"/>
          <w:szCs w:val="32"/>
          <w:lang w:val="en-US" w:eastAsia="zh-Hans" w:bidi="ar"/>
        </w:rPr>
        <w:t>财务管理办法不够完善</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Hans" w:bidi="ar"/>
        </w:rPr>
        <w:t>一是执行的管理制度未能及时有效更新</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eastAsia="zh-CN" w:bidi="ar"/>
        </w:rPr>
        <w:t>依照</w:t>
      </w:r>
      <w:r>
        <w:rPr>
          <w:rFonts w:hint="eastAsia" w:ascii="仿宋_GB2312" w:hAnsi="仿宋_GB2312" w:eastAsia="仿宋_GB2312" w:cs="仿宋_GB2312"/>
          <w:color w:val="000000"/>
          <w:kern w:val="0"/>
          <w:sz w:val="32"/>
          <w:szCs w:val="32"/>
          <w:lang w:val="en-US" w:eastAsia="zh-Hans" w:bidi="ar"/>
        </w:rPr>
        <w:t>项目方提供材料显示</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本项目主要根据</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大鹏新区社区党群服务中心运营改革实施方案的通知</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关于印发大鹏新区枢纽型社区党群服务中心建设与运营标准的函</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关于启动社区党群服务中心服务采购工作的函</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等文件执行</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上述文件均为</w:t>
      </w:r>
      <w:r>
        <w:rPr>
          <w:rFonts w:hint="eastAsia" w:ascii="仿宋_GB2312" w:hAnsi="仿宋_GB2312" w:eastAsia="仿宋_GB2312" w:cs="仿宋_GB2312"/>
          <w:color w:val="000000"/>
          <w:kern w:val="0"/>
          <w:sz w:val="32"/>
          <w:szCs w:val="32"/>
          <w:lang w:eastAsia="zh-Hans" w:bidi="ar"/>
        </w:rPr>
        <w:t>2016</w:t>
      </w:r>
      <w:r>
        <w:rPr>
          <w:rFonts w:hint="eastAsia" w:ascii="仿宋_GB2312" w:hAnsi="仿宋_GB2312" w:eastAsia="仿宋_GB2312" w:cs="仿宋_GB2312"/>
          <w:color w:val="000000"/>
          <w:kern w:val="0"/>
          <w:sz w:val="32"/>
          <w:szCs w:val="32"/>
          <w:lang w:val="en-US" w:eastAsia="zh-Hans" w:bidi="ar"/>
        </w:rPr>
        <w:t>年或</w:t>
      </w:r>
      <w:r>
        <w:rPr>
          <w:rFonts w:hint="eastAsia" w:ascii="仿宋_GB2312" w:hAnsi="仿宋_GB2312" w:eastAsia="仿宋_GB2312" w:cs="仿宋_GB2312"/>
          <w:color w:val="000000"/>
          <w:kern w:val="0"/>
          <w:sz w:val="32"/>
          <w:szCs w:val="32"/>
          <w:lang w:eastAsia="zh-Hans" w:bidi="ar"/>
        </w:rPr>
        <w:t>2017</w:t>
      </w:r>
      <w:r>
        <w:rPr>
          <w:rFonts w:hint="eastAsia" w:ascii="仿宋_GB2312" w:hAnsi="仿宋_GB2312" w:eastAsia="仿宋_GB2312" w:cs="仿宋_GB2312"/>
          <w:color w:val="000000"/>
          <w:kern w:val="0"/>
          <w:sz w:val="32"/>
          <w:szCs w:val="32"/>
          <w:lang w:val="en-US" w:eastAsia="zh-Hans" w:bidi="ar"/>
        </w:rPr>
        <w:t>年出台政策文件</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与地区经济和社区发展变化情况存在一定差异</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直接导致建设标准较低</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社工人员经费低于社会消费水平</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二是未制定专项财务管理办法</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大</w:t>
      </w:r>
      <w:r>
        <w:rPr>
          <w:rFonts w:hint="eastAsia" w:ascii="仿宋_GB2312" w:hAnsi="仿宋_GB2312" w:eastAsia="仿宋_GB2312" w:cs="仿宋_GB2312"/>
          <w:color w:val="000000"/>
          <w:kern w:val="0"/>
          <w:sz w:val="32"/>
          <w:szCs w:val="32"/>
          <w:lang w:val="en-US" w:eastAsia="zh-CN" w:bidi="ar"/>
        </w:rPr>
        <w:t>鹏办事处制定了《大鹏办事处财务管理规定》，确保了项目资金专款专用，但</w:t>
      </w:r>
      <w:r>
        <w:rPr>
          <w:rFonts w:hint="eastAsia" w:ascii="仿宋_GB2312" w:hAnsi="仿宋_GB2312" w:eastAsia="仿宋_GB2312" w:cs="仿宋_GB2312"/>
          <w:color w:val="000000"/>
          <w:kern w:val="0"/>
          <w:sz w:val="32"/>
          <w:szCs w:val="32"/>
          <w:lang w:val="en-US" w:eastAsia="zh-Hans" w:bidi="ar"/>
        </w:rPr>
        <w:t>未制定</w:t>
      </w:r>
      <w:r>
        <w:rPr>
          <w:rFonts w:hint="eastAsia" w:ascii="仿宋_GB2312" w:hAnsi="仿宋_GB2312" w:eastAsia="仿宋_GB2312" w:cs="仿宋_GB2312"/>
          <w:color w:val="000000"/>
          <w:kern w:val="0"/>
          <w:sz w:val="32"/>
          <w:szCs w:val="32"/>
          <w:lang w:val="en-US" w:eastAsia="zh-CN" w:bidi="ar"/>
        </w:rPr>
        <w:t>专项</w:t>
      </w:r>
      <w:r>
        <w:rPr>
          <w:rFonts w:hint="eastAsia" w:ascii="仿宋_GB2312" w:hAnsi="仿宋_GB2312" w:eastAsia="仿宋_GB2312" w:cs="仿宋_GB2312"/>
          <w:color w:val="000000"/>
          <w:kern w:val="0"/>
          <w:sz w:val="32"/>
          <w:szCs w:val="32"/>
          <w:lang w:val="en-US" w:eastAsia="zh-Hans" w:bidi="ar"/>
        </w:rPr>
        <w:t>资金管理办法和本项目的资金使用规范</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未能从政策制度上确保专项资金使用的安全性</w:t>
      </w:r>
      <w:r>
        <w:rPr>
          <w:rFonts w:hint="eastAsia" w:ascii="仿宋_GB2312" w:hAnsi="仿宋_GB2312" w:eastAsia="仿宋_GB2312" w:cs="仿宋_GB2312"/>
          <w:color w:val="000000"/>
          <w:kern w:val="0"/>
          <w:sz w:val="32"/>
          <w:szCs w:val="32"/>
          <w:lang w:val="en-US" w:eastAsia="zh-CN" w:bidi="ar"/>
        </w:rPr>
        <w:t>。</w:t>
      </w:r>
    </w:p>
    <w:p>
      <w:pPr>
        <w:keepNext w:val="0"/>
        <w:keepLines w:val="0"/>
        <w:widowControl/>
        <w:numPr>
          <w:ilvl w:val="0"/>
          <w:numId w:val="6"/>
        </w:numPr>
        <w:suppressLineNumbers w:val="0"/>
        <w:ind w:firstLine="642" w:firstLineChars="200"/>
        <w:jc w:val="left"/>
        <w:rPr>
          <w:rFonts w:hint="eastAsia" w:ascii="仿宋_GB2312" w:hAnsi="仿宋_GB2312" w:eastAsia="仿宋_GB2312" w:cs="仿宋_GB2312"/>
          <w:b/>
          <w:bCs/>
          <w:color w:val="000000"/>
          <w:kern w:val="0"/>
          <w:sz w:val="32"/>
          <w:szCs w:val="32"/>
          <w:lang w:eastAsia="zh-Hans" w:bidi="ar"/>
        </w:rPr>
      </w:pPr>
      <w:r>
        <w:rPr>
          <w:rFonts w:hint="eastAsia" w:ascii="仿宋_GB2312" w:hAnsi="仿宋_GB2312" w:eastAsia="仿宋_GB2312" w:cs="仿宋_GB2312"/>
          <w:b/>
          <w:bCs/>
          <w:color w:val="000000"/>
          <w:kern w:val="0"/>
          <w:sz w:val="32"/>
          <w:szCs w:val="32"/>
          <w:lang w:val="en-US" w:eastAsia="zh-Hans" w:bidi="ar"/>
        </w:rPr>
        <w:t>缺乏项目成效佐证材料</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项目方未提供项目运营的过程及成果材料，致使评价方无法具体判断项目的实施过程、完成情况和社会效益。这一方面是由于项目方未充分整理项目营运的过程及成果材料，另一方面则是由于项目方对绩效评价认识不充分。项目方认为绩效评价主要侧重于对财政资金使用的考核，而未意识到绩效评价同时亦关注业务工作与财政资金投入之间的关系。绩效评价所关注的财政资金的使用效率，需要通过业务工作的过程及成果与财政资金投入之间的关系来体现，因此在实施绩效评价的过程中，必须要参考业务工作的过程及成果材料。</w:t>
      </w:r>
    </w:p>
    <w:p>
      <w:pPr>
        <w:keepNext w:val="0"/>
        <w:keepLines w:val="0"/>
        <w:widowControl/>
        <w:suppressLineNumbers w:val="0"/>
        <w:ind w:firstLine="640" w:firstLineChars="20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七、有关建议</w:t>
      </w:r>
    </w:p>
    <w:p>
      <w:pPr>
        <w:keepNext w:val="0"/>
        <w:keepLines w:val="0"/>
        <w:widowControl/>
        <w:numPr>
          <w:ilvl w:val="0"/>
          <w:numId w:val="0"/>
        </w:numPr>
        <w:suppressLineNumbers w:val="0"/>
        <w:ind w:firstLine="642" w:firstLineChars="200"/>
        <w:jc w:val="left"/>
        <w:rPr>
          <w:rFonts w:hint="eastAsia" w:ascii="仿宋_GB2312" w:hAnsi="宋体" w:eastAsia="仿宋_GB2312" w:cs="仿宋_GB2312"/>
          <w:b/>
          <w:bCs/>
          <w:color w:val="000000"/>
          <w:kern w:val="0"/>
          <w:sz w:val="32"/>
          <w:szCs w:val="32"/>
          <w:lang w:val="en-US" w:eastAsia="zh-CN" w:bidi="ar"/>
        </w:rPr>
      </w:pPr>
      <w:r>
        <w:rPr>
          <w:rFonts w:hint="eastAsia" w:ascii="仿宋_GB2312" w:hAnsi="宋体" w:eastAsia="仿宋_GB2312" w:cs="仿宋_GB2312"/>
          <w:b/>
          <w:bCs/>
          <w:color w:val="000000"/>
          <w:kern w:val="0"/>
          <w:sz w:val="32"/>
          <w:szCs w:val="32"/>
          <w:lang w:val="en-US" w:eastAsia="zh-CN" w:bidi="ar"/>
        </w:rPr>
        <w:t>1.</w:t>
      </w:r>
      <w:r>
        <w:rPr>
          <w:rFonts w:hint="eastAsia" w:ascii="仿宋_GB2312" w:hAnsi="宋体" w:eastAsia="仿宋_GB2312" w:cs="仿宋_GB2312"/>
          <w:b/>
          <w:bCs/>
          <w:color w:val="000000"/>
          <w:kern w:val="0"/>
          <w:sz w:val="32"/>
          <w:szCs w:val="32"/>
          <w:lang w:val="en-US" w:eastAsia="zh-Hans" w:bidi="ar"/>
        </w:rPr>
        <w:t>树立绩效管理意识</w:t>
      </w:r>
    </w:p>
    <w:p>
      <w:pPr>
        <w:keepNext w:val="0"/>
        <w:keepLines w:val="0"/>
        <w:widowControl/>
        <w:numPr>
          <w:ilvl w:val="0"/>
          <w:numId w:val="0"/>
        </w:numPr>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强化项目方的绩效考核意识，依据其工作计划中的量化工作目标，参考绩效评价体系，制定符合实际的绩效指标体系。虽然列出量化的工作目标有助于细化工作的安排与推进，但不能达到设置绩效指标体系的效果。设置绩效指标，除同样有助于明确量化的业务工作内容之外，还能体现业务工作与资金投入之间的关系，有助于提高资金使用效率。运行项目不能仅考虑业务工作的完成情况，还要考虑达成此业务工作成果所花费的资金投入成本，以保障业务工作的长期存续和不断提升。</w:t>
      </w:r>
    </w:p>
    <w:p>
      <w:pPr>
        <w:keepNext w:val="0"/>
        <w:keepLines w:val="0"/>
        <w:widowControl/>
        <w:numPr>
          <w:ilvl w:val="0"/>
          <w:numId w:val="0"/>
        </w:numPr>
        <w:suppressLineNumbers w:val="0"/>
        <w:ind w:firstLine="642" w:firstLineChars="200"/>
        <w:jc w:val="left"/>
        <w:rPr>
          <w:rFonts w:hint="eastAsia" w:ascii="仿宋_GB2312" w:hAnsi="宋体" w:eastAsia="仿宋_GB2312" w:cs="仿宋_GB2312"/>
          <w:b/>
          <w:bCs/>
          <w:color w:val="000000"/>
          <w:kern w:val="0"/>
          <w:sz w:val="32"/>
          <w:szCs w:val="32"/>
          <w:lang w:val="en-US" w:eastAsia="zh-CN" w:bidi="ar"/>
        </w:rPr>
      </w:pPr>
      <w:r>
        <w:rPr>
          <w:rFonts w:hint="eastAsia" w:ascii="仿宋_GB2312" w:hAnsi="宋体" w:eastAsia="仿宋_GB2312" w:cs="仿宋_GB2312"/>
          <w:b/>
          <w:bCs/>
          <w:color w:val="000000"/>
          <w:kern w:val="0"/>
          <w:sz w:val="32"/>
          <w:szCs w:val="32"/>
          <w:lang w:val="en-US" w:eastAsia="zh-CN" w:bidi="ar"/>
        </w:rPr>
        <w:t>2.</w:t>
      </w:r>
      <w:r>
        <w:rPr>
          <w:rFonts w:hint="eastAsia" w:ascii="仿宋_GB2312" w:hAnsi="宋体" w:eastAsia="仿宋_GB2312" w:cs="仿宋_GB2312"/>
          <w:b/>
          <w:bCs/>
          <w:color w:val="000000"/>
          <w:kern w:val="0"/>
          <w:sz w:val="32"/>
          <w:szCs w:val="32"/>
          <w:lang w:val="en-US" w:eastAsia="zh-Hans" w:bidi="ar"/>
        </w:rPr>
        <w:t>及时更新完善项目资金管理办法</w:t>
      </w:r>
    </w:p>
    <w:p>
      <w:pPr>
        <w:keepNext w:val="0"/>
        <w:keepLines w:val="0"/>
        <w:widowControl/>
        <w:numPr>
          <w:ilvl w:val="0"/>
          <w:numId w:val="0"/>
        </w:numPr>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Hans" w:bidi="ar"/>
        </w:rPr>
        <w:t>更新项目管理办法</w:t>
      </w:r>
      <w:r>
        <w:rPr>
          <w:rFonts w:hint="eastAsia" w:ascii="仿宋_GB2312" w:hAnsi="宋体" w:eastAsia="仿宋_GB2312" w:cs="仿宋_GB2312"/>
          <w:color w:val="000000"/>
          <w:kern w:val="0"/>
          <w:sz w:val="32"/>
          <w:szCs w:val="32"/>
          <w:lang w:val="en-US" w:eastAsia="zh-CN" w:bidi="ar"/>
        </w:rPr>
        <w:t>，针对专项经费制定</w:t>
      </w:r>
      <w:r>
        <w:rPr>
          <w:rFonts w:hint="eastAsia" w:ascii="仿宋_GB2312" w:hAnsi="宋体" w:eastAsia="仿宋_GB2312" w:cs="仿宋_GB2312"/>
          <w:color w:val="000000"/>
          <w:kern w:val="0"/>
          <w:sz w:val="32"/>
          <w:szCs w:val="32"/>
          <w:lang w:val="en-US" w:eastAsia="zh-Hans" w:bidi="ar"/>
        </w:rPr>
        <w:t>专项经费</w:t>
      </w:r>
      <w:r>
        <w:rPr>
          <w:rFonts w:hint="eastAsia" w:ascii="仿宋_GB2312" w:hAnsi="宋体" w:eastAsia="仿宋_GB2312" w:cs="仿宋_GB2312"/>
          <w:color w:val="000000"/>
          <w:kern w:val="0"/>
          <w:sz w:val="32"/>
          <w:szCs w:val="32"/>
          <w:lang w:val="en-US" w:eastAsia="zh-CN" w:bidi="ar"/>
        </w:rPr>
        <w:t>管理规定。</w:t>
      </w:r>
      <w:r>
        <w:rPr>
          <w:rFonts w:hint="eastAsia" w:ascii="仿宋_GB2312" w:hAnsi="宋体" w:eastAsia="仿宋_GB2312" w:cs="仿宋_GB2312"/>
          <w:color w:val="000000"/>
          <w:kern w:val="0"/>
          <w:sz w:val="32"/>
          <w:szCs w:val="32"/>
          <w:lang w:val="en-US" w:eastAsia="zh-Hans" w:bidi="ar"/>
        </w:rPr>
        <w:t>深圳市大鹏新区统战和社会建设局于</w:t>
      </w:r>
      <w:r>
        <w:rPr>
          <w:rFonts w:hint="default" w:ascii="仿宋_GB2312" w:hAnsi="宋体" w:eastAsia="仿宋_GB2312" w:cs="仿宋_GB2312"/>
          <w:color w:val="000000"/>
          <w:kern w:val="0"/>
          <w:sz w:val="32"/>
          <w:szCs w:val="32"/>
          <w:lang w:eastAsia="zh-Hans" w:bidi="ar"/>
        </w:rPr>
        <w:t>2020</w:t>
      </w:r>
      <w:r>
        <w:rPr>
          <w:rFonts w:hint="eastAsia" w:ascii="仿宋_GB2312" w:hAnsi="宋体" w:eastAsia="仿宋_GB2312" w:cs="仿宋_GB2312"/>
          <w:color w:val="000000"/>
          <w:kern w:val="0"/>
          <w:sz w:val="32"/>
          <w:szCs w:val="32"/>
          <w:lang w:val="en-US" w:eastAsia="zh-Hans" w:bidi="ar"/>
        </w:rPr>
        <w:t>年</w:t>
      </w:r>
      <w:r>
        <w:rPr>
          <w:rFonts w:hint="default" w:ascii="仿宋_GB2312" w:hAnsi="宋体" w:eastAsia="仿宋_GB2312" w:cs="仿宋_GB2312"/>
          <w:color w:val="000000"/>
          <w:kern w:val="0"/>
          <w:sz w:val="32"/>
          <w:szCs w:val="32"/>
          <w:lang w:eastAsia="zh-Hans" w:bidi="ar"/>
        </w:rPr>
        <w:t>6</w:t>
      </w:r>
      <w:r>
        <w:rPr>
          <w:rFonts w:hint="eastAsia" w:ascii="仿宋_GB2312" w:hAnsi="宋体" w:eastAsia="仿宋_GB2312" w:cs="仿宋_GB2312"/>
          <w:color w:val="000000"/>
          <w:kern w:val="0"/>
          <w:sz w:val="32"/>
          <w:szCs w:val="32"/>
          <w:lang w:val="en-US" w:eastAsia="zh-Hans" w:bidi="ar"/>
        </w:rPr>
        <w:t>月印发</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Hans" w:bidi="ar"/>
        </w:rPr>
        <w:t>深圳市大鹏新区枢纽型社区党群服务中心建设与运营标准</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修订版</w:t>
      </w:r>
      <w:r>
        <w:rPr>
          <w:rFonts w:hint="default" w:ascii="仿宋_GB2312" w:hAnsi="宋体" w:eastAsia="仿宋_GB2312" w:cs="仿宋_GB2312"/>
          <w:color w:val="000000"/>
          <w:kern w:val="0"/>
          <w:sz w:val="32"/>
          <w:szCs w:val="32"/>
          <w:lang w:eastAsia="zh-Hans" w:bidi="ar"/>
        </w:rPr>
        <w:t>）</w:t>
      </w:r>
      <w:r>
        <w:rPr>
          <w:rFonts w:hint="default" w:ascii="仿宋_GB2312" w:hAnsi="宋体" w:eastAsia="仿宋_GB2312" w:cs="仿宋_GB2312"/>
          <w:color w:val="000000"/>
          <w:kern w:val="0"/>
          <w:sz w:val="32"/>
          <w:szCs w:val="32"/>
          <w:lang w:eastAsia="zh-CN" w:bidi="ar"/>
        </w:rPr>
        <w:t>》</w:t>
      </w:r>
      <w:r>
        <w:rPr>
          <w:rFonts w:hint="eastAsia" w:ascii="仿宋_GB2312" w:hAnsi="宋体" w:eastAsia="仿宋_GB2312" w:cs="仿宋_GB2312"/>
          <w:color w:val="000000"/>
          <w:kern w:val="0"/>
          <w:sz w:val="32"/>
          <w:szCs w:val="32"/>
          <w:lang w:val="en-US" w:eastAsia="zh-Hans" w:bidi="ar"/>
        </w:rPr>
        <w:t>和</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大鹏新区社区党群服务中心服务项目采购工作指引</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修订版</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对开展社区党群服务中心社会化服务运营工作的相关规定进行了更新完善</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建议项目方及时按照上述相关规定开展社会化服务运营工作</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确保党群服务中心运营绩效</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此外</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建议项目方尽快出台专项资金管理规定</w:t>
      </w:r>
      <w:r>
        <w:rPr>
          <w:rFonts w:hint="default" w:ascii="仿宋_GB2312" w:hAnsi="宋体" w:eastAsia="仿宋_GB2312" w:cs="仿宋_GB2312"/>
          <w:color w:val="000000"/>
          <w:kern w:val="0"/>
          <w:sz w:val="32"/>
          <w:szCs w:val="32"/>
          <w:lang w:eastAsia="zh-Hans" w:bidi="ar"/>
        </w:rPr>
        <w:t>，</w:t>
      </w:r>
      <w:r>
        <w:rPr>
          <w:rFonts w:hint="eastAsia" w:ascii="仿宋_GB2312" w:hAnsi="宋体" w:eastAsia="仿宋_GB2312" w:cs="仿宋_GB2312"/>
          <w:color w:val="000000"/>
          <w:kern w:val="0"/>
          <w:sz w:val="32"/>
          <w:szCs w:val="32"/>
          <w:lang w:val="en-US" w:eastAsia="zh-Hans" w:bidi="ar"/>
        </w:rPr>
        <w:t>规范专项资金使用</w:t>
      </w:r>
      <w:r>
        <w:rPr>
          <w:rFonts w:hint="default" w:ascii="仿宋_GB2312" w:hAnsi="宋体" w:eastAsia="仿宋_GB2312" w:cs="仿宋_GB2312"/>
          <w:color w:val="000000"/>
          <w:kern w:val="0"/>
          <w:sz w:val="32"/>
          <w:szCs w:val="32"/>
          <w:lang w:eastAsia="zh-Hans" w:bidi="ar"/>
        </w:rPr>
        <w:t>。</w:t>
      </w:r>
    </w:p>
    <w:p>
      <w:pPr>
        <w:keepNext w:val="0"/>
        <w:keepLines w:val="0"/>
        <w:widowControl/>
        <w:numPr>
          <w:ilvl w:val="0"/>
          <w:numId w:val="0"/>
        </w:numPr>
        <w:suppressLineNumbers w:val="0"/>
        <w:ind w:firstLine="642" w:firstLineChars="200"/>
        <w:jc w:val="left"/>
        <w:rPr>
          <w:rFonts w:hint="eastAsia" w:ascii="仿宋_GB2312" w:hAnsi="宋体" w:eastAsia="仿宋_GB2312" w:cs="仿宋_GB2312"/>
          <w:b/>
          <w:bCs/>
          <w:color w:val="000000"/>
          <w:kern w:val="0"/>
          <w:sz w:val="32"/>
          <w:szCs w:val="32"/>
          <w:lang w:val="en-US" w:eastAsia="zh-CN" w:bidi="ar"/>
        </w:rPr>
      </w:pPr>
      <w:r>
        <w:rPr>
          <w:rFonts w:hint="eastAsia" w:ascii="仿宋_GB2312" w:hAnsi="宋体" w:eastAsia="仿宋_GB2312" w:cs="仿宋_GB2312"/>
          <w:b/>
          <w:bCs/>
          <w:color w:val="000000"/>
          <w:kern w:val="0"/>
          <w:sz w:val="32"/>
          <w:szCs w:val="32"/>
          <w:lang w:val="en-US" w:eastAsia="zh-CN" w:bidi="ar"/>
        </w:rPr>
        <w:t>3.</w:t>
      </w:r>
      <w:r>
        <w:rPr>
          <w:rFonts w:hint="eastAsia" w:ascii="仿宋_GB2312" w:hAnsi="宋体" w:eastAsia="仿宋_GB2312" w:cs="仿宋_GB2312"/>
          <w:b/>
          <w:bCs/>
          <w:color w:val="000000"/>
          <w:kern w:val="0"/>
          <w:sz w:val="32"/>
          <w:szCs w:val="32"/>
          <w:lang w:val="en-US" w:eastAsia="zh-Hans" w:bidi="ar"/>
        </w:rPr>
        <w:t>做好</w:t>
      </w:r>
      <w:r>
        <w:rPr>
          <w:rFonts w:hint="eastAsia" w:ascii="仿宋_GB2312" w:hAnsi="宋体" w:eastAsia="仿宋_GB2312" w:cs="仿宋_GB2312"/>
          <w:b/>
          <w:bCs/>
          <w:color w:val="000000"/>
          <w:kern w:val="0"/>
          <w:sz w:val="32"/>
          <w:szCs w:val="32"/>
          <w:lang w:val="en-US" w:eastAsia="zh-CN" w:bidi="ar"/>
        </w:rPr>
        <w:t>项目运营过程及成果资料</w:t>
      </w:r>
      <w:r>
        <w:rPr>
          <w:rFonts w:hint="eastAsia" w:ascii="仿宋_GB2312" w:hAnsi="宋体" w:eastAsia="仿宋_GB2312" w:cs="仿宋_GB2312"/>
          <w:b/>
          <w:bCs/>
          <w:color w:val="000000"/>
          <w:kern w:val="0"/>
          <w:sz w:val="32"/>
          <w:szCs w:val="32"/>
          <w:lang w:val="en-US" w:eastAsia="zh-Hans" w:bidi="ar"/>
        </w:rPr>
        <w:t>整理</w:t>
      </w:r>
    </w:p>
    <w:p>
      <w:pPr>
        <w:keepNext w:val="0"/>
        <w:keepLines w:val="0"/>
        <w:widowControl/>
        <w:numPr>
          <w:ilvl w:val="0"/>
          <w:numId w:val="0"/>
        </w:numPr>
        <w:suppressLineNumbers w:val="0"/>
        <w:ind w:firstLine="640" w:firstLineChars="20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社会服务的核心在于对人服务的过程，做好服务过程及成果的资料整理，对考核评价、总结工作经验、提升服务水平都</w:t>
      </w:r>
      <w:r>
        <w:rPr>
          <w:rFonts w:hint="eastAsia" w:ascii="仿宋_GB2312" w:hAnsi="宋体" w:eastAsia="仿宋_GB2312" w:cs="仿宋_GB2312"/>
          <w:color w:val="000000"/>
          <w:kern w:val="0"/>
          <w:sz w:val="32"/>
          <w:szCs w:val="32"/>
          <w:lang w:val="en-US" w:eastAsia="zh-Hans" w:bidi="ar"/>
        </w:rPr>
        <w:t>有较大的促进作用</w:t>
      </w:r>
      <w:r>
        <w:rPr>
          <w:rFonts w:hint="eastAsia" w:ascii="仿宋_GB2312" w:hAnsi="宋体" w:eastAsia="仿宋_GB2312" w:cs="仿宋_GB2312"/>
          <w:color w:val="000000"/>
          <w:kern w:val="0"/>
          <w:sz w:val="32"/>
          <w:szCs w:val="32"/>
          <w:lang w:val="en-US" w:eastAsia="zh-CN" w:bidi="ar"/>
        </w:rPr>
        <w:t>。同时，通过对比项目运营过程及成果与财政资金投入之间的关系，能有助于提高财政资金使用效率，使财政资金能更有效地发挥其社会效益。</w:t>
      </w:r>
    </w:p>
    <w:p>
      <w:pPr>
        <w:keepNext w:val="0"/>
        <w:keepLines w:val="0"/>
        <w:widowControl/>
        <w:numPr>
          <w:ilvl w:val="0"/>
          <w:numId w:val="0"/>
        </w:numPr>
        <w:suppressLineNumbers w:val="0"/>
        <w:ind w:firstLine="600" w:firstLineChars="200"/>
        <w:jc w:val="left"/>
        <w:rPr>
          <w:rFonts w:hint="eastAsia" w:ascii="仿宋_GB2312" w:hAnsi="宋体" w:eastAsia="仿宋_GB2312" w:cs="仿宋_GB2312"/>
          <w:color w:val="000000"/>
          <w:kern w:val="0"/>
          <w:sz w:val="30"/>
          <w:szCs w:val="30"/>
          <w:lang w:val="en-US" w:eastAsia="zh-CN" w:bidi="ar"/>
        </w:rPr>
      </w:pPr>
    </w:p>
    <w:p>
      <w:pPr>
        <w:keepNext w:val="0"/>
        <w:keepLines w:val="0"/>
        <w:widowControl/>
        <w:numPr>
          <w:ilvl w:val="0"/>
          <w:numId w:val="0"/>
        </w:numPr>
        <w:suppressLineNumbers w:val="0"/>
        <w:jc w:val="left"/>
        <w:rPr>
          <w:rFonts w:hint="default" w:ascii="仿宋_GB2312" w:hAnsi="宋体" w:eastAsia="仿宋_GB2312" w:cs="仿宋_GB2312"/>
          <w:color w:val="000000"/>
          <w:kern w:val="0"/>
          <w:sz w:val="30"/>
          <w:szCs w:val="30"/>
          <w:lang w:val="en-US" w:eastAsia="zh-CN" w:bidi="ar"/>
        </w:rPr>
      </w:pPr>
      <w:r>
        <w:rPr>
          <w:rFonts w:hint="default" w:ascii="仿宋_GB2312" w:hAnsi="宋体" w:eastAsia="仿宋_GB2312" w:cs="仿宋_GB2312"/>
          <w:color w:val="000000"/>
          <w:kern w:val="0"/>
          <w:sz w:val="30"/>
          <w:szCs w:val="30"/>
          <w:lang w:val="en-US" w:eastAsia="zh-CN" w:bidi="ar"/>
        </w:rPr>
        <w:br w:type="page"/>
      </w:r>
      <w:r>
        <w:rPr>
          <w:rFonts w:hint="eastAsia" w:ascii="仿宋_GB2312" w:hAnsi="宋体" w:eastAsia="仿宋_GB2312" w:cs="仿宋_GB2312"/>
          <w:color w:val="000000"/>
          <w:kern w:val="0"/>
          <w:sz w:val="30"/>
          <w:szCs w:val="30"/>
          <w:lang w:val="en-US" w:eastAsia="zh-CN" w:bidi="ar"/>
        </w:rPr>
        <w:t>附件1：绩效评价指标体系</w:t>
      </w:r>
    </w:p>
    <w:tbl>
      <w:tblPr>
        <w:tblStyle w:val="5"/>
        <w:tblW w:w="0" w:type="auto"/>
        <w:tblInd w:w="96" w:type="dxa"/>
        <w:tblLayout w:type="fixed"/>
        <w:tblCellMar>
          <w:top w:w="0" w:type="dxa"/>
          <w:left w:w="108" w:type="dxa"/>
          <w:bottom w:w="0" w:type="dxa"/>
          <w:right w:w="108" w:type="dxa"/>
        </w:tblCellMar>
      </w:tblPr>
      <w:tblGrid>
        <w:gridCol w:w="696"/>
        <w:gridCol w:w="891"/>
        <w:gridCol w:w="530"/>
        <w:gridCol w:w="436"/>
        <w:gridCol w:w="1710"/>
        <w:gridCol w:w="3447"/>
        <w:gridCol w:w="716"/>
      </w:tblGrid>
      <w:tr>
        <w:tblPrEx>
          <w:tblCellMar>
            <w:top w:w="0" w:type="dxa"/>
            <w:left w:w="108" w:type="dxa"/>
            <w:bottom w:w="0" w:type="dxa"/>
            <w:right w:w="108" w:type="dxa"/>
          </w:tblCellMar>
        </w:tblPrEx>
        <w:trPr>
          <w:trHeight w:val="6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一级指标</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Style w:val="13"/>
                <w:lang w:val="en-US" w:eastAsia="zh-CN" w:bidi="ar"/>
              </w:rPr>
            </w:pPr>
            <w:r>
              <w:rPr>
                <w:rStyle w:val="13"/>
                <w:lang w:val="en-US" w:eastAsia="zh-CN" w:bidi="ar"/>
              </w:rPr>
              <w:t>二级</w:t>
            </w:r>
          </w:p>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指标</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三级指标</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权重</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指标解释</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指标说明</w:t>
            </w:r>
          </w:p>
        </w:tc>
        <w:tc>
          <w:tcPr>
            <w:tcW w:w="7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Style w:val="13"/>
                <w:lang w:val="en-US" w:eastAsia="zh-CN" w:bidi="ar"/>
              </w:rPr>
              <w:t>评分</w:t>
            </w:r>
          </w:p>
        </w:tc>
      </w:tr>
      <w:tr>
        <w:tblPrEx>
          <w:tblCellMar>
            <w:top w:w="0" w:type="dxa"/>
            <w:left w:w="108" w:type="dxa"/>
            <w:bottom w:w="0" w:type="dxa"/>
            <w:right w:w="108" w:type="dxa"/>
          </w:tblCellMar>
        </w:tblPrEx>
        <w:trPr>
          <w:trHeight w:val="1819" w:hRule="atLeast"/>
        </w:trPr>
        <w:tc>
          <w:tcPr>
            <w:tcW w:w="696" w:type="dxa"/>
            <w:vMerge w:val="restart"/>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决策（</w:t>
            </w:r>
            <w:r>
              <w:rPr>
                <w:rStyle w:val="8"/>
                <w:rFonts w:eastAsia="宋体"/>
                <w:lang w:val="en-US" w:eastAsia="zh-CN" w:bidi="ar"/>
              </w:rPr>
              <w:t>15</w:t>
            </w:r>
            <w:r>
              <w:rPr>
                <w:rStyle w:val="9"/>
                <w:lang w:val="en-US" w:eastAsia="zh-CN" w:bidi="ar"/>
              </w:rPr>
              <w:t>分）　</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项目立项　</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9"/>
                <w:lang w:val="en-US" w:eastAsia="zh-CN" w:bidi="ar"/>
              </w:rPr>
              <w:t>（</w:t>
            </w:r>
            <w:r>
              <w:rPr>
                <w:rStyle w:val="8"/>
                <w:rFonts w:eastAsia="宋体"/>
                <w:lang w:val="en-US" w:eastAsia="zh-CN" w:bidi="ar"/>
              </w:rPr>
              <w:t>4</w:t>
            </w:r>
            <w:r>
              <w:rPr>
                <w:rStyle w:val="9"/>
                <w:lang w:val="en-US" w:eastAsia="zh-CN" w:bidi="ar"/>
              </w:rPr>
              <w:t>分）</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立项依据充分性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项目立项是否符合法律法规、相关政策、发展规划以及部门职责，用以反映和考核项目立项依据情况。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①项目立项是否符合国家法律法规、国民经济发展规划和相关政策；</w:t>
            </w:r>
          </w:p>
          <w:p>
            <w:pPr>
              <w:keepNext w:val="0"/>
              <w:keepLines w:val="0"/>
              <w:widowControl/>
              <w:suppressLineNumbers w:val="0"/>
              <w:jc w:val="left"/>
              <w:textAlignment w:val="center"/>
              <w:rPr>
                <w:rStyle w:val="9"/>
                <w:lang w:val="en-US" w:eastAsia="zh-CN" w:bidi="ar"/>
              </w:rPr>
            </w:pPr>
            <w:r>
              <w:rPr>
                <w:rStyle w:val="9"/>
                <w:lang w:val="en-US" w:eastAsia="zh-CN" w:bidi="ar"/>
              </w:rPr>
              <w:t>②项目立项是否符合行业发展规划和政策要求；</w:t>
            </w:r>
          </w:p>
          <w:p>
            <w:pPr>
              <w:keepNext w:val="0"/>
              <w:keepLines w:val="0"/>
              <w:widowControl/>
              <w:suppressLineNumbers w:val="0"/>
              <w:jc w:val="left"/>
              <w:textAlignment w:val="center"/>
              <w:rPr>
                <w:rStyle w:val="9"/>
                <w:lang w:val="en-US" w:eastAsia="zh-CN" w:bidi="ar"/>
              </w:rPr>
            </w:pPr>
            <w:r>
              <w:rPr>
                <w:rStyle w:val="9"/>
                <w:lang w:val="en-US" w:eastAsia="zh-CN" w:bidi="ar"/>
              </w:rPr>
              <w:t>③项目立项是否与部门职责范围相符，属于部门履职所需；</w:t>
            </w:r>
          </w:p>
          <w:p>
            <w:pPr>
              <w:keepNext w:val="0"/>
              <w:keepLines w:val="0"/>
              <w:widowControl/>
              <w:suppressLineNumbers w:val="0"/>
              <w:jc w:val="left"/>
              <w:textAlignment w:val="center"/>
              <w:rPr>
                <w:rStyle w:val="9"/>
                <w:lang w:val="en-US" w:eastAsia="zh-CN" w:bidi="ar"/>
              </w:rPr>
            </w:pPr>
            <w:r>
              <w:rPr>
                <w:rStyle w:val="9"/>
                <w:lang w:val="en-US" w:eastAsia="zh-CN" w:bidi="ar"/>
              </w:rPr>
              <w:t>④项目是否属于公共财政支持范围，是否符合中央、地方事权支出责任划分原则；</w:t>
            </w:r>
          </w:p>
          <w:p>
            <w:pPr>
              <w:keepNext w:val="0"/>
              <w:keepLines w:val="0"/>
              <w:widowControl/>
              <w:suppressLineNumbers w:val="0"/>
              <w:jc w:val="left"/>
              <w:textAlignment w:val="center"/>
              <w:rPr>
                <w:rStyle w:val="9"/>
                <w:lang w:val="en-US" w:eastAsia="zh-CN" w:bidi="ar"/>
              </w:rPr>
            </w:pPr>
            <w:r>
              <w:rPr>
                <w:rStyle w:val="9"/>
                <w:lang w:val="en-US" w:eastAsia="zh-CN" w:bidi="ar"/>
              </w:rPr>
              <w:t>⑤项目是否与相关部门同类项目或部门内部相关项目重复。</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评分标准：符合一项得0.4分，全部符合得2分，没有一项符合得0分。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1062"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eastAsia" w:ascii="宋体" w:hAnsi="宋体" w:eastAsia="宋体" w:cs="宋体"/>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立项程序规范性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项目申请、设立过程是否符合相关要求，用以反映和考核项目立项的规范情况。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①项目是否按照规定的程序申请设立；</w:t>
            </w:r>
          </w:p>
          <w:p>
            <w:pPr>
              <w:keepNext w:val="0"/>
              <w:keepLines w:val="0"/>
              <w:widowControl/>
              <w:suppressLineNumbers w:val="0"/>
              <w:jc w:val="left"/>
              <w:textAlignment w:val="center"/>
              <w:rPr>
                <w:rStyle w:val="9"/>
                <w:lang w:val="en-US" w:eastAsia="zh-CN" w:bidi="ar"/>
              </w:rPr>
            </w:pPr>
            <w:r>
              <w:rPr>
                <w:rStyle w:val="9"/>
                <w:lang w:val="en-US" w:eastAsia="zh-CN" w:bidi="ar"/>
              </w:rPr>
              <w:t>②事前是否已经过必要的可行性研究、专家论证、风险评估、绩效评估、集体决策。</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评分标准：符合一项得1分，全部符合得2分，没有一项符合得0分。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1759"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绩效目标　</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9"/>
                <w:lang w:val="en-US" w:eastAsia="zh-CN" w:bidi="ar"/>
              </w:rPr>
              <w:t>（</w:t>
            </w:r>
            <w:r>
              <w:rPr>
                <w:rStyle w:val="8"/>
                <w:rFonts w:eastAsia="宋体"/>
                <w:lang w:val="en-US" w:eastAsia="zh-CN" w:bidi="ar"/>
              </w:rPr>
              <w:t>7</w:t>
            </w:r>
            <w:r>
              <w:rPr>
                <w:rStyle w:val="9"/>
                <w:lang w:val="en-US" w:eastAsia="zh-CN" w:bidi="ar"/>
              </w:rPr>
              <w:t>分）</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绩效目标合理性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项目所设定的绩效目标是否依据充分，是否符合客观实际，用以反映和考核项目绩效目标与项目实施的相符情况。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（如未设定预算绩效目标，也可考核其他工作任务目标）</w:t>
            </w:r>
          </w:p>
          <w:p>
            <w:pPr>
              <w:keepNext w:val="0"/>
              <w:keepLines w:val="0"/>
              <w:widowControl/>
              <w:suppressLineNumbers w:val="0"/>
              <w:jc w:val="left"/>
              <w:textAlignment w:val="center"/>
              <w:rPr>
                <w:rStyle w:val="9"/>
                <w:lang w:val="en-US" w:eastAsia="zh-CN" w:bidi="ar"/>
              </w:rPr>
            </w:pPr>
            <w:r>
              <w:rPr>
                <w:rStyle w:val="9"/>
                <w:lang w:val="en-US" w:eastAsia="zh-CN" w:bidi="ar"/>
              </w:rPr>
              <w:t>①项目是否有绩效目标；</w:t>
            </w:r>
          </w:p>
          <w:p>
            <w:pPr>
              <w:keepNext w:val="0"/>
              <w:keepLines w:val="0"/>
              <w:widowControl/>
              <w:suppressLineNumbers w:val="0"/>
              <w:jc w:val="left"/>
              <w:textAlignment w:val="center"/>
              <w:rPr>
                <w:rStyle w:val="9"/>
                <w:lang w:val="en-US" w:eastAsia="zh-CN" w:bidi="ar"/>
              </w:rPr>
            </w:pPr>
            <w:r>
              <w:rPr>
                <w:rStyle w:val="9"/>
                <w:lang w:val="en-US" w:eastAsia="zh-CN" w:bidi="ar"/>
              </w:rPr>
              <w:t>②项目绩效目标与实际工作内容是否具有相关性；</w:t>
            </w:r>
          </w:p>
          <w:p>
            <w:pPr>
              <w:keepNext w:val="0"/>
              <w:keepLines w:val="0"/>
              <w:widowControl/>
              <w:suppressLineNumbers w:val="0"/>
              <w:jc w:val="left"/>
              <w:textAlignment w:val="center"/>
              <w:rPr>
                <w:rStyle w:val="9"/>
                <w:lang w:val="en-US" w:eastAsia="zh-CN" w:bidi="ar"/>
              </w:rPr>
            </w:pPr>
            <w:r>
              <w:rPr>
                <w:rStyle w:val="9"/>
                <w:lang w:val="en-US" w:eastAsia="zh-CN" w:bidi="ar"/>
              </w:rPr>
              <w:t>③项目预期产出效益和效果是否符合正常的业绩水平；</w:t>
            </w:r>
          </w:p>
          <w:p>
            <w:pPr>
              <w:keepNext w:val="0"/>
              <w:keepLines w:val="0"/>
              <w:widowControl/>
              <w:suppressLineNumbers w:val="0"/>
              <w:jc w:val="left"/>
              <w:textAlignment w:val="center"/>
              <w:rPr>
                <w:rStyle w:val="9"/>
                <w:lang w:val="en-US" w:eastAsia="zh-CN" w:bidi="ar"/>
              </w:rPr>
            </w:pPr>
            <w:r>
              <w:rPr>
                <w:rStyle w:val="9"/>
                <w:lang w:val="en-US" w:eastAsia="zh-CN" w:bidi="ar"/>
              </w:rPr>
              <w:t>④是否与预算确定的项目投资额或资金量相匹配。</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评分标准：符合一项得1分，全部符合得4分，没有一项符合得0分。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1302"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绩效指标明确性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依据绩效目标设定的绩效指标是否清晰、细化、可衡量等，用以反映和考核项目绩效目标的明细化情况。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①是否将项目绩效目标细化分解为具体的绩效指标；</w:t>
            </w:r>
          </w:p>
          <w:p>
            <w:pPr>
              <w:keepNext w:val="0"/>
              <w:keepLines w:val="0"/>
              <w:widowControl/>
              <w:suppressLineNumbers w:val="0"/>
              <w:jc w:val="left"/>
              <w:textAlignment w:val="center"/>
              <w:rPr>
                <w:rStyle w:val="9"/>
                <w:lang w:val="en-US" w:eastAsia="zh-CN" w:bidi="ar"/>
              </w:rPr>
            </w:pPr>
            <w:r>
              <w:rPr>
                <w:rStyle w:val="9"/>
                <w:lang w:val="en-US" w:eastAsia="zh-CN" w:bidi="ar"/>
              </w:rPr>
              <w:t>②是否通过清晰、可衡量的指标值予以体现；</w:t>
            </w:r>
          </w:p>
          <w:p>
            <w:pPr>
              <w:keepNext w:val="0"/>
              <w:keepLines w:val="0"/>
              <w:widowControl/>
              <w:suppressLineNumbers w:val="0"/>
              <w:jc w:val="left"/>
              <w:textAlignment w:val="center"/>
              <w:rPr>
                <w:rStyle w:val="9"/>
                <w:lang w:val="en-US" w:eastAsia="zh-CN" w:bidi="ar"/>
              </w:rPr>
            </w:pPr>
            <w:r>
              <w:rPr>
                <w:rStyle w:val="9"/>
                <w:lang w:val="en-US" w:eastAsia="zh-CN" w:bidi="ar"/>
              </w:rPr>
              <w:t>③是否与项目目标任务数或计划数相对应。</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w:t>
            </w:r>
            <w:r>
              <w:rPr>
                <w:rStyle w:val="11"/>
                <w:rFonts w:eastAsia="宋体"/>
                <w:lang w:val="en-US" w:eastAsia="zh-CN" w:bidi="ar"/>
              </w:rPr>
              <w:t>1</w:t>
            </w:r>
            <w:r>
              <w:rPr>
                <w:rStyle w:val="13"/>
                <w:lang w:val="en-US" w:eastAsia="zh-CN" w:bidi="ar"/>
              </w:rPr>
              <w:t>分，全部符合得3分，没有一项符合得</w:t>
            </w:r>
            <w:r>
              <w:rPr>
                <w:rStyle w:val="11"/>
                <w:rFonts w:eastAsia="宋体"/>
                <w:lang w:val="en-US" w:eastAsia="zh-CN" w:bidi="ar"/>
              </w:rPr>
              <w:t>0</w:t>
            </w:r>
            <w:r>
              <w:rPr>
                <w:rStyle w:val="13"/>
                <w:lang w:val="en-US" w:eastAsia="zh-CN" w:bidi="ar"/>
              </w:rPr>
              <w:t>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1639"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资金投入</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9"/>
                <w:lang w:val="en-US" w:eastAsia="zh-CN" w:bidi="ar"/>
              </w:rPr>
              <w:t>（</w:t>
            </w:r>
            <w:r>
              <w:rPr>
                <w:rStyle w:val="8"/>
                <w:rFonts w:eastAsia="宋体"/>
                <w:lang w:val="en-US" w:eastAsia="zh-CN" w:bidi="ar"/>
              </w:rPr>
              <w:t>4</w:t>
            </w:r>
            <w:r>
              <w:rPr>
                <w:rStyle w:val="9"/>
                <w:lang w:val="en-US" w:eastAsia="zh-CN" w:bidi="ar"/>
              </w:rPr>
              <w:t>分）</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预算编制科学性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项目预算编制是否经过科学论证、有明确标准，资金额度与年度目标是否相适应，用以反映和考核项目预算编制的科学性、合理性情况。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①预算编制是否经过科学论证；</w:t>
            </w:r>
          </w:p>
          <w:p>
            <w:pPr>
              <w:keepNext w:val="0"/>
              <w:keepLines w:val="0"/>
              <w:widowControl/>
              <w:suppressLineNumbers w:val="0"/>
              <w:jc w:val="left"/>
              <w:textAlignment w:val="center"/>
              <w:rPr>
                <w:rStyle w:val="9"/>
                <w:lang w:val="en-US" w:eastAsia="zh-CN" w:bidi="ar"/>
              </w:rPr>
            </w:pPr>
            <w:r>
              <w:rPr>
                <w:rStyle w:val="9"/>
                <w:lang w:val="en-US" w:eastAsia="zh-CN" w:bidi="ar"/>
              </w:rPr>
              <w:t>②预算内容与项目内容是否匹配；</w:t>
            </w:r>
          </w:p>
          <w:p>
            <w:pPr>
              <w:keepNext w:val="0"/>
              <w:keepLines w:val="0"/>
              <w:widowControl/>
              <w:suppressLineNumbers w:val="0"/>
              <w:jc w:val="left"/>
              <w:textAlignment w:val="center"/>
              <w:rPr>
                <w:rStyle w:val="9"/>
                <w:lang w:val="en-US" w:eastAsia="zh-CN" w:bidi="ar"/>
              </w:rPr>
            </w:pPr>
            <w:r>
              <w:rPr>
                <w:rStyle w:val="9"/>
                <w:lang w:val="en-US" w:eastAsia="zh-CN" w:bidi="ar"/>
              </w:rPr>
              <w:t>③预算额度测算依据是否充分，是否按照标准编制；</w:t>
            </w:r>
          </w:p>
          <w:p>
            <w:pPr>
              <w:keepNext w:val="0"/>
              <w:keepLines w:val="0"/>
              <w:widowControl/>
              <w:suppressLineNumbers w:val="0"/>
              <w:jc w:val="left"/>
              <w:textAlignment w:val="center"/>
              <w:rPr>
                <w:rStyle w:val="9"/>
                <w:lang w:val="en-US" w:eastAsia="zh-CN" w:bidi="ar"/>
              </w:rPr>
            </w:pPr>
            <w:r>
              <w:rPr>
                <w:rStyle w:val="9"/>
                <w:lang w:val="en-US" w:eastAsia="zh-CN" w:bidi="ar"/>
              </w:rPr>
              <w:t>④预算确定的项目投资额或资金量是否与工作任务相匹配。</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w:t>
            </w:r>
            <w:r>
              <w:rPr>
                <w:rStyle w:val="11"/>
                <w:rFonts w:eastAsia="宋体"/>
                <w:lang w:val="en-US" w:eastAsia="zh-CN" w:bidi="ar"/>
              </w:rPr>
              <w:t>0.5</w:t>
            </w:r>
            <w:r>
              <w:rPr>
                <w:rStyle w:val="13"/>
                <w:lang w:val="en-US" w:eastAsia="zh-CN" w:bidi="ar"/>
              </w:rPr>
              <w:t>分，全部符合得</w:t>
            </w:r>
            <w:r>
              <w:rPr>
                <w:rStyle w:val="11"/>
                <w:rFonts w:eastAsia="宋体"/>
                <w:lang w:val="en-US" w:eastAsia="zh-CN" w:bidi="ar"/>
              </w:rPr>
              <w:t>2</w:t>
            </w:r>
            <w:r>
              <w:rPr>
                <w:rStyle w:val="13"/>
                <w:lang w:val="en-US" w:eastAsia="zh-CN" w:bidi="ar"/>
              </w:rPr>
              <w:t>分，没有一项符合得</w:t>
            </w:r>
            <w:r>
              <w:rPr>
                <w:rStyle w:val="11"/>
                <w:rFonts w:eastAsia="宋体"/>
                <w:lang w:val="en-US" w:eastAsia="zh-CN" w:bidi="ar"/>
              </w:rPr>
              <w:t>0</w:t>
            </w:r>
            <w:r>
              <w:rPr>
                <w:rStyle w:val="13"/>
                <w:lang w:val="en-US" w:eastAsia="zh-CN" w:bidi="ar"/>
              </w:rPr>
              <w:t>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1302"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资金分配合理性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项目预算资金分配是否有测算依据，与补助单位或地方实际是否相适应，用以反映和考核项目预算资金分配的科学性、合理性情况。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①预算资金分配依据是否充分；</w:t>
            </w:r>
          </w:p>
          <w:p>
            <w:pPr>
              <w:keepNext w:val="0"/>
              <w:keepLines w:val="0"/>
              <w:widowControl/>
              <w:suppressLineNumbers w:val="0"/>
              <w:jc w:val="left"/>
              <w:textAlignment w:val="center"/>
              <w:rPr>
                <w:rStyle w:val="9"/>
                <w:lang w:val="en-US" w:eastAsia="zh-CN" w:bidi="ar"/>
              </w:rPr>
            </w:pPr>
            <w:r>
              <w:rPr>
                <w:rStyle w:val="9"/>
                <w:lang w:val="en-US" w:eastAsia="zh-CN" w:bidi="ar"/>
              </w:rPr>
              <w:t>②资金分配额度是否合理，与项目单位或地方实际是否相适应。</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w:t>
            </w:r>
            <w:r>
              <w:rPr>
                <w:rStyle w:val="11"/>
                <w:rFonts w:eastAsia="宋体"/>
                <w:lang w:val="en-US" w:eastAsia="zh-CN" w:bidi="ar"/>
              </w:rPr>
              <w:t>1</w:t>
            </w:r>
            <w:r>
              <w:rPr>
                <w:rStyle w:val="13"/>
                <w:lang w:val="en-US" w:eastAsia="zh-CN" w:bidi="ar"/>
              </w:rPr>
              <w:t>分，全部符合得</w:t>
            </w:r>
            <w:r>
              <w:rPr>
                <w:rStyle w:val="11"/>
                <w:rFonts w:eastAsia="宋体"/>
                <w:lang w:val="en-US" w:eastAsia="zh-CN" w:bidi="ar"/>
              </w:rPr>
              <w:t>2</w:t>
            </w:r>
            <w:r>
              <w:rPr>
                <w:rStyle w:val="13"/>
                <w:lang w:val="en-US" w:eastAsia="zh-CN" w:bidi="ar"/>
              </w:rPr>
              <w:t>分，没有一项符合得</w:t>
            </w:r>
            <w:r>
              <w:rPr>
                <w:rStyle w:val="11"/>
                <w:rFonts w:eastAsia="宋体"/>
                <w:lang w:val="en-US" w:eastAsia="zh-CN" w:bidi="ar"/>
              </w:rPr>
              <w:t>0</w:t>
            </w:r>
            <w:r>
              <w:rPr>
                <w:rStyle w:val="13"/>
                <w:lang w:val="en-US" w:eastAsia="zh-CN" w:bidi="ar"/>
              </w:rPr>
              <w:t>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1200"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过程（</w:t>
            </w:r>
            <w:r>
              <w:rPr>
                <w:rStyle w:val="8"/>
                <w:rFonts w:eastAsia="宋体"/>
                <w:lang w:val="en-US" w:eastAsia="zh-CN" w:bidi="ar"/>
              </w:rPr>
              <w:t>20</w:t>
            </w:r>
            <w:r>
              <w:rPr>
                <w:rStyle w:val="9"/>
                <w:lang w:val="en-US" w:eastAsia="zh-CN" w:bidi="ar"/>
              </w:rPr>
              <w:t>分）</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资金管理（12）</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资金到位率</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实际到位资金与预算资金的比率，用以反映和考核资金落实情况对项目实施的总体保障程度。</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Style w:val="9"/>
                <w:lang w:val="en-US" w:eastAsia="zh-CN" w:bidi="ar"/>
              </w:rPr>
            </w:pPr>
            <w:r>
              <w:rPr>
                <w:rFonts w:hint="eastAsia" w:ascii="宋体" w:hAnsi="宋体" w:eastAsia="宋体" w:cs="宋体"/>
                <w:i w:val="0"/>
                <w:iCs w:val="0"/>
                <w:color w:val="000000"/>
                <w:kern w:val="0"/>
                <w:sz w:val="20"/>
                <w:szCs w:val="20"/>
                <w:u w:val="none"/>
                <w:lang w:val="en-US" w:eastAsia="zh-CN" w:bidi="ar"/>
              </w:rPr>
              <w:t>资金到位率</w:t>
            </w:r>
            <w:r>
              <w:rPr>
                <w:rStyle w:val="8"/>
                <w:rFonts w:eastAsia="宋体"/>
                <w:lang w:val="en-US" w:eastAsia="zh-CN" w:bidi="ar"/>
              </w:rPr>
              <w:t>=</w:t>
            </w:r>
            <w:r>
              <w:rPr>
                <w:rStyle w:val="9"/>
                <w:lang w:val="en-US" w:eastAsia="zh-CN" w:bidi="ar"/>
              </w:rPr>
              <w:t>（实际到位资金</w:t>
            </w:r>
            <w:r>
              <w:rPr>
                <w:rStyle w:val="8"/>
                <w:rFonts w:eastAsia="宋体"/>
                <w:lang w:val="en-US" w:eastAsia="zh-CN" w:bidi="ar"/>
              </w:rPr>
              <w:t>/</w:t>
            </w:r>
            <w:r>
              <w:rPr>
                <w:rStyle w:val="9"/>
                <w:lang w:val="en-US" w:eastAsia="zh-CN" w:bidi="ar"/>
              </w:rPr>
              <w:t>预算资金）</w:t>
            </w:r>
            <w:r>
              <w:rPr>
                <w:rStyle w:val="8"/>
                <w:rFonts w:eastAsia="宋体"/>
                <w:lang w:val="en-US" w:eastAsia="zh-CN" w:bidi="ar"/>
              </w:rPr>
              <w:t>×100%</w:t>
            </w:r>
            <w:r>
              <w:rPr>
                <w:rStyle w:val="9"/>
                <w:lang w:val="en-US" w:eastAsia="zh-CN" w:bidi="ar"/>
              </w:rPr>
              <w:t>。</w:t>
            </w:r>
          </w:p>
          <w:p>
            <w:pPr>
              <w:keepNext w:val="0"/>
              <w:keepLines w:val="0"/>
              <w:widowControl/>
              <w:suppressLineNumbers w:val="0"/>
              <w:jc w:val="left"/>
              <w:textAlignment w:val="center"/>
              <w:rPr>
                <w:rStyle w:val="9"/>
                <w:lang w:val="en-US" w:eastAsia="zh-CN" w:bidi="ar"/>
              </w:rPr>
            </w:pPr>
            <w:r>
              <w:rPr>
                <w:rStyle w:val="9"/>
                <w:lang w:val="en-US" w:eastAsia="zh-CN" w:bidi="ar"/>
              </w:rPr>
              <w:t>实际到位资金：一定时期（本年度或项目期）内落实到具体项目的资金。</w:t>
            </w:r>
          </w:p>
          <w:p>
            <w:pPr>
              <w:keepNext w:val="0"/>
              <w:keepLines w:val="0"/>
              <w:widowControl/>
              <w:suppressLineNumbers w:val="0"/>
              <w:jc w:val="left"/>
              <w:textAlignment w:val="center"/>
              <w:rPr>
                <w:rStyle w:val="9"/>
                <w:lang w:val="en-US" w:eastAsia="zh-CN" w:bidi="ar"/>
              </w:rPr>
            </w:pPr>
            <w:r>
              <w:rPr>
                <w:rStyle w:val="9"/>
                <w:lang w:val="en-US" w:eastAsia="zh-CN" w:bidi="ar"/>
              </w:rPr>
              <w:t>预算资金：一定时期（本年度或项目期）内预算安排到具体项目的资金。</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评分标准：得分=3分*资金到位率</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9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预算执行率</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项目预算资金是否按照计划执行，用以反映或考核项目预算执行情况。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Style w:val="9"/>
                <w:lang w:val="en-US" w:eastAsia="zh-CN" w:bidi="ar"/>
              </w:rPr>
            </w:pPr>
            <w:r>
              <w:rPr>
                <w:rFonts w:hint="eastAsia" w:ascii="宋体" w:hAnsi="宋体" w:eastAsia="宋体" w:cs="宋体"/>
                <w:i w:val="0"/>
                <w:iCs w:val="0"/>
                <w:color w:val="000000"/>
                <w:kern w:val="0"/>
                <w:sz w:val="20"/>
                <w:szCs w:val="20"/>
                <w:u w:val="none"/>
                <w:lang w:val="en-US" w:eastAsia="zh-CN" w:bidi="ar"/>
              </w:rPr>
              <w:t>预算执行率</w:t>
            </w:r>
            <w:r>
              <w:rPr>
                <w:rStyle w:val="8"/>
                <w:rFonts w:eastAsia="宋体"/>
                <w:lang w:val="en-US" w:eastAsia="zh-CN" w:bidi="ar"/>
              </w:rPr>
              <w:t>=</w:t>
            </w:r>
            <w:r>
              <w:rPr>
                <w:rStyle w:val="9"/>
                <w:lang w:val="en-US" w:eastAsia="zh-CN" w:bidi="ar"/>
              </w:rPr>
              <w:t>（实际支出资金</w:t>
            </w:r>
            <w:r>
              <w:rPr>
                <w:rStyle w:val="8"/>
                <w:rFonts w:eastAsia="宋体"/>
                <w:lang w:val="en-US" w:eastAsia="zh-CN" w:bidi="ar"/>
              </w:rPr>
              <w:t>/</w:t>
            </w:r>
            <w:r>
              <w:rPr>
                <w:rStyle w:val="9"/>
                <w:lang w:val="en-US" w:eastAsia="zh-CN" w:bidi="ar"/>
              </w:rPr>
              <w:t>实际到位资金）</w:t>
            </w:r>
            <w:r>
              <w:rPr>
                <w:rStyle w:val="8"/>
                <w:rFonts w:eastAsia="宋体"/>
                <w:lang w:val="en-US" w:eastAsia="zh-CN" w:bidi="ar"/>
              </w:rPr>
              <w:t>×100%</w:t>
            </w:r>
            <w:r>
              <w:rPr>
                <w:rStyle w:val="9"/>
                <w:lang w:val="en-US" w:eastAsia="zh-CN" w:bidi="ar"/>
              </w:rPr>
              <w:t>。</w:t>
            </w:r>
          </w:p>
          <w:p>
            <w:pPr>
              <w:keepNext w:val="0"/>
              <w:keepLines w:val="0"/>
              <w:widowControl/>
              <w:suppressLineNumbers w:val="0"/>
              <w:jc w:val="left"/>
              <w:textAlignment w:val="center"/>
              <w:rPr>
                <w:rStyle w:val="9"/>
                <w:lang w:val="en-US" w:eastAsia="zh-CN" w:bidi="ar"/>
              </w:rPr>
            </w:pPr>
            <w:r>
              <w:rPr>
                <w:rStyle w:val="9"/>
                <w:lang w:val="en-US" w:eastAsia="zh-CN" w:bidi="ar"/>
              </w:rPr>
              <w:t>实际支出资金：一定时期（本年度或项目期）内项目实际拨付的资金。</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评分标准：得分=5分*预算执行率</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宋体" w:hAnsi="宋体" w:cs="宋体"/>
                <w:i w:val="0"/>
                <w:iCs w:val="0"/>
                <w:color w:val="000000"/>
                <w:sz w:val="20"/>
                <w:szCs w:val="20"/>
                <w:u w:val="none"/>
              </w:rPr>
              <w:t>3</w:t>
            </w:r>
            <w:r>
              <w:rPr>
                <w:rFonts w:hint="eastAsia" w:ascii="宋体" w:hAnsi="宋体" w:cs="宋体"/>
                <w:i w:val="0"/>
                <w:iCs w:val="0"/>
                <w:color w:val="000000"/>
                <w:sz w:val="20"/>
                <w:szCs w:val="20"/>
                <w:u w:val="none"/>
                <w:lang w:val="en-US" w:eastAsia="zh-Hans"/>
              </w:rPr>
              <w:t>.</w:t>
            </w:r>
            <w:r>
              <w:rPr>
                <w:rFonts w:hint="default" w:ascii="宋体" w:hAnsi="宋体" w:cs="宋体"/>
                <w:i w:val="0"/>
                <w:iCs w:val="0"/>
                <w:color w:val="000000"/>
                <w:sz w:val="20"/>
                <w:szCs w:val="20"/>
                <w:u w:val="none"/>
                <w:lang w:eastAsia="zh-Hans"/>
              </w:rPr>
              <w:t>75</w:t>
            </w:r>
          </w:p>
        </w:tc>
      </w:tr>
      <w:tr>
        <w:tblPrEx>
          <w:tblCellMar>
            <w:top w:w="0" w:type="dxa"/>
            <w:left w:w="108" w:type="dxa"/>
            <w:bottom w:w="0" w:type="dxa"/>
            <w:right w:w="108" w:type="dxa"/>
          </w:tblCellMar>
        </w:tblPrEx>
        <w:trPr>
          <w:trHeight w:val="1782"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资金使用合规性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项目资金使用是否符合相关的财务管理制度规定，用以反映和考核项目资金的规范运行情况。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①是否符合国家财经法规和财务管理制度以及有关专项资金管理办法的规定；</w:t>
            </w:r>
          </w:p>
          <w:p>
            <w:pPr>
              <w:keepNext w:val="0"/>
              <w:keepLines w:val="0"/>
              <w:widowControl/>
              <w:suppressLineNumbers w:val="0"/>
              <w:jc w:val="left"/>
              <w:textAlignment w:val="center"/>
              <w:rPr>
                <w:rStyle w:val="9"/>
                <w:lang w:val="en-US" w:eastAsia="zh-CN" w:bidi="ar"/>
              </w:rPr>
            </w:pPr>
            <w:r>
              <w:rPr>
                <w:rStyle w:val="9"/>
                <w:lang w:val="en-US" w:eastAsia="zh-CN" w:bidi="ar"/>
              </w:rPr>
              <w:t>②资金的拨付是否有完整的审批程序和手续；</w:t>
            </w:r>
          </w:p>
          <w:p>
            <w:pPr>
              <w:keepNext w:val="0"/>
              <w:keepLines w:val="0"/>
              <w:widowControl/>
              <w:suppressLineNumbers w:val="0"/>
              <w:jc w:val="left"/>
              <w:textAlignment w:val="center"/>
              <w:rPr>
                <w:rStyle w:val="9"/>
                <w:lang w:val="en-US" w:eastAsia="zh-CN" w:bidi="ar"/>
              </w:rPr>
            </w:pPr>
            <w:r>
              <w:rPr>
                <w:rStyle w:val="9"/>
                <w:lang w:val="en-US" w:eastAsia="zh-CN" w:bidi="ar"/>
              </w:rPr>
              <w:t>③是否符合项目预算批复或合同规定的用途；</w:t>
            </w:r>
          </w:p>
          <w:p>
            <w:pPr>
              <w:keepNext w:val="0"/>
              <w:keepLines w:val="0"/>
              <w:widowControl/>
              <w:suppressLineNumbers w:val="0"/>
              <w:jc w:val="left"/>
              <w:textAlignment w:val="center"/>
              <w:rPr>
                <w:rStyle w:val="9"/>
                <w:lang w:val="en-US" w:eastAsia="zh-CN" w:bidi="ar"/>
              </w:rPr>
            </w:pPr>
            <w:r>
              <w:rPr>
                <w:rStyle w:val="9"/>
                <w:lang w:val="en-US" w:eastAsia="zh-CN" w:bidi="ar"/>
              </w:rPr>
              <w:t>④是否存在截留、挤占、挪用、虚列支出等情况。</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w:t>
            </w:r>
            <w:r>
              <w:rPr>
                <w:rStyle w:val="11"/>
                <w:rFonts w:eastAsia="宋体"/>
                <w:lang w:val="en-US" w:eastAsia="zh-CN" w:bidi="ar"/>
              </w:rPr>
              <w:t>1</w:t>
            </w:r>
            <w:r>
              <w:rPr>
                <w:rStyle w:val="13"/>
                <w:lang w:val="en-US" w:eastAsia="zh-CN" w:bidi="ar"/>
              </w:rPr>
              <w:t>分，全部符合得</w:t>
            </w:r>
            <w:r>
              <w:rPr>
                <w:rStyle w:val="11"/>
                <w:rFonts w:eastAsia="宋体"/>
                <w:lang w:val="en-US" w:eastAsia="zh-CN" w:bidi="ar"/>
              </w:rPr>
              <w:t>4</w:t>
            </w:r>
            <w:r>
              <w:rPr>
                <w:rStyle w:val="13"/>
                <w:lang w:val="en-US" w:eastAsia="zh-CN" w:bidi="ar"/>
              </w:rPr>
              <w:t>分，没有一项符合得</w:t>
            </w:r>
            <w:r>
              <w:rPr>
                <w:rStyle w:val="11"/>
                <w:rFonts w:eastAsia="宋体"/>
                <w:lang w:val="en-US" w:eastAsia="zh-CN" w:bidi="ar"/>
              </w:rPr>
              <w:t>0</w:t>
            </w:r>
            <w:r>
              <w:rPr>
                <w:rStyle w:val="13"/>
                <w:lang w:val="en-US" w:eastAsia="zh-CN" w:bidi="ar"/>
              </w:rPr>
              <w:t>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CellMar>
            <w:top w:w="0" w:type="dxa"/>
            <w:left w:w="108" w:type="dxa"/>
            <w:bottom w:w="0" w:type="dxa"/>
            <w:right w:w="108" w:type="dxa"/>
          </w:tblCellMar>
        </w:tblPrEx>
        <w:trPr>
          <w:trHeight w:val="114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组织实施</w:t>
            </w:r>
            <w:r>
              <w:rPr>
                <w:rStyle w:val="12"/>
                <w:lang w:val="en-US" w:eastAsia="zh-CN" w:bidi="ar"/>
              </w:rPr>
              <w:t>（8）</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管理制度健全性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项目实施单位的财务和业务管理制度是否健全，用以反映和考核财务和业务管理制度对项目顺利实施的保障情况。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①是否已制定或具有相应的财务和业务管理制度；</w:t>
            </w:r>
          </w:p>
          <w:p>
            <w:pPr>
              <w:keepNext w:val="0"/>
              <w:keepLines w:val="0"/>
              <w:widowControl/>
              <w:suppressLineNumbers w:val="0"/>
              <w:jc w:val="left"/>
              <w:textAlignment w:val="center"/>
              <w:rPr>
                <w:rStyle w:val="9"/>
                <w:lang w:val="en-US" w:eastAsia="zh-CN" w:bidi="ar"/>
              </w:rPr>
            </w:pPr>
            <w:r>
              <w:rPr>
                <w:rStyle w:val="9"/>
                <w:lang w:val="en-US" w:eastAsia="zh-CN" w:bidi="ar"/>
              </w:rPr>
              <w:t>②财务和业务管理制度是否合法、合规、完整。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评分标准：符合一项得2分，全部符合得</w:t>
            </w:r>
            <w:r>
              <w:rPr>
                <w:rStyle w:val="11"/>
                <w:rFonts w:eastAsia="宋体"/>
                <w:lang w:val="en-US" w:eastAsia="zh-CN" w:bidi="ar"/>
              </w:rPr>
              <w:t>4</w:t>
            </w:r>
            <w:r>
              <w:rPr>
                <w:rStyle w:val="13"/>
                <w:lang w:val="en-US" w:eastAsia="zh-CN" w:bidi="ar"/>
              </w:rPr>
              <w:t>分，没有一项符合得</w:t>
            </w:r>
            <w:r>
              <w:rPr>
                <w:rStyle w:val="11"/>
                <w:rFonts w:eastAsia="宋体"/>
                <w:lang w:val="en-US" w:eastAsia="zh-CN" w:bidi="ar"/>
              </w:rPr>
              <w:t>0</w:t>
            </w:r>
            <w:r>
              <w:rPr>
                <w:rStyle w:val="13"/>
                <w:lang w:val="en-US" w:eastAsia="zh-CN" w:bidi="ar"/>
              </w:rPr>
              <w:t>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1639"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制度执行有效性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项目实施是否符合相关管理规定，用以反映和考核相关管理制度的有效执行情况。</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评价要点：</w:t>
            </w:r>
          </w:p>
          <w:p>
            <w:pPr>
              <w:keepNext w:val="0"/>
              <w:keepLines w:val="0"/>
              <w:widowControl/>
              <w:suppressLineNumbers w:val="0"/>
              <w:jc w:val="left"/>
              <w:textAlignment w:val="center"/>
              <w:rPr>
                <w:rStyle w:val="9"/>
                <w:lang w:val="en-US" w:eastAsia="zh-CN" w:bidi="ar"/>
              </w:rPr>
            </w:pPr>
            <w:r>
              <w:rPr>
                <w:rStyle w:val="9"/>
                <w:lang w:val="en-US" w:eastAsia="zh-CN" w:bidi="ar"/>
              </w:rPr>
              <w:t>①是否遵守相关法律法规和相关管理规定；</w:t>
            </w:r>
          </w:p>
          <w:p>
            <w:pPr>
              <w:keepNext w:val="0"/>
              <w:keepLines w:val="0"/>
              <w:widowControl/>
              <w:suppressLineNumbers w:val="0"/>
              <w:jc w:val="left"/>
              <w:textAlignment w:val="center"/>
              <w:rPr>
                <w:rStyle w:val="9"/>
                <w:lang w:val="en-US" w:eastAsia="zh-CN" w:bidi="ar"/>
              </w:rPr>
            </w:pPr>
            <w:r>
              <w:rPr>
                <w:rStyle w:val="9"/>
                <w:lang w:val="en-US" w:eastAsia="zh-CN" w:bidi="ar"/>
              </w:rPr>
              <w:t>②项目调整及支出调整手续是否完备；</w:t>
            </w:r>
          </w:p>
          <w:p>
            <w:pPr>
              <w:keepNext w:val="0"/>
              <w:keepLines w:val="0"/>
              <w:widowControl/>
              <w:suppressLineNumbers w:val="0"/>
              <w:jc w:val="left"/>
              <w:textAlignment w:val="center"/>
              <w:rPr>
                <w:rStyle w:val="9"/>
                <w:lang w:val="en-US" w:eastAsia="zh-CN" w:bidi="ar"/>
              </w:rPr>
            </w:pPr>
            <w:r>
              <w:rPr>
                <w:rStyle w:val="9"/>
                <w:lang w:val="en-US" w:eastAsia="zh-CN" w:bidi="ar"/>
              </w:rPr>
              <w:t>③项目合同书、验收报告、技术鉴定等资料是否齐全并及时归档；</w:t>
            </w:r>
          </w:p>
          <w:p>
            <w:pPr>
              <w:keepNext w:val="0"/>
              <w:keepLines w:val="0"/>
              <w:widowControl/>
              <w:suppressLineNumbers w:val="0"/>
              <w:jc w:val="left"/>
              <w:textAlignment w:val="center"/>
              <w:rPr>
                <w:rStyle w:val="9"/>
                <w:lang w:val="en-US" w:eastAsia="zh-CN" w:bidi="ar"/>
              </w:rPr>
            </w:pPr>
            <w:r>
              <w:rPr>
                <w:rStyle w:val="9"/>
                <w:lang w:val="en-US" w:eastAsia="zh-CN" w:bidi="ar"/>
              </w:rPr>
              <w:t>④项目实施的人员条件、场地设备、信息支撑等是否落实到位。</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评分标准：符合一项得</w:t>
            </w:r>
            <w:r>
              <w:rPr>
                <w:rStyle w:val="11"/>
                <w:rFonts w:eastAsia="宋体"/>
                <w:lang w:val="en-US" w:eastAsia="zh-CN" w:bidi="ar"/>
              </w:rPr>
              <w:t>1</w:t>
            </w:r>
            <w:r>
              <w:rPr>
                <w:rStyle w:val="13"/>
                <w:lang w:val="en-US" w:eastAsia="zh-CN" w:bidi="ar"/>
              </w:rPr>
              <w:t>分，全部符合得</w:t>
            </w:r>
            <w:r>
              <w:rPr>
                <w:rStyle w:val="11"/>
                <w:rFonts w:eastAsia="宋体"/>
                <w:lang w:val="en-US" w:eastAsia="zh-CN" w:bidi="ar"/>
              </w:rPr>
              <w:t>4</w:t>
            </w:r>
            <w:r>
              <w:rPr>
                <w:rStyle w:val="13"/>
                <w:lang w:val="en-US" w:eastAsia="zh-CN" w:bidi="ar"/>
              </w:rPr>
              <w:t>分，没有一项符合得</w:t>
            </w:r>
            <w:r>
              <w:rPr>
                <w:rStyle w:val="11"/>
                <w:rFonts w:eastAsia="宋体"/>
                <w:lang w:val="en-US" w:eastAsia="zh-CN" w:bidi="ar"/>
              </w:rPr>
              <w:t>0</w:t>
            </w:r>
            <w:r>
              <w:rPr>
                <w:rStyle w:val="13"/>
                <w:lang w:val="en-US" w:eastAsia="zh-CN" w:bidi="ar"/>
              </w:rPr>
              <w:t>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CellMar>
            <w:top w:w="0" w:type="dxa"/>
            <w:left w:w="108" w:type="dxa"/>
            <w:bottom w:w="0" w:type="dxa"/>
            <w:right w:w="108" w:type="dxa"/>
          </w:tblCellMar>
        </w:tblPrEx>
        <w:trPr>
          <w:trHeight w:val="840" w:hRule="atLeast"/>
        </w:trPr>
        <w:tc>
          <w:tcPr>
            <w:tcW w:w="696" w:type="dxa"/>
            <w:vMerge w:val="restart"/>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w:t>
            </w:r>
            <w:r>
              <w:rPr>
                <w:rStyle w:val="8"/>
                <w:rFonts w:eastAsia="宋体"/>
                <w:lang w:val="en-US" w:eastAsia="zh-CN" w:bidi="ar"/>
              </w:rPr>
              <w:t>35</w:t>
            </w:r>
            <w:r>
              <w:rPr>
                <w:rStyle w:val="9"/>
                <w:lang w:val="en-US" w:eastAsia="zh-CN" w:bidi="ar"/>
              </w:rPr>
              <w:t>分）</w:t>
            </w:r>
          </w:p>
        </w:tc>
        <w:tc>
          <w:tcPr>
            <w:tcW w:w="891"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9"/>
                <w:lang w:val="en-US" w:eastAsia="zh-CN" w:bidi="ar"/>
              </w:rPr>
              <w:t>产出数量（20）</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项目实施的实际产出数与 计划产出数的比率，用以反 映和考核项目产出数量目 标的实现程度。</w:t>
            </w:r>
          </w:p>
        </w:tc>
        <w:tc>
          <w:tcPr>
            <w:tcW w:w="3447"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实际完成率=（实际产出数/计划产出数）×100%。</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评分标准：得分=20分*实际完成率</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CellMar>
            <w:top w:w="0" w:type="dxa"/>
            <w:left w:w="108" w:type="dxa"/>
            <w:bottom w:w="0" w:type="dxa"/>
            <w:right w:w="108" w:type="dxa"/>
          </w:tblCellMar>
        </w:tblPrEx>
        <w:trPr>
          <w:trHeight w:val="1422"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产出质量（5）</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710" w:type="dxa"/>
            <w:tcBorders>
              <w:top w:val="nil"/>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项目完成的质量达标产出 数与实际产出数的比率，用 以反映和考核项目产出质 量目标的实现程度。</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质量达标率=（质量达标产出数/实际产出数）×100%。 质量达标产出数：一定时期（本年度或项目期）内实际达到既定质量标准 的产品或服务数量。既定质量标准是指项目实施单位设立绩效目标时依据 计划标准、行业标准、历史标准或其他标准而设定的绩效指标值。</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评分标准：得分</w:t>
            </w:r>
            <w:r>
              <w:rPr>
                <w:rStyle w:val="11"/>
                <w:rFonts w:eastAsia="宋体"/>
                <w:lang w:val="en-US" w:eastAsia="zh-CN" w:bidi="ar"/>
              </w:rPr>
              <w:t>=5</w:t>
            </w:r>
            <w:r>
              <w:rPr>
                <w:rStyle w:val="13"/>
                <w:lang w:val="en-US" w:eastAsia="zh-CN" w:bidi="ar"/>
              </w:rPr>
              <w:t>分*质量达标率</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1099"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产出时效（5）</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完成及时性</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项目实际完成时间与计划完成时间的比较，用以反映和考核项目产出时效目标的实现程度。</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实际完成时间：项目实施单位完成该项目实际所耗用的时间。 计划完成时间：按照项目实施计划或相关规定完成该项目所需的时间。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评分标准：得分</w:t>
            </w:r>
            <w:r>
              <w:rPr>
                <w:rStyle w:val="11"/>
                <w:rFonts w:eastAsia="宋体"/>
                <w:lang w:val="en-US" w:eastAsia="zh-CN" w:bidi="ar"/>
              </w:rPr>
              <w:t>=</w:t>
            </w:r>
            <w:r>
              <w:rPr>
                <w:rStyle w:val="13"/>
                <w:lang w:val="en-US" w:eastAsia="zh-CN" w:bidi="ar"/>
              </w:rPr>
              <w:t>5分</w:t>
            </w:r>
            <w:r>
              <w:rPr>
                <w:rStyle w:val="11"/>
                <w:rFonts w:eastAsia="宋体"/>
                <w:lang w:val="en-US" w:eastAsia="zh-CN" w:bidi="ar"/>
              </w:rPr>
              <w:t>*</w:t>
            </w:r>
            <w:r>
              <w:rPr>
                <w:rStyle w:val="13"/>
                <w:lang w:val="en-US" w:eastAsia="zh-CN" w:bidi="ar"/>
              </w:rPr>
              <w:t>项目完成及时性</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1122" w:hRule="atLeast"/>
        </w:trPr>
        <w:tc>
          <w:tcPr>
            <w:tcW w:w="696" w:type="dxa"/>
            <w:vMerge w:val="continue"/>
            <w:tcBorders>
              <w:top w:val="single" w:color="000000" w:sz="4" w:space="0"/>
              <w:left w:val="single" w:color="000000" w:sz="4" w:space="0"/>
              <w:bottom w:val="nil"/>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产出成本（5）</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w:t>
            </w:r>
          </w:p>
        </w:tc>
        <w:tc>
          <w:tcPr>
            <w:tcW w:w="4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完成项目计划工作目标的 实际节约成本与计划成本 的比率，用以反映和考核项 目的成本节约程度。</w:t>
            </w:r>
          </w:p>
        </w:tc>
        <w:tc>
          <w:tcPr>
            <w:tcW w:w="3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成本节约率=[（计划成本-实际成本）/计划成本]×100%。 实际成本：项目实施单位如期、保质、保量完成既定工作目标实际所耗费 的支出。 计划成本：项目实施单位为完成工作目标计划安排的支出，一般以项目预算为参考。</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0"/>
                <w:lang w:val="en-US" w:eastAsia="zh-CN" w:bidi="ar"/>
              </w:rPr>
              <w:t>评分标准：得分=5分*成本节约率</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1520"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w:t>
            </w:r>
            <w:r>
              <w:rPr>
                <w:rStyle w:val="8"/>
                <w:rFonts w:eastAsia="宋体"/>
                <w:lang w:val="en-US" w:eastAsia="zh-CN" w:bidi="ar"/>
              </w:rPr>
              <w:t>30</w:t>
            </w:r>
            <w:r>
              <w:rPr>
                <w:rStyle w:val="9"/>
                <w:lang w:val="en-US" w:eastAsia="zh-CN" w:bidi="ar"/>
              </w:rPr>
              <w:t>分）</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项目效益　</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9"/>
                <w:lang w:val="en-US" w:eastAsia="zh-CN" w:bidi="ar"/>
              </w:rPr>
              <w:t>（30分）</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实施效益</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项目实施所产生的效益。</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项目实施所产生的社会效益、经济效益、生态效益、可持续影响等。可根据项目实际情况有选择地设置和细化。</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3"/>
                <w:lang w:val="en-US" w:eastAsia="zh-CN" w:bidi="ar"/>
              </w:rPr>
              <w:t>评分标准：得分=25分*（实际效益指标完成值/指标预期值）</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CellMar>
            <w:top w:w="0" w:type="dxa"/>
            <w:left w:w="108" w:type="dxa"/>
            <w:bottom w:w="0" w:type="dxa"/>
            <w:right w:w="108" w:type="dxa"/>
          </w:tblCellMar>
        </w:tblPrEx>
        <w:trPr>
          <w:trHeight w:val="822"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eastAsia" w:ascii="宋体" w:hAnsi="宋体" w:eastAsia="宋体" w:cs="宋体"/>
                <w:i w:val="0"/>
                <w:iCs w:val="0"/>
                <w:color w:val="000000"/>
                <w:sz w:val="20"/>
                <w:szCs w:val="20"/>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4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9"/>
                <w:lang w:val="en-US" w:eastAsia="zh-CN" w:bidi="ar"/>
              </w:rPr>
              <w:t>社会公众或服务对象对项目实施效果的满意程度。</w:t>
            </w:r>
          </w:p>
        </w:tc>
        <w:tc>
          <w:tcPr>
            <w:tcW w:w="344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问卷调查问题设置合理规范、全面科学，并就调查结果进行总结分析得2分；同时，满意度≥95%得3分；85%≤满意度≤95%得2分；80%≤满意度≤85%得1分；其他不得分。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500" w:hRule="atLeast"/>
        </w:trPr>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c>
          <w:tcPr>
            <w:tcW w:w="5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c>
          <w:tcPr>
            <w:tcW w:w="4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c>
          <w:tcPr>
            <w:tcW w:w="34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r>
              <w:rPr>
                <w:rFonts w:hint="default" w:ascii="宋体" w:hAnsi="宋体" w:cs="宋体"/>
                <w:i w:val="0"/>
                <w:iCs w:val="0"/>
                <w:color w:val="000000"/>
                <w:kern w:val="0"/>
                <w:sz w:val="20"/>
                <w:szCs w:val="20"/>
                <w:u w:val="none"/>
                <w:lang w:eastAsia="zh-CN" w:bidi="ar"/>
              </w:rPr>
              <w:t>7</w:t>
            </w:r>
            <w:r>
              <w:rPr>
                <w:rFonts w:hint="eastAsia" w:ascii="宋体" w:hAnsi="宋体" w:cs="宋体"/>
                <w:i w:val="0"/>
                <w:iCs w:val="0"/>
                <w:color w:val="000000"/>
                <w:kern w:val="0"/>
                <w:sz w:val="20"/>
                <w:szCs w:val="20"/>
                <w:u w:val="none"/>
                <w:lang w:val="en-US" w:eastAsia="zh-Hans" w:bidi="ar"/>
              </w:rPr>
              <w:t>.</w:t>
            </w:r>
            <w:r>
              <w:rPr>
                <w:rFonts w:hint="default" w:ascii="宋体" w:hAnsi="宋体" w:cs="宋体"/>
                <w:i w:val="0"/>
                <w:iCs w:val="0"/>
                <w:color w:val="000000"/>
                <w:kern w:val="0"/>
                <w:sz w:val="20"/>
                <w:szCs w:val="20"/>
                <w:u w:val="none"/>
                <w:lang w:eastAsia="zh-Hans" w:bidi="ar"/>
              </w:rPr>
              <w:t>75</w:t>
            </w:r>
          </w:p>
        </w:tc>
      </w:tr>
    </w:tbl>
    <w:p>
      <w:pPr>
        <w:keepNext w:val="0"/>
        <w:keepLines w:val="0"/>
        <w:widowControl/>
        <w:numPr>
          <w:ilvl w:val="0"/>
          <w:numId w:val="0"/>
        </w:numPr>
        <w:suppressLineNumbers w:val="0"/>
        <w:ind w:firstLine="600" w:firstLineChars="200"/>
        <w:jc w:val="left"/>
        <w:rPr>
          <w:rFonts w:hint="default" w:ascii="仿宋_GB2312" w:hAnsi="宋体" w:eastAsia="仿宋_GB2312" w:cs="仿宋_GB2312"/>
          <w:color w:val="000000"/>
          <w:kern w:val="0"/>
          <w:sz w:val="30"/>
          <w:szCs w:val="30"/>
          <w:lang w:val="en-US" w:eastAsia="zh-CN" w:bidi="ar"/>
        </w:rPr>
      </w:pPr>
    </w:p>
    <w:p/>
    <w:sectPr>
      <w:pgSz w:w="11906" w:h="16838"/>
      <w:pgMar w:top="1440" w:right="1800" w:bottom="111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00"/>
    <w:family w:val="auto"/>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楷体_GB2312">
    <w:altName w:val="宋体"/>
    <w:panose1 w:val="02010609030101010101"/>
    <w:charset w:val="00"/>
    <w:family w:val="auto"/>
    <w:pitch w:val="default"/>
    <w:sig w:usb0="00000000" w:usb1="00000000" w:usb2="00000000" w:usb3="00000000" w:csb0="00040000" w:csb1="00000000"/>
  </w:font>
  <w:font w:name="仿宋_GB2312">
    <w:altName w:val="宋体"/>
    <w:panose1 w:val="02010609030101010101"/>
    <w:charset w:val="00"/>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ECFB8"/>
    <w:multiLevelType w:val="singleLevel"/>
    <w:tmpl w:val="81AECFB8"/>
    <w:lvl w:ilvl="0" w:tentative="0">
      <w:start w:val="2"/>
      <w:numFmt w:val="chineseCounting"/>
      <w:suff w:val="nothing"/>
      <w:lvlText w:val="（%1）"/>
      <w:lvlJc w:val="left"/>
      <w:rPr>
        <w:rFonts w:hint="eastAsia" w:ascii="楷体_GB2312" w:hAnsi="楷体_GB2312" w:eastAsia="楷体_GB2312" w:cs="楷体_GB2312"/>
      </w:rPr>
    </w:lvl>
  </w:abstractNum>
  <w:abstractNum w:abstractNumId="1">
    <w:nsid w:val="DB11058D"/>
    <w:multiLevelType w:val="singleLevel"/>
    <w:tmpl w:val="DB11058D"/>
    <w:lvl w:ilvl="0" w:tentative="0">
      <w:start w:val="6"/>
      <w:numFmt w:val="chineseCounting"/>
      <w:suff w:val="nothing"/>
      <w:lvlText w:val="%1、"/>
      <w:lvlJc w:val="left"/>
      <w:rPr>
        <w:rFonts w:hint="eastAsia" w:ascii="黑体" w:hAnsi="黑体" w:eastAsia="黑体" w:cs="黑体"/>
        <w:sz w:val="32"/>
        <w:szCs w:val="32"/>
      </w:rPr>
    </w:lvl>
  </w:abstractNum>
  <w:abstractNum w:abstractNumId="2">
    <w:nsid w:val="612E3315"/>
    <w:multiLevelType w:val="singleLevel"/>
    <w:tmpl w:val="612E3315"/>
    <w:lvl w:ilvl="0" w:tentative="0">
      <w:start w:val="2"/>
      <w:numFmt w:val="decimal"/>
      <w:suff w:val="nothing"/>
      <w:lvlText w:val="%1."/>
      <w:lvlJc w:val="left"/>
    </w:lvl>
  </w:abstractNum>
  <w:abstractNum w:abstractNumId="3">
    <w:nsid w:val="612E3885"/>
    <w:multiLevelType w:val="singleLevel"/>
    <w:tmpl w:val="612E3885"/>
    <w:lvl w:ilvl="0" w:tentative="0">
      <w:start w:val="1"/>
      <w:numFmt w:val="decimal"/>
      <w:suff w:val="nothing"/>
      <w:lvlText w:val="（%1）"/>
      <w:lvlJc w:val="left"/>
    </w:lvl>
  </w:abstractNum>
  <w:abstractNum w:abstractNumId="4">
    <w:nsid w:val="612E3CA7"/>
    <w:multiLevelType w:val="singleLevel"/>
    <w:tmpl w:val="612E3CA7"/>
    <w:lvl w:ilvl="0" w:tentative="0">
      <w:start w:val="1"/>
      <w:numFmt w:val="decimal"/>
      <w:suff w:val="nothing"/>
      <w:lvlText w:val="%1."/>
      <w:lvlJc w:val="left"/>
    </w:lvl>
  </w:abstractNum>
  <w:abstractNum w:abstractNumId="5">
    <w:nsid w:val="612E3D60"/>
    <w:multiLevelType w:val="singleLevel"/>
    <w:tmpl w:val="612E3D60"/>
    <w:lvl w:ilvl="0" w:tentative="0">
      <w:start w:val="2"/>
      <w:numFmt w:val="decimal"/>
      <w:suff w:val="nothing"/>
      <w:lvlText w:val="%1."/>
      <w:lvlJc w:val="left"/>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jYTE3ZjA1MWI0ZWNhOTY2NDBjODEyYzEwNWRkMmYifQ=="/>
    <w:docVar w:name="KSO_WPS_MARK_KEY" w:val="355e0745-0ea7-41a8-bbe5-1f096c07ea3a"/>
  </w:docVars>
  <w:rsids>
    <w:rsidRoot w:val="00000000"/>
    <w:rsid w:val="028111A0"/>
    <w:rsid w:val="054E7864"/>
    <w:rsid w:val="05D341A5"/>
    <w:rsid w:val="06C44991"/>
    <w:rsid w:val="07DB2A9F"/>
    <w:rsid w:val="084358FC"/>
    <w:rsid w:val="08B86347"/>
    <w:rsid w:val="09077951"/>
    <w:rsid w:val="0BB46C5E"/>
    <w:rsid w:val="12961CD1"/>
    <w:rsid w:val="13B2080B"/>
    <w:rsid w:val="15D62C99"/>
    <w:rsid w:val="16DB57DD"/>
    <w:rsid w:val="178F2AEC"/>
    <w:rsid w:val="1AE05A1A"/>
    <w:rsid w:val="1EC02814"/>
    <w:rsid w:val="1F8E7273"/>
    <w:rsid w:val="22351B4C"/>
    <w:rsid w:val="31EC4C3B"/>
    <w:rsid w:val="32904590"/>
    <w:rsid w:val="33370293"/>
    <w:rsid w:val="38F0754B"/>
    <w:rsid w:val="3E1A1783"/>
    <w:rsid w:val="3E531059"/>
    <w:rsid w:val="3FDB5566"/>
    <w:rsid w:val="3FF13102"/>
    <w:rsid w:val="406D2AF5"/>
    <w:rsid w:val="454652B8"/>
    <w:rsid w:val="45DB10E2"/>
    <w:rsid w:val="46071398"/>
    <w:rsid w:val="4AF34F15"/>
    <w:rsid w:val="4D1A07F6"/>
    <w:rsid w:val="53AC3012"/>
    <w:rsid w:val="54096B6F"/>
    <w:rsid w:val="5B582417"/>
    <w:rsid w:val="5B6121C9"/>
    <w:rsid w:val="5D244DC7"/>
    <w:rsid w:val="5E4A50C0"/>
    <w:rsid w:val="674E7703"/>
    <w:rsid w:val="6AB31FD5"/>
    <w:rsid w:val="6DF513E2"/>
    <w:rsid w:val="71DC02E3"/>
    <w:rsid w:val="72F9537C"/>
    <w:rsid w:val="786668A9"/>
    <w:rsid w:val="786D5B37"/>
    <w:rsid w:val="78DE18D9"/>
    <w:rsid w:val="798E34D8"/>
    <w:rsid w:val="7BF9556F"/>
    <w:rsid w:val="7DA4888C"/>
    <w:rsid w:val="DBF61E56"/>
    <w:rsid w:val="EFBDE594"/>
    <w:rsid w:val="F2C79D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01"/>
    <w:basedOn w:val="7"/>
    <w:qFormat/>
    <w:uiPriority w:val="0"/>
    <w:rPr>
      <w:rFonts w:hint="default" w:ascii="Times New Roman" w:hAnsi="Times New Roman" w:cs="Times New Roman"/>
      <w:color w:val="000000"/>
      <w:sz w:val="20"/>
      <w:szCs w:val="20"/>
      <w:u w:val="none"/>
    </w:rPr>
  </w:style>
  <w:style w:type="character" w:customStyle="1" w:styleId="9">
    <w:name w:val="font21"/>
    <w:basedOn w:val="7"/>
    <w:qFormat/>
    <w:uiPriority w:val="0"/>
    <w:rPr>
      <w:rFonts w:hint="eastAsia" w:ascii="宋体" w:hAnsi="宋体" w:eastAsia="宋体" w:cs="宋体"/>
      <w:color w:val="000000"/>
      <w:sz w:val="20"/>
      <w:szCs w:val="20"/>
      <w:u w:val="none"/>
    </w:rPr>
  </w:style>
  <w:style w:type="character" w:customStyle="1" w:styleId="10">
    <w:name w:val="font101"/>
    <w:basedOn w:val="7"/>
    <w:qFormat/>
    <w:uiPriority w:val="0"/>
    <w:rPr>
      <w:rFonts w:hint="eastAsia" w:ascii="宋体" w:hAnsi="宋体" w:eastAsia="宋体" w:cs="宋体"/>
      <w:b/>
      <w:bCs/>
      <w:color w:val="000000"/>
      <w:sz w:val="20"/>
      <w:szCs w:val="20"/>
      <w:u w:val="none"/>
    </w:rPr>
  </w:style>
  <w:style w:type="character" w:customStyle="1" w:styleId="11">
    <w:name w:val="font91"/>
    <w:basedOn w:val="7"/>
    <w:qFormat/>
    <w:uiPriority w:val="0"/>
    <w:rPr>
      <w:rFonts w:hint="default" w:ascii="Times New Roman" w:hAnsi="Times New Roman" w:cs="Times New Roman"/>
      <w:b/>
      <w:bCs/>
      <w:color w:val="000000"/>
      <w:sz w:val="20"/>
      <w:szCs w:val="20"/>
      <w:u w:val="none"/>
    </w:rPr>
  </w:style>
  <w:style w:type="character" w:customStyle="1" w:styleId="12">
    <w:name w:val="font51"/>
    <w:basedOn w:val="7"/>
    <w:qFormat/>
    <w:uiPriority w:val="0"/>
    <w:rPr>
      <w:rFonts w:ascii="微软雅黑" w:hAnsi="微软雅黑" w:eastAsia="微软雅黑" w:cs="微软雅黑"/>
      <w:color w:val="000000"/>
      <w:sz w:val="20"/>
      <w:szCs w:val="20"/>
      <w:u w:val="none"/>
    </w:rPr>
  </w:style>
  <w:style w:type="character" w:customStyle="1" w:styleId="13">
    <w:name w:val="font61"/>
    <w:basedOn w:val="7"/>
    <w:qFormat/>
    <w:uiPriority w:val="0"/>
    <w:rPr>
      <w:rFonts w:hint="eastAsia" w:ascii="宋体" w:hAnsi="宋体" w:eastAsia="宋体" w:cs="宋体"/>
      <w:b/>
      <w:bCs/>
      <w:color w:val="000000"/>
      <w:sz w:val="20"/>
      <w:szCs w:val="20"/>
      <w:u w:val="none"/>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10249</Words>
  <Characters>10648</Characters>
  <Lines>0</Lines>
  <Paragraphs>0</Paragraphs>
  <TotalTime>37</TotalTime>
  <ScaleCrop>false</ScaleCrop>
  <LinksUpToDate>false</LinksUpToDate>
  <CharactersWithSpaces>10687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2021-07-10T15:50:00Z</dcterms:created>
  <dc:creator>姚云</dc:creator>
  <cp:lastModifiedBy>木子</cp:lastModifiedBy>
  <dcterms:modified xsi:type="dcterms:W3CDTF">2023-06-20T14:09:20Z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0F0C7EB173F946078485971FF7630D3F</vt:lpwstr>
  </property>
</Properties>
</file>