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rPr>
        <w:t>2020年度政府投资</w:t>
      </w:r>
    </w:p>
    <w:p>
      <w:pPr>
        <w:spacing w:line="600" w:lineRule="exact"/>
        <w:jc w:val="center"/>
        <w:rPr>
          <w:rFonts w:ascii="黑体" w:hAnsi="黑体" w:eastAsia="黑体"/>
          <w:sz w:val="44"/>
          <w:szCs w:val="44"/>
        </w:rPr>
      </w:pPr>
      <w:r>
        <w:rPr>
          <w:rFonts w:hint="eastAsia" w:ascii="黑体" w:hAnsi="黑体" w:eastAsia="黑体"/>
          <w:sz w:val="44"/>
          <w:szCs w:val="44"/>
        </w:rPr>
        <w:t>项目支出绩效自评报告</w:t>
      </w:r>
    </w:p>
    <w:p>
      <w:pPr>
        <w:spacing w:line="600" w:lineRule="exact"/>
        <w:rPr>
          <w:rFonts w:ascii="仿宋_GB2312" w:eastAsia="仿宋_GB2312"/>
          <w:sz w:val="32"/>
          <w:szCs w:val="32"/>
        </w:rPr>
      </w:pPr>
      <w:r>
        <w:rPr>
          <w:rFonts w:hint="eastAsia" w:ascii="仿宋_GB2312" w:eastAsia="仿宋_GB2312"/>
          <w:sz w:val="32"/>
          <w:szCs w:val="32"/>
        </w:rPr>
        <w:t xml:space="preserve">    </w:t>
      </w: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360" w:lineRule="auto"/>
        <w:ind w:left="4480" w:hanging="4480" w:hangingChars="1400"/>
        <w:jc w:val="left"/>
        <w:rPr>
          <w:rFonts w:ascii="仿宋_GB2312" w:eastAsia="仿宋_GB2312" w:cs="仿宋_GB2312"/>
          <w:sz w:val="32"/>
          <w:szCs w:val="32"/>
        </w:rPr>
      </w:pPr>
    </w:p>
    <w:p>
      <w:pPr>
        <w:spacing w:line="360" w:lineRule="auto"/>
        <w:ind w:left="4480" w:hanging="4480" w:hangingChars="1400"/>
        <w:jc w:val="left"/>
        <w:rPr>
          <w:rFonts w:ascii="仿宋_GB2312" w:eastAsia="仿宋_GB2312" w:cs="仿宋_GB2312"/>
          <w:sz w:val="32"/>
          <w:szCs w:val="32"/>
        </w:rPr>
      </w:pPr>
    </w:p>
    <w:p>
      <w:pPr>
        <w:spacing w:line="360" w:lineRule="auto"/>
        <w:ind w:left="3875" w:leftChars="550" w:hanging="2720" w:hangingChars="850"/>
        <w:jc w:val="left"/>
        <w:rPr>
          <w:rFonts w:ascii="仿宋_GB2312" w:eastAsia="仿宋_GB2312" w:cs="仿宋_GB2312"/>
          <w:sz w:val="32"/>
          <w:szCs w:val="32"/>
        </w:rPr>
      </w:pPr>
    </w:p>
    <w:p>
      <w:pPr>
        <w:spacing w:line="360" w:lineRule="auto"/>
        <w:ind w:left="3875" w:leftChars="550" w:hanging="2720" w:hangingChars="850"/>
        <w:jc w:val="left"/>
        <w:rPr>
          <w:rFonts w:ascii="仿宋_GB2312" w:eastAsia="仿宋_GB2312" w:cs="仿宋_GB2312"/>
          <w:sz w:val="32"/>
          <w:szCs w:val="32"/>
        </w:rPr>
      </w:pPr>
    </w:p>
    <w:p>
      <w:pPr>
        <w:spacing w:line="360" w:lineRule="auto"/>
        <w:ind w:left="4035" w:leftChars="550" w:hanging="2880" w:hangingChars="900"/>
        <w:jc w:val="left"/>
        <w:rPr>
          <w:rFonts w:ascii="仿宋_GB2312" w:eastAsia="仿宋_GB2312" w:cs="仿宋_GB2312"/>
          <w:sz w:val="32"/>
          <w:szCs w:val="32"/>
        </w:rPr>
      </w:pPr>
    </w:p>
    <w:p>
      <w:pPr>
        <w:spacing w:line="360" w:lineRule="auto"/>
        <w:ind w:left="4035" w:leftChars="550" w:hanging="2880" w:hangingChars="900"/>
        <w:jc w:val="left"/>
        <w:rPr>
          <w:rFonts w:ascii="仿宋_GB2312" w:eastAsia="仿宋_GB2312" w:cs="仿宋_GB2312"/>
          <w:sz w:val="32"/>
          <w:szCs w:val="32"/>
        </w:rPr>
      </w:pPr>
    </w:p>
    <w:p>
      <w:pPr>
        <w:spacing w:line="360" w:lineRule="auto"/>
        <w:ind w:left="4035" w:leftChars="550" w:hanging="2880" w:hangingChars="900"/>
        <w:jc w:val="left"/>
        <w:rPr>
          <w:rFonts w:ascii="仿宋_GB2312" w:eastAsia="仿宋_GB2312" w:cs="仿宋_GB2312"/>
          <w:sz w:val="32"/>
          <w:szCs w:val="32"/>
        </w:rPr>
      </w:pPr>
    </w:p>
    <w:p>
      <w:pPr>
        <w:spacing w:line="360" w:lineRule="auto"/>
        <w:ind w:left="4035" w:leftChars="550" w:hanging="2880" w:hangingChars="900"/>
        <w:jc w:val="left"/>
        <w:rPr>
          <w:rFonts w:ascii="仿宋_GB2312" w:eastAsia="仿宋_GB2312" w:cs="仿宋_GB2312"/>
          <w:sz w:val="32"/>
          <w:szCs w:val="32"/>
        </w:rPr>
      </w:pPr>
      <w:r>
        <w:rPr>
          <w:rFonts w:hint="eastAsia" w:ascii="仿宋_GB2312" w:eastAsia="仿宋_GB2312" w:cs="仿宋_GB2312"/>
          <w:sz w:val="32"/>
          <w:szCs w:val="32"/>
        </w:rPr>
        <w:t>部门名称（公章</w:t>
      </w:r>
      <w:r>
        <w:rPr>
          <w:rFonts w:hint="eastAsia" w:ascii="仿宋_GB2312" w:eastAsia="仿宋_GB2312" w:cs="仿宋_GB2312"/>
          <w:sz w:val="32"/>
          <w:szCs w:val="32"/>
          <w:lang w:eastAsia="zh-CN"/>
        </w:rPr>
        <w:t>）</w:t>
      </w:r>
      <w:r>
        <w:rPr>
          <w:rFonts w:hint="eastAsia" w:ascii="仿宋_GB2312" w:eastAsia="仿宋_GB2312" w:cs="仿宋_GB2312"/>
          <w:sz w:val="32"/>
          <w:szCs w:val="32"/>
        </w:rPr>
        <w:t>：深圳市公安局大鹏分局</w:t>
      </w:r>
    </w:p>
    <w:p>
      <w:pPr>
        <w:spacing w:line="360" w:lineRule="auto"/>
        <w:ind w:left="4035" w:leftChars="550" w:hanging="2880" w:hangingChars="900"/>
        <w:jc w:val="left"/>
        <w:rPr>
          <w:rFonts w:hint="eastAsia" w:ascii="仿宋_GB2312" w:eastAsia="仿宋_GB2312"/>
          <w:sz w:val="32"/>
          <w:szCs w:val="32"/>
          <w:lang w:eastAsia="zh-CN"/>
        </w:rPr>
      </w:pPr>
      <w:r>
        <w:rPr>
          <w:rFonts w:hint="eastAsia" w:ascii="仿宋_GB2312" w:eastAsia="仿宋_GB2312" w:cs="仿宋_GB2312"/>
          <w:sz w:val="32"/>
          <w:szCs w:val="32"/>
        </w:rPr>
        <w:t>填报人：</w:t>
      </w:r>
      <w:r>
        <w:rPr>
          <w:rFonts w:hint="eastAsia" w:ascii="仿宋_GB2312" w:eastAsia="仿宋_GB2312" w:cs="仿宋_GB2312"/>
          <w:sz w:val="32"/>
          <w:szCs w:val="32"/>
          <w:lang w:eastAsia="zh-CN"/>
        </w:rPr>
        <w:t>彭晓丽</w:t>
      </w:r>
    </w:p>
    <w:p>
      <w:pPr>
        <w:spacing w:line="360" w:lineRule="auto"/>
        <w:ind w:firstLine="1120" w:firstLineChars="350"/>
        <w:rPr>
          <w:rFonts w:hint="default" w:ascii="仿宋_GB2312" w:eastAsia="仿宋_GB2312"/>
          <w:sz w:val="32"/>
          <w:szCs w:val="32"/>
          <w:lang w:val="en-US" w:eastAsia="zh-CN"/>
        </w:rPr>
      </w:pPr>
      <w:r>
        <w:rPr>
          <w:rFonts w:hint="eastAsia" w:ascii="仿宋_GB2312" w:eastAsia="仿宋_GB2312" w:cs="仿宋_GB2312"/>
          <w:sz w:val="32"/>
          <w:szCs w:val="32"/>
        </w:rPr>
        <w:t>联系电话：</w:t>
      </w:r>
      <w:r>
        <w:rPr>
          <w:rFonts w:hint="eastAsia" w:ascii="仿宋_GB2312" w:eastAsia="仿宋_GB2312" w:cs="仿宋_GB2312"/>
          <w:sz w:val="32"/>
          <w:szCs w:val="32"/>
          <w:lang w:val="en-US" w:eastAsia="zh-CN"/>
        </w:rPr>
        <w:t>28333519</w:t>
      </w:r>
    </w:p>
    <w:p>
      <w:pPr>
        <w:spacing w:line="600" w:lineRule="exact"/>
        <w:ind w:firstLine="640" w:firstLineChars="200"/>
        <w:outlineLvl w:val="1"/>
        <w:rPr>
          <w:rFonts w:ascii="黑体" w:hAnsi="黑体" w:eastAsia="黑体"/>
          <w:sz w:val="32"/>
          <w:szCs w:val="32"/>
        </w:rPr>
      </w:pPr>
      <w:r>
        <w:rPr>
          <w:rFonts w:hint="eastAsia" w:ascii="仿宋_GB2312" w:hAnsi="宋体" w:eastAsia="仿宋_GB2312" w:cs="宋体"/>
          <w:kern w:val="0"/>
          <w:sz w:val="32"/>
          <w:szCs w:val="32"/>
        </w:rPr>
        <w:t>为全面推进预算绩效管理工作，强化预算支出责任，优化支出结构，提高财政资金使用效益，根据《中华人民共和国预算法</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中共中央</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国务院关于全面实施预算绩效管理</w:t>
      </w:r>
      <w:bookmarkStart w:id="0" w:name="_GoBack"/>
      <w:bookmarkEnd w:id="0"/>
      <w:r>
        <w:rPr>
          <w:rFonts w:hint="eastAsia" w:ascii="仿宋_GB2312" w:hAnsi="宋体" w:eastAsia="仿宋_GB2312" w:cs="宋体"/>
          <w:kern w:val="0"/>
          <w:sz w:val="32"/>
          <w:szCs w:val="32"/>
        </w:rPr>
        <w:t>的意见》（中发〔2018〕34号）、《深圳市财政局关于贯彻落实全面实施预算绩效管理有关事项的通知》（深财绩〔2019〕5号）、</w:t>
      </w:r>
      <w:r>
        <w:rPr>
          <w:rFonts w:hint="eastAsia" w:ascii="仿宋_GB2312" w:hAnsi="黑体" w:eastAsia="仿宋_GB2312"/>
          <w:sz w:val="32"/>
          <w:szCs w:val="32"/>
        </w:rPr>
        <w:t>深圳市大鹏新区发展和财政局《关于做好新区2021年预算绩效管理工作的通知》（深鹏发财函〔2021〕51号）等</w:t>
      </w:r>
      <w:r>
        <w:rPr>
          <w:rFonts w:hint="eastAsia" w:ascii="仿宋_GB2312" w:hAnsi="宋体" w:eastAsia="仿宋_GB2312" w:cs="宋体"/>
          <w:kern w:val="0"/>
          <w:sz w:val="32"/>
          <w:szCs w:val="32"/>
        </w:rPr>
        <w:t>相关规定，深圳市公安局大鹏分局（以下简称“我局”）组织评价小组对2020年度政府投资项目实施绩效自评，形成本绩效自评报告。</w:t>
      </w:r>
    </w:p>
    <w:p>
      <w:pPr>
        <w:spacing w:line="600" w:lineRule="exact"/>
        <w:rPr>
          <w:rFonts w:ascii="黑体" w:hAnsi="黑体" w:eastAsia="黑体"/>
          <w:sz w:val="32"/>
          <w:szCs w:val="32"/>
        </w:rPr>
      </w:pPr>
      <w:r>
        <w:rPr>
          <w:rFonts w:hint="eastAsia" w:ascii="仿宋_GB2312" w:eastAsia="仿宋_GB2312"/>
          <w:sz w:val="32"/>
          <w:szCs w:val="32"/>
        </w:rPr>
        <w:t xml:space="preserve">    </w:t>
      </w:r>
      <w:r>
        <w:rPr>
          <w:rFonts w:hint="eastAsia" w:ascii="黑体" w:hAnsi="黑体" w:eastAsia="黑体"/>
          <w:sz w:val="32"/>
          <w:szCs w:val="32"/>
        </w:rPr>
        <w:t>一、项目概况介绍</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（一）项目基本情况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我局2020年度共承担政府投资项目5个，分别为大鹏新区“雪亮工程”（二期）第一批项目、“雪亮工程”（二期）第二批项目、平安大鹏“视频云+共享”平台工程项目、2018年警用设备购置、平安大鹏视频监控系统建设。2020年，我局实施的以上项目均已顺利完成。项目基本情况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大鹏新区“雪亮工程”（二期）第一批项目。</w:t>
      </w:r>
      <w:r>
        <w:rPr>
          <w:rFonts w:ascii="仿宋_GB2312" w:eastAsia="仿宋_GB2312"/>
          <w:sz w:val="32"/>
          <w:szCs w:val="32"/>
        </w:rPr>
        <w:t>本项目视频监控建设主要部署在人员密集和重点防控区域出</w:t>
      </w:r>
      <w:r>
        <w:rPr>
          <w:rFonts w:hint="eastAsia" w:ascii="仿宋_GB2312" w:eastAsia="仿宋_GB2312"/>
          <w:sz w:val="32"/>
          <w:szCs w:val="32"/>
          <w:lang w:eastAsia="zh-CN"/>
        </w:rPr>
        <w:t>入口</w:t>
      </w:r>
      <w:r>
        <w:rPr>
          <w:rFonts w:ascii="仿宋_GB2312" w:eastAsia="仿宋_GB2312"/>
          <w:sz w:val="32"/>
          <w:szCs w:val="32"/>
        </w:rPr>
        <w:t>、交叉路、十字</w:t>
      </w:r>
      <w:r>
        <w:rPr>
          <w:rFonts w:hint="eastAsia" w:ascii="仿宋_GB2312" w:eastAsia="仿宋_GB2312"/>
          <w:sz w:val="32"/>
          <w:szCs w:val="32"/>
          <w:lang w:eastAsia="zh-CN"/>
        </w:rPr>
        <w:t>路口</w:t>
      </w:r>
      <w:r>
        <w:rPr>
          <w:rFonts w:ascii="仿宋_GB2312" w:eastAsia="仿宋_GB2312"/>
          <w:sz w:val="32"/>
          <w:szCs w:val="32"/>
        </w:rPr>
        <w:t>，包括人流密集的超市</w:t>
      </w:r>
      <w:r>
        <w:rPr>
          <w:rFonts w:hint="eastAsia" w:ascii="仿宋_GB2312" w:eastAsia="仿宋_GB2312"/>
          <w:sz w:val="32"/>
          <w:szCs w:val="32"/>
          <w:lang w:eastAsia="zh-CN"/>
        </w:rPr>
        <w:t>门口</w:t>
      </w:r>
      <w:r>
        <w:rPr>
          <w:rFonts w:ascii="仿宋_GB2312" w:eastAsia="仿宋_GB2312"/>
          <w:sz w:val="32"/>
          <w:szCs w:val="32"/>
        </w:rPr>
        <w:t>、公交场所等区域。大鹏新区“雪亮工程”</w:t>
      </w:r>
      <w:r>
        <w:rPr>
          <w:rFonts w:hint="eastAsia" w:ascii="仿宋_GB2312" w:eastAsia="仿宋_GB2312"/>
          <w:sz w:val="32"/>
          <w:szCs w:val="32"/>
          <w:lang w:eastAsia="zh-CN"/>
        </w:rPr>
        <w:t>（</w:t>
      </w:r>
      <w:r>
        <w:rPr>
          <w:rFonts w:ascii="仿宋_GB2312" w:eastAsia="仿宋_GB2312"/>
          <w:sz w:val="32"/>
          <w:szCs w:val="32"/>
        </w:rPr>
        <w:t>二期</w:t>
      </w:r>
      <w:r>
        <w:rPr>
          <w:rFonts w:hint="eastAsia" w:ascii="仿宋_GB2312" w:eastAsia="仿宋_GB2312"/>
          <w:sz w:val="32"/>
          <w:szCs w:val="32"/>
          <w:lang w:eastAsia="zh-CN"/>
        </w:rPr>
        <w:t>）</w:t>
      </w:r>
      <w:r>
        <w:rPr>
          <w:rFonts w:ascii="仿宋_GB2312" w:eastAsia="仿宋_GB2312"/>
          <w:sz w:val="32"/>
          <w:szCs w:val="32"/>
        </w:rPr>
        <w:t>项目第一批建设内容包括</w:t>
      </w:r>
      <w:r>
        <w:rPr>
          <w:rFonts w:hint="eastAsia" w:ascii="仿宋_GB2312" w:eastAsia="仿宋_GB2312"/>
          <w:sz w:val="32"/>
          <w:szCs w:val="32"/>
          <w:lang w:eastAsia="zh-CN"/>
        </w:rPr>
        <w:t>：增加</w:t>
      </w:r>
      <w:r>
        <w:rPr>
          <w:rFonts w:ascii="仿宋_GB2312" w:eastAsia="仿宋_GB2312"/>
          <w:sz w:val="32"/>
          <w:szCs w:val="32"/>
        </w:rPr>
        <w:t>建设900路高清一类监控点、400路人像识别监控车站、园区</w:t>
      </w:r>
      <w:r>
        <w:rPr>
          <w:rFonts w:hint="eastAsia" w:ascii="仿宋_GB2312" w:eastAsia="仿宋_GB2312"/>
          <w:sz w:val="32"/>
          <w:szCs w:val="32"/>
          <w:lang w:eastAsia="zh-CN"/>
        </w:rPr>
        <w:t>门口</w:t>
      </w:r>
      <w:r>
        <w:rPr>
          <w:rFonts w:ascii="仿宋_GB2312" w:eastAsia="仿宋_GB2312"/>
          <w:sz w:val="32"/>
          <w:szCs w:val="32"/>
        </w:rPr>
        <w:t>、厂区</w:t>
      </w:r>
      <w:r>
        <w:rPr>
          <w:rFonts w:hint="eastAsia" w:ascii="仿宋_GB2312" w:eastAsia="仿宋_GB2312"/>
          <w:sz w:val="32"/>
          <w:szCs w:val="32"/>
          <w:lang w:eastAsia="zh-CN"/>
        </w:rPr>
        <w:t>门口</w:t>
      </w:r>
      <w:r>
        <w:rPr>
          <w:rFonts w:ascii="仿宋_GB2312" w:eastAsia="仿宋_GB2312"/>
          <w:sz w:val="32"/>
          <w:szCs w:val="32"/>
        </w:rPr>
        <w:t>、重要道路出</w:t>
      </w:r>
      <w:r>
        <w:rPr>
          <w:rFonts w:hint="eastAsia" w:ascii="仿宋_GB2312" w:eastAsia="仿宋_GB2312"/>
          <w:sz w:val="32"/>
          <w:szCs w:val="32"/>
          <w:lang w:eastAsia="zh-CN"/>
        </w:rPr>
        <w:t>入口</w:t>
      </w:r>
      <w:r>
        <w:rPr>
          <w:rFonts w:ascii="仿宋_GB2312" w:eastAsia="仿宋_GB2312"/>
          <w:sz w:val="32"/>
          <w:szCs w:val="32"/>
        </w:rPr>
        <w:t>、人流密集的旅游点、6路高空</w:t>
      </w:r>
      <w:r>
        <w:rPr>
          <w:rFonts w:hint="eastAsia" w:ascii="仿宋_GB2312" w:eastAsia="仿宋_GB2312"/>
          <w:sz w:val="32"/>
          <w:szCs w:val="32"/>
          <w:lang w:eastAsia="zh-CN"/>
        </w:rPr>
        <w:t>瞭望</w:t>
      </w:r>
      <w:r>
        <w:rPr>
          <w:rFonts w:ascii="仿宋_GB2312" w:eastAsia="仿宋_GB2312"/>
          <w:sz w:val="32"/>
          <w:szCs w:val="32"/>
        </w:rPr>
        <w:t>点，完成35个二三类社会单位视频资源接入及汇聚平台的搭建，扩容集中存储平台，增容数据中心</w:t>
      </w:r>
      <w:r>
        <w:rPr>
          <w:rFonts w:hint="eastAsia" w:ascii="仿宋_GB2312" w:eastAsia="仿宋_GB2312"/>
          <w:sz w:val="32"/>
          <w:szCs w:val="32"/>
          <w:lang w:eastAsia="zh-CN"/>
        </w:rPr>
        <w:t>（</w:t>
      </w:r>
      <w:r>
        <w:rPr>
          <w:rFonts w:ascii="仿宋_GB2312" w:eastAsia="仿宋_GB2312"/>
          <w:sz w:val="32"/>
          <w:szCs w:val="32"/>
        </w:rPr>
        <w:t>主</w:t>
      </w:r>
      <w:r>
        <w:rPr>
          <w:rFonts w:hint="eastAsia" w:ascii="仿宋_GB2312" w:eastAsia="仿宋_GB2312"/>
          <w:sz w:val="32"/>
          <w:szCs w:val="32"/>
          <w:lang w:eastAsia="zh-CN"/>
        </w:rPr>
        <w:t>）</w:t>
      </w:r>
      <w:r>
        <w:rPr>
          <w:rFonts w:ascii="仿宋_GB2312" w:eastAsia="仿宋_GB2312"/>
          <w:sz w:val="32"/>
          <w:szCs w:val="32"/>
        </w:rPr>
        <w:t>的市电容量，配电智能管理平台的建设。</w:t>
      </w:r>
    </w:p>
    <w:p>
      <w:pPr>
        <w:spacing w:line="600" w:lineRule="exact"/>
        <w:ind w:firstLine="640" w:firstLineChars="200"/>
        <w:rPr>
          <w:rFonts w:ascii="仿宋_GB2312" w:eastAsia="仿宋_GB2312"/>
          <w:sz w:val="32"/>
          <w:szCs w:val="32"/>
        </w:rPr>
      </w:pPr>
      <w:r>
        <w:rPr>
          <w:rFonts w:ascii="仿宋_GB2312" w:eastAsia="仿宋_GB2312"/>
          <w:sz w:val="32"/>
          <w:szCs w:val="32"/>
        </w:rPr>
        <w:t>大鹏新区“雪亮工程”</w:t>
      </w:r>
      <w:r>
        <w:rPr>
          <w:rFonts w:hint="eastAsia" w:ascii="仿宋_GB2312" w:eastAsia="仿宋_GB2312"/>
          <w:sz w:val="32"/>
          <w:szCs w:val="32"/>
          <w:lang w:eastAsia="zh-CN"/>
        </w:rPr>
        <w:t>（</w:t>
      </w:r>
      <w:r>
        <w:rPr>
          <w:rFonts w:ascii="仿宋_GB2312" w:eastAsia="仿宋_GB2312"/>
          <w:sz w:val="32"/>
          <w:szCs w:val="32"/>
        </w:rPr>
        <w:t>二期</w:t>
      </w:r>
      <w:r>
        <w:rPr>
          <w:rFonts w:hint="eastAsia" w:ascii="仿宋_GB2312" w:eastAsia="仿宋_GB2312"/>
          <w:sz w:val="32"/>
          <w:szCs w:val="32"/>
          <w:lang w:eastAsia="zh-CN"/>
        </w:rPr>
        <w:t>）</w:t>
      </w:r>
      <w:r>
        <w:rPr>
          <w:rFonts w:ascii="仿宋_GB2312" w:eastAsia="仿宋_GB2312"/>
          <w:sz w:val="32"/>
          <w:szCs w:val="32"/>
        </w:rPr>
        <w:t>第二批项目</w:t>
      </w:r>
      <w:r>
        <w:rPr>
          <w:rFonts w:hint="eastAsia" w:ascii="仿宋_GB2312" w:eastAsia="仿宋_GB2312"/>
          <w:sz w:val="32"/>
          <w:szCs w:val="32"/>
        </w:rPr>
        <w:t>。项目</w:t>
      </w:r>
      <w:r>
        <w:rPr>
          <w:rFonts w:ascii="仿宋_GB2312" w:eastAsia="仿宋_GB2312"/>
          <w:sz w:val="32"/>
          <w:szCs w:val="32"/>
        </w:rPr>
        <w:t>建设内容包括</w:t>
      </w:r>
      <w:r>
        <w:rPr>
          <w:rFonts w:hint="eastAsia" w:ascii="仿宋_GB2312" w:eastAsia="仿宋_GB2312"/>
          <w:sz w:val="32"/>
          <w:szCs w:val="32"/>
          <w:lang w:eastAsia="zh-CN"/>
        </w:rPr>
        <w:t>：</w:t>
      </w:r>
      <w:r>
        <w:rPr>
          <w:rFonts w:ascii="仿宋_GB2312" w:eastAsia="仿宋_GB2312"/>
          <w:sz w:val="32"/>
          <w:szCs w:val="32"/>
        </w:rPr>
        <w:t>视频监控联网共享</w:t>
      </w:r>
      <w:r>
        <w:rPr>
          <w:rFonts w:hint="eastAsia" w:ascii="仿宋_GB2312" w:eastAsia="仿宋_GB2312"/>
          <w:sz w:val="32"/>
          <w:szCs w:val="32"/>
          <w:lang w:eastAsia="zh-CN"/>
        </w:rPr>
        <w:t>平台</w:t>
      </w:r>
      <w:r>
        <w:rPr>
          <w:rFonts w:ascii="仿宋_GB2312" w:eastAsia="仿宋_GB2312"/>
          <w:sz w:val="32"/>
          <w:szCs w:val="32"/>
        </w:rPr>
        <w:t>、高清一类视频监控系统、车辆识别视频监控系统、人像识别监控系统、高空</w:t>
      </w:r>
      <w:r>
        <w:rPr>
          <w:rFonts w:hint="eastAsia" w:ascii="仿宋_GB2312" w:eastAsia="仿宋_GB2312"/>
          <w:sz w:val="32"/>
          <w:szCs w:val="32"/>
          <w:lang w:eastAsia="zh-CN"/>
        </w:rPr>
        <w:t>瞭望</w:t>
      </w:r>
      <w:r>
        <w:rPr>
          <w:rFonts w:ascii="仿宋_GB2312" w:eastAsia="仿宋_GB2312"/>
          <w:sz w:val="32"/>
          <w:szCs w:val="32"/>
        </w:rPr>
        <w:t>视频监控系统、移动视频监控系统、智能配电管理系统、运维管理系统扩容等8个分项项目。</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平安大鹏“视频云+共享”平台工程项目。</w:t>
      </w:r>
      <w:r>
        <w:rPr>
          <w:rFonts w:ascii="仿宋_GB2312" w:eastAsia="仿宋_GB2312"/>
          <w:sz w:val="32"/>
          <w:szCs w:val="32"/>
        </w:rPr>
        <w:t>本项目监控点主要分布在新区重点防控区域出</w:t>
      </w:r>
      <w:r>
        <w:rPr>
          <w:rFonts w:hint="eastAsia" w:ascii="仿宋_GB2312" w:eastAsia="仿宋_GB2312"/>
          <w:sz w:val="32"/>
          <w:szCs w:val="32"/>
          <w:lang w:eastAsia="zh-CN"/>
        </w:rPr>
        <w:t>入口</w:t>
      </w:r>
      <w:r>
        <w:rPr>
          <w:rFonts w:ascii="仿宋_GB2312" w:eastAsia="仿宋_GB2312"/>
          <w:sz w:val="32"/>
          <w:szCs w:val="32"/>
        </w:rPr>
        <w:t>、十字路，包括人流密集的超市</w:t>
      </w:r>
      <w:r>
        <w:rPr>
          <w:rFonts w:hint="eastAsia" w:ascii="仿宋_GB2312" w:eastAsia="仿宋_GB2312"/>
          <w:sz w:val="32"/>
          <w:szCs w:val="32"/>
          <w:lang w:eastAsia="zh-CN"/>
        </w:rPr>
        <w:t>门口</w:t>
      </w:r>
      <w:r>
        <w:rPr>
          <w:rFonts w:ascii="仿宋_GB2312" w:eastAsia="仿宋_GB2312"/>
          <w:sz w:val="32"/>
          <w:szCs w:val="32"/>
        </w:rPr>
        <w:t>、厂区</w:t>
      </w:r>
      <w:r>
        <w:rPr>
          <w:rFonts w:hint="eastAsia" w:ascii="仿宋_GB2312" w:eastAsia="仿宋_GB2312"/>
          <w:sz w:val="32"/>
          <w:szCs w:val="32"/>
          <w:lang w:eastAsia="zh-CN"/>
        </w:rPr>
        <w:t>门口</w:t>
      </w:r>
      <w:r>
        <w:rPr>
          <w:rFonts w:ascii="仿宋_GB2312" w:eastAsia="仿宋_GB2312"/>
          <w:sz w:val="32"/>
          <w:szCs w:val="32"/>
        </w:rPr>
        <w:t>、旅游场所等区域。建设内容包括</w:t>
      </w:r>
      <w:r>
        <w:rPr>
          <w:rFonts w:hint="eastAsia" w:ascii="仿宋_GB2312" w:eastAsia="仿宋_GB2312"/>
          <w:sz w:val="32"/>
          <w:szCs w:val="32"/>
          <w:lang w:eastAsia="zh-CN"/>
        </w:rPr>
        <w:t>：</w:t>
      </w:r>
      <w:r>
        <w:rPr>
          <w:rFonts w:ascii="仿宋_GB2312" w:eastAsia="仿宋_GB2312"/>
          <w:sz w:val="32"/>
          <w:szCs w:val="32"/>
        </w:rPr>
        <w:t>700套高清监控设备及配套升级改造</w:t>
      </w:r>
      <w:r>
        <w:rPr>
          <w:rFonts w:hint="eastAsia" w:ascii="仿宋_GB2312" w:eastAsia="仿宋_GB2312"/>
          <w:sz w:val="32"/>
          <w:szCs w:val="32"/>
          <w:lang w:eastAsia="zh-CN"/>
        </w:rPr>
        <w:t>（</w:t>
      </w:r>
      <w:r>
        <w:rPr>
          <w:rFonts w:ascii="仿宋_GB2312" w:eastAsia="仿宋_GB2312"/>
          <w:sz w:val="32"/>
          <w:szCs w:val="32"/>
        </w:rPr>
        <w:t>涉及大鹏所葵涌所、南澳所、土洋所</w:t>
      </w:r>
      <w:r>
        <w:rPr>
          <w:rFonts w:hint="eastAsia" w:ascii="仿宋_GB2312" w:eastAsia="仿宋_GB2312"/>
          <w:sz w:val="32"/>
          <w:szCs w:val="32"/>
          <w:lang w:eastAsia="zh-CN"/>
        </w:rPr>
        <w:t>）</w:t>
      </w:r>
      <w:r>
        <w:rPr>
          <w:rFonts w:ascii="仿宋_GB2312" w:eastAsia="仿宋_GB2312"/>
          <w:sz w:val="32"/>
          <w:szCs w:val="32"/>
        </w:rPr>
        <w:t>、主数据中心、从数据中心、60套人脸识别系统、安全边界平</w:t>
      </w:r>
      <w:r>
        <w:rPr>
          <w:rFonts w:hint="eastAsia" w:ascii="仿宋_GB2312" w:eastAsia="仿宋_GB2312"/>
          <w:sz w:val="32"/>
          <w:szCs w:val="32"/>
          <w:lang w:eastAsia="zh-CN"/>
        </w:rPr>
        <w:t>台</w:t>
      </w:r>
      <w:r>
        <w:rPr>
          <w:rFonts w:ascii="仿宋_GB2312" w:eastAsia="仿宋_GB2312"/>
          <w:sz w:val="32"/>
          <w:szCs w:val="32"/>
        </w:rPr>
        <w:t>、政务单位共享平</w:t>
      </w:r>
      <w:r>
        <w:rPr>
          <w:rFonts w:hint="eastAsia" w:ascii="仿宋_GB2312" w:eastAsia="仿宋_GB2312"/>
          <w:sz w:val="32"/>
          <w:szCs w:val="32"/>
          <w:lang w:eastAsia="zh-CN"/>
        </w:rPr>
        <w:t>台</w:t>
      </w:r>
      <w:r>
        <w:rPr>
          <w:rFonts w:ascii="仿宋_GB2312" w:eastAsia="仿宋_GB2312"/>
          <w:sz w:val="32"/>
          <w:szCs w:val="32"/>
        </w:rPr>
        <w:t>、系统联网设备</w:t>
      </w:r>
      <w:r>
        <w:rPr>
          <w:rFonts w:hint="eastAsia" w:ascii="仿宋_GB2312" w:eastAsia="仿宋_GB2312"/>
          <w:sz w:val="32"/>
          <w:szCs w:val="32"/>
          <w:lang w:eastAsia="zh-CN"/>
        </w:rPr>
        <w:t>、一期杆</w:t>
      </w:r>
      <w:r>
        <w:rPr>
          <w:rFonts w:ascii="仿宋_GB2312" w:eastAsia="仿宋_GB2312"/>
          <w:sz w:val="32"/>
          <w:szCs w:val="32"/>
        </w:rPr>
        <w:t>件基础升级改造、系统集成、光纤链路、取电及电费。</w:t>
      </w:r>
    </w:p>
    <w:p>
      <w:pPr>
        <w:spacing w:line="600" w:lineRule="exact"/>
        <w:ind w:firstLine="630"/>
        <w:rPr>
          <w:rFonts w:ascii="楷体" w:hAnsi="楷体" w:eastAsia="楷体"/>
          <w:sz w:val="32"/>
          <w:szCs w:val="32"/>
        </w:rPr>
      </w:pPr>
      <w:r>
        <w:rPr>
          <w:rFonts w:hint="eastAsia" w:ascii="楷体" w:hAnsi="楷体" w:eastAsia="楷体"/>
          <w:sz w:val="32"/>
          <w:szCs w:val="32"/>
        </w:rPr>
        <w:t>（二）项目资金情况</w:t>
      </w:r>
    </w:p>
    <w:p>
      <w:pPr>
        <w:spacing w:line="600" w:lineRule="exact"/>
        <w:ind w:firstLine="630"/>
        <w:rPr>
          <w:rFonts w:hint="eastAsia" w:ascii="仿宋_GB2312" w:eastAsia="仿宋_GB2312"/>
          <w:sz w:val="32"/>
          <w:szCs w:val="32"/>
        </w:rPr>
      </w:pPr>
      <w:r>
        <w:rPr>
          <w:rFonts w:hint="eastAsia" w:ascii="仿宋_GB2312" w:eastAsia="仿宋_GB2312"/>
          <w:sz w:val="32"/>
          <w:szCs w:val="32"/>
        </w:rPr>
        <w:t>2020年度，我局实施的大鹏新区“雪亮工程”（二期）第一批项目、“雪亮工程”（二期）第二批项目、平安大鹏“视频云+共享”平台工程项目、2018年警用设备购置、平安大鹏视频监控系统建设5个项目均已完工。项目资金主要用于支付工程尾款、质保金等。2020年政府投资项目部门预算指标共计</w:t>
      </w:r>
      <w:r>
        <w:rPr>
          <w:rFonts w:ascii="仿宋_GB2312" w:eastAsia="仿宋_GB2312"/>
          <w:sz w:val="32"/>
          <w:szCs w:val="32"/>
        </w:rPr>
        <w:t>87,425,522.98</w:t>
      </w:r>
      <w:r>
        <w:rPr>
          <w:rFonts w:hint="eastAsia" w:ascii="仿宋_GB2312" w:eastAsia="仿宋_GB2312"/>
          <w:sz w:val="32"/>
          <w:szCs w:val="32"/>
        </w:rPr>
        <w:t>元，后经调整，实际下达资金</w:t>
      </w:r>
      <w:r>
        <w:rPr>
          <w:rFonts w:ascii="仿宋_GB2312" w:eastAsia="仿宋_GB2312"/>
          <w:sz w:val="32"/>
          <w:szCs w:val="32"/>
        </w:rPr>
        <w:t>83,421,587.08</w:t>
      </w:r>
      <w:r>
        <w:rPr>
          <w:rFonts w:hint="eastAsia" w:ascii="仿宋_GB2312" w:eastAsia="仿宋_GB2312"/>
          <w:sz w:val="32"/>
          <w:szCs w:val="32"/>
        </w:rPr>
        <w:t>元，实际支出资金</w:t>
      </w:r>
      <w:r>
        <w:rPr>
          <w:rFonts w:ascii="仿宋_GB2312" w:eastAsia="仿宋_GB2312"/>
          <w:sz w:val="32"/>
          <w:szCs w:val="32"/>
        </w:rPr>
        <w:t>58,169,465.81</w:t>
      </w:r>
      <w:r>
        <w:rPr>
          <w:rFonts w:hint="eastAsia" w:ascii="仿宋_GB2312" w:eastAsia="仿宋_GB2312"/>
          <w:sz w:val="32"/>
          <w:szCs w:val="32"/>
        </w:rPr>
        <w:t>元，剩余资金被收回财政。实际完成投资</w:t>
      </w:r>
      <w:r>
        <w:rPr>
          <w:rFonts w:ascii="仿宋_GB2312" w:eastAsia="仿宋_GB2312"/>
          <w:sz w:val="32"/>
          <w:szCs w:val="32"/>
        </w:rPr>
        <w:t>58,169,465.81</w:t>
      </w:r>
      <w:r>
        <w:rPr>
          <w:rFonts w:hint="eastAsia" w:ascii="仿宋_GB2312" w:eastAsia="仿宋_GB2312"/>
          <w:sz w:val="32"/>
          <w:szCs w:val="32"/>
        </w:rPr>
        <w:t>元。项目投资完成率100%。2020年各个项目资金具体情况如下表。</w:t>
      </w:r>
    </w:p>
    <w:p>
      <w:pPr>
        <w:spacing w:line="600" w:lineRule="exact"/>
        <w:ind w:firstLine="1606" w:firstLineChars="500"/>
        <w:rPr>
          <w:rFonts w:hint="eastAsia" w:ascii="仿宋_GB2312" w:eastAsia="仿宋_GB2312"/>
          <w:b/>
          <w:sz w:val="32"/>
          <w:szCs w:val="32"/>
        </w:rPr>
      </w:pPr>
      <w:r>
        <w:rPr>
          <w:rFonts w:hint="eastAsia" w:ascii="仿宋_GB2312" w:eastAsia="仿宋_GB2312"/>
          <w:b/>
          <w:sz w:val="32"/>
          <w:szCs w:val="32"/>
        </w:rPr>
        <w:t>2020年政府投资项目资金情况表</w:t>
      </w:r>
    </w:p>
    <w:p>
      <w:pPr>
        <w:spacing w:line="600" w:lineRule="exact"/>
        <w:ind w:firstLine="1600" w:firstLineChars="500"/>
        <w:rPr>
          <w:rFonts w:hint="eastAsia" w:ascii="仿宋_GB2312" w:eastAsia="仿宋_GB2312"/>
          <w:sz w:val="24"/>
        </w:rPr>
      </w:pPr>
      <w:r>
        <w:rPr>
          <w:rFonts w:hint="eastAsia" w:ascii="仿宋_GB2312" w:eastAsia="仿宋_GB2312"/>
          <w:sz w:val="32"/>
          <w:szCs w:val="32"/>
        </w:rPr>
        <w:t xml:space="preserve">                                   </w:t>
      </w:r>
      <w:r>
        <w:rPr>
          <w:rFonts w:hint="eastAsia" w:ascii="仿宋_GB2312" w:eastAsia="仿宋_GB2312"/>
          <w:sz w:val="24"/>
        </w:rPr>
        <w:t>单位：元</w:t>
      </w:r>
    </w:p>
    <w:tbl>
      <w:tblPr>
        <w:tblStyle w:val="7"/>
        <w:tblW w:w="8520" w:type="dxa"/>
        <w:tblInd w:w="93" w:type="dxa"/>
        <w:tblLayout w:type="autofit"/>
        <w:tblCellMar>
          <w:top w:w="0" w:type="dxa"/>
          <w:left w:w="108" w:type="dxa"/>
          <w:bottom w:w="0" w:type="dxa"/>
          <w:right w:w="108" w:type="dxa"/>
        </w:tblCellMar>
      </w:tblPr>
      <w:tblGrid>
        <w:gridCol w:w="2283"/>
        <w:gridCol w:w="1560"/>
        <w:gridCol w:w="1417"/>
        <w:gridCol w:w="1701"/>
        <w:gridCol w:w="1559"/>
      </w:tblGrid>
      <w:tr>
        <w:tblPrEx>
          <w:tblCellMar>
            <w:top w:w="0" w:type="dxa"/>
            <w:left w:w="108" w:type="dxa"/>
            <w:bottom w:w="0" w:type="dxa"/>
            <w:right w:w="108" w:type="dxa"/>
          </w:tblCellMar>
        </w:tblPrEx>
        <w:trPr>
          <w:trHeight w:val="495" w:hRule="atLeast"/>
        </w:trPr>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预算项目</w:t>
            </w:r>
          </w:p>
        </w:tc>
        <w:tc>
          <w:tcPr>
            <w:tcW w:w="1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部门预算指标</w:t>
            </w: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调整指标</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实际下达资金</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b/>
                <w:bCs/>
                <w:color w:val="000000"/>
                <w:kern w:val="0"/>
                <w:sz w:val="18"/>
                <w:szCs w:val="18"/>
              </w:rPr>
            </w:pPr>
            <w:r>
              <w:rPr>
                <w:rFonts w:hint="eastAsia" w:ascii="宋体" w:hAnsi="宋体" w:cs="Arial"/>
                <w:b/>
                <w:bCs/>
                <w:color w:val="000000"/>
                <w:kern w:val="0"/>
                <w:sz w:val="18"/>
                <w:szCs w:val="18"/>
              </w:rPr>
              <w:t>实际支出数</w:t>
            </w:r>
          </w:p>
        </w:tc>
      </w:tr>
      <w:tr>
        <w:tblPrEx>
          <w:tblCellMar>
            <w:top w:w="0" w:type="dxa"/>
            <w:left w:w="108" w:type="dxa"/>
            <w:bottom w:w="0" w:type="dxa"/>
            <w:right w:w="108" w:type="dxa"/>
          </w:tblCellMar>
        </w:tblPrEx>
        <w:trPr>
          <w:trHeight w:val="495" w:hRule="atLeast"/>
        </w:trPr>
        <w:tc>
          <w:tcPr>
            <w:tcW w:w="228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平安大鹏视频监控系统建设</w:t>
            </w:r>
          </w:p>
        </w:tc>
        <w:tc>
          <w:tcPr>
            <w:tcW w:w="1560"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411,000.00</w:t>
            </w: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0.00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411,000.00</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411,000.00</w:t>
            </w:r>
          </w:p>
        </w:tc>
      </w:tr>
      <w:tr>
        <w:tblPrEx>
          <w:tblCellMar>
            <w:top w:w="0" w:type="dxa"/>
            <w:left w:w="108" w:type="dxa"/>
            <w:bottom w:w="0" w:type="dxa"/>
            <w:right w:w="108" w:type="dxa"/>
          </w:tblCellMar>
        </w:tblPrEx>
        <w:trPr>
          <w:trHeight w:val="495" w:hRule="atLeast"/>
        </w:trPr>
        <w:tc>
          <w:tcPr>
            <w:tcW w:w="228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平安大鹏“视频云+共享”平台工程</w:t>
            </w:r>
          </w:p>
        </w:tc>
        <w:tc>
          <w:tcPr>
            <w:tcW w:w="1560"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6992396.54</w:t>
            </w: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0.00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6992396.54</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3521198.27</w:t>
            </w:r>
          </w:p>
        </w:tc>
      </w:tr>
      <w:tr>
        <w:tblPrEx>
          <w:tblCellMar>
            <w:top w:w="0" w:type="dxa"/>
            <w:left w:w="108" w:type="dxa"/>
            <w:bottom w:w="0" w:type="dxa"/>
            <w:right w:w="108" w:type="dxa"/>
          </w:tblCellMar>
        </w:tblPrEx>
        <w:trPr>
          <w:trHeight w:val="495" w:hRule="atLeast"/>
        </w:trPr>
        <w:tc>
          <w:tcPr>
            <w:tcW w:w="228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大鹏新区“雪亮工程”（二期）第一批项目</w:t>
            </w:r>
          </w:p>
        </w:tc>
        <w:tc>
          <w:tcPr>
            <w:tcW w:w="1560"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8,017,605.44</w:t>
            </w: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-4,003,935.90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4,013,669.54</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4,013,669.54</w:t>
            </w:r>
          </w:p>
        </w:tc>
      </w:tr>
      <w:tr>
        <w:tblPrEx>
          <w:tblCellMar>
            <w:top w:w="0" w:type="dxa"/>
            <w:left w:w="108" w:type="dxa"/>
            <w:bottom w:w="0" w:type="dxa"/>
            <w:right w:w="108" w:type="dxa"/>
          </w:tblCellMar>
        </w:tblPrEx>
        <w:trPr>
          <w:trHeight w:val="495" w:hRule="atLeast"/>
        </w:trPr>
        <w:tc>
          <w:tcPr>
            <w:tcW w:w="228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大鹏新区“雪亮工程”（二期）第二批项目</w:t>
            </w:r>
          </w:p>
        </w:tc>
        <w:tc>
          <w:tcPr>
            <w:tcW w:w="1560"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71,881,046.00</w:t>
            </w: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0.00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71,881,046.00</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50,100,123.00</w:t>
            </w:r>
          </w:p>
        </w:tc>
      </w:tr>
      <w:tr>
        <w:tblPrEx>
          <w:tblCellMar>
            <w:top w:w="0" w:type="dxa"/>
            <w:left w:w="108" w:type="dxa"/>
            <w:bottom w:w="0" w:type="dxa"/>
            <w:right w:w="108" w:type="dxa"/>
          </w:tblCellMar>
        </w:tblPrEx>
        <w:trPr>
          <w:trHeight w:val="495" w:hRule="atLeast"/>
        </w:trPr>
        <w:tc>
          <w:tcPr>
            <w:tcW w:w="228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2018年警用设备购置</w:t>
            </w:r>
          </w:p>
        </w:tc>
        <w:tc>
          <w:tcPr>
            <w:tcW w:w="1560"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123,475.00</w:t>
            </w: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0.00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123,475.00</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cs="Arial" w:asciiTheme="minorEastAsia" w:hAnsiTheme="minorEastAsia" w:eastAsiaTheme="minorEastAsia"/>
                <w:color w:val="000000"/>
                <w:kern w:val="0"/>
                <w:sz w:val="18"/>
                <w:szCs w:val="18"/>
              </w:rPr>
            </w:pPr>
            <w:r>
              <w:rPr>
                <w:rFonts w:hint="eastAsia" w:cs="Arial" w:asciiTheme="minorEastAsia" w:hAnsiTheme="minorEastAsia" w:eastAsiaTheme="minorEastAsia"/>
                <w:color w:val="000000"/>
                <w:kern w:val="0"/>
                <w:sz w:val="18"/>
                <w:szCs w:val="18"/>
              </w:rPr>
              <w:t>123,475.00</w:t>
            </w:r>
          </w:p>
        </w:tc>
      </w:tr>
      <w:tr>
        <w:tblPrEx>
          <w:tblCellMar>
            <w:top w:w="0" w:type="dxa"/>
            <w:left w:w="108" w:type="dxa"/>
            <w:bottom w:w="0" w:type="dxa"/>
            <w:right w:w="108" w:type="dxa"/>
          </w:tblCellMar>
        </w:tblPrEx>
        <w:trPr>
          <w:trHeight w:val="435" w:hRule="atLeast"/>
        </w:trPr>
        <w:tc>
          <w:tcPr>
            <w:tcW w:w="2283" w:type="dxa"/>
            <w:tcBorders>
              <w:top w:val="nil"/>
              <w:left w:val="single" w:color="auto" w:sz="4" w:space="0"/>
              <w:bottom w:val="single" w:color="auto" w:sz="4" w:space="0"/>
              <w:right w:val="single" w:color="auto" w:sz="4" w:space="0"/>
            </w:tcBorders>
            <w:shd w:val="clear" w:color="auto" w:fill="auto"/>
            <w:noWrap/>
            <w:vAlign w:val="bottom"/>
          </w:tcPr>
          <w:p>
            <w:pPr>
              <w:widowControl/>
              <w:jc w:val="left"/>
              <w:rPr>
                <w:rFonts w:cs="Arial" w:asciiTheme="minorEastAsia" w:hAnsiTheme="minorEastAsia" w:eastAsiaTheme="minorEastAsia"/>
                <w:kern w:val="0"/>
                <w:sz w:val="18"/>
                <w:szCs w:val="18"/>
              </w:rPr>
            </w:pPr>
            <w:r>
              <w:rPr>
                <w:rFonts w:hint="eastAsia" w:cs="Arial" w:asciiTheme="minorEastAsia" w:hAnsiTheme="minorEastAsia" w:eastAsiaTheme="minorEastAsia"/>
                <w:kern w:val="0"/>
                <w:sz w:val="18"/>
                <w:szCs w:val="18"/>
              </w:rPr>
              <w:t>合计</w:t>
            </w:r>
          </w:p>
        </w:tc>
        <w:tc>
          <w:tcPr>
            <w:tcW w:w="1560" w:type="dxa"/>
            <w:tcBorders>
              <w:top w:val="nil"/>
              <w:left w:val="nil"/>
              <w:bottom w:val="single" w:color="auto" w:sz="4" w:space="0"/>
              <w:right w:val="single" w:color="auto" w:sz="4" w:space="0"/>
            </w:tcBorders>
            <w:shd w:val="clear" w:color="auto" w:fill="auto"/>
            <w:noWrap/>
            <w:vAlign w:val="bottom"/>
          </w:tcPr>
          <w:p>
            <w:pPr>
              <w:widowControl/>
              <w:jc w:val="right"/>
              <w:rPr>
                <w:rFonts w:cs="Arial" w:asciiTheme="minorEastAsia" w:hAnsiTheme="minorEastAsia" w:eastAsiaTheme="minorEastAsia"/>
                <w:kern w:val="0"/>
                <w:sz w:val="18"/>
                <w:szCs w:val="18"/>
              </w:rPr>
            </w:pPr>
            <w:r>
              <w:rPr>
                <w:rFonts w:cs="Arial" w:asciiTheme="minorEastAsia" w:hAnsiTheme="minorEastAsia" w:eastAsiaTheme="minorEastAsia"/>
                <w:kern w:val="0"/>
                <w:sz w:val="18"/>
                <w:szCs w:val="18"/>
              </w:rPr>
              <w:t>87,425,522.98</w:t>
            </w:r>
          </w:p>
        </w:tc>
        <w:tc>
          <w:tcPr>
            <w:tcW w:w="1417" w:type="dxa"/>
            <w:tcBorders>
              <w:top w:val="nil"/>
              <w:left w:val="nil"/>
              <w:bottom w:val="single" w:color="auto" w:sz="4" w:space="0"/>
              <w:right w:val="single" w:color="auto" w:sz="4" w:space="0"/>
            </w:tcBorders>
            <w:shd w:val="clear" w:color="auto" w:fill="auto"/>
            <w:noWrap/>
            <w:vAlign w:val="bottom"/>
          </w:tcPr>
          <w:p>
            <w:pPr>
              <w:widowControl/>
              <w:jc w:val="right"/>
              <w:rPr>
                <w:rFonts w:cs="Arial" w:asciiTheme="minorEastAsia" w:hAnsiTheme="minorEastAsia" w:eastAsiaTheme="minorEastAsia"/>
                <w:kern w:val="0"/>
                <w:sz w:val="18"/>
                <w:szCs w:val="18"/>
              </w:rPr>
            </w:pPr>
            <w:r>
              <w:rPr>
                <w:rFonts w:cs="Arial" w:asciiTheme="minorEastAsia" w:hAnsiTheme="minorEastAsia" w:eastAsiaTheme="minorEastAsia"/>
                <w:kern w:val="0"/>
                <w:sz w:val="18"/>
                <w:szCs w:val="18"/>
              </w:rPr>
              <w:t>-4,003,935.90</w:t>
            </w:r>
          </w:p>
        </w:tc>
        <w:tc>
          <w:tcPr>
            <w:tcW w:w="1701" w:type="dxa"/>
            <w:tcBorders>
              <w:top w:val="nil"/>
              <w:left w:val="nil"/>
              <w:bottom w:val="single" w:color="auto" w:sz="4" w:space="0"/>
              <w:right w:val="single" w:color="auto" w:sz="4" w:space="0"/>
            </w:tcBorders>
            <w:shd w:val="clear" w:color="auto" w:fill="auto"/>
            <w:noWrap/>
            <w:vAlign w:val="bottom"/>
          </w:tcPr>
          <w:p>
            <w:pPr>
              <w:widowControl/>
              <w:jc w:val="right"/>
              <w:rPr>
                <w:rFonts w:cs="Arial" w:asciiTheme="minorEastAsia" w:hAnsiTheme="minorEastAsia" w:eastAsiaTheme="minorEastAsia"/>
                <w:kern w:val="0"/>
                <w:sz w:val="18"/>
                <w:szCs w:val="18"/>
              </w:rPr>
            </w:pPr>
            <w:r>
              <w:rPr>
                <w:rFonts w:cs="Arial" w:asciiTheme="minorEastAsia" w:hAnsiTheme="minorEastAsia" w:eastAsiaTheme="minorEastAsia"/>
                <w:kern w:val="0"/>
                <w:sz w:val="18"/>
                <w:szCs w:val="18"/>
              </w:rPr>
              <w:t>83,421,587.08</w:t>
            </w:r>
          </w:p>
        </w:tc>
        <w:tc>
          <w:tcPr>
            <w:tcW w:w="1559" w:type="dxa"/>
            <w:tcBorders>
              <w:top w:val="nil"/>
              <w:left w:val="nil"/>
              <w:bottom w:val="single" w:color="auto" w:sz="4" w:space="0"/>
              <w:right w:val="single" w:color="auto" w:sz="4" w:space="0"/>
            </w:tcBorders>
            <w:shd w:val="clear" w:color="auto" w:fill="auto"/>
            <w:noWrap/>
            <w:vAlign w:val="bottom"/>
          </w:tcPr>
          <w:p>
            <w:pPr>
              <w:widowControl/>
              <w:jc w:val="right"/>
              <w:rPr>
                <w:rFonts w:cs="Arial" w:asciiTheme="minorEastAsia" w:hAnsiTheme="minorEastAsia" w:eastAsiaTheme="minorEastAsia"/>
                <w:kern w:val="0"/>
                <w:sz w:val="18"/>
                <w:szCs w:val="18"/>
              </w:rPr>
            </w:pPr>
            <w:r>
              <w:rPr>
                <w:rFonts w:cs="Arial" w:asciiTheme="minorEastAsia" w:hAnsiTheme="minorEastAsia" w:eastAsiaTheme="minorEastAsia"/>
                <w:kern w:val="0"/>
                <w:sz w:val="18"/>
                <w:szCs w:val="18"/>
              </w:rPr>
              <w:t>58,169,465.81</w:t>
            </w:r>
          </w:p>
        </w:tc>
      </w:tr>
    </w:tbl>
    <w:p>
      <w:pPr>
        <w:spacing w:line="600" w:lineRule="exact"/>
        <w:ind w:firstLine="640" w:firstLineChars="200"/>
        <w:rPr>
          <w:rFonts w:hint="eastAsia" w:ascii="楷体" w:hAnsi="楷体" w:eastAsia="楷体"/>
          <w:sz w:val="32"/>
          <w:szCs w:val="32"/>
        </w:rPr>
      </w:pPr>
      <w:r>
        <w:rPr>
          <w:rFonts w:hint="eastAsia" w:ascii="楷体" w:hAnsi="楷体" w:eastAsia="楷体"/>
          <w:sz w:val="32"/>
          <w:szCs w:val="32"/>
        </w:rPr>
        <w:t>（三）绩效自评工作开展情况</w:t>
      </w:r>
    </w:p>
    <w:p>
      <w:pPr>
        <w:spacing w:line="600" w:lineRule="exact"/>
        <w:ind w:firstLine="640" w:firstLineChars="200"/>
        <w:rPr>
          <w:rFonts w:ascii="仿宋_GB2312" w:eastAsia="仿宋_GB2312"/>
          <w:sz w:val="32"/>
          <w:szCs w:val="32"/>
        </w:rPr>
      </w:pPr>
      <w:r>
        <w:rPr>
          <w:rFonts w:ascii="仿宋_GB2312" w:eastAsia="仿宋_GB2312"/>
          <w:sz w:val="32"/>
          <w:szCs w:val="32"/>
        </w:rPr>
        <w:t>根据《大鹏新区发展和财政局关于做好202</w:t>
      </w:r>
      <w:r>
        <w:rPr>
          <w:rFonts w:hint="eastAsia" w:ascii="仿宋_GB2312" w:eastAsia="仿宋_GB2312"/>
          <w:sz w:val="32"/>
          <w:szCs w:val="32"/>
        </w:rPr>
        <w:t>1</w:t>
      </w:r>
      <w:r>
        <w:rPr>
          <w:rFonts w:ascii="仿宋_GB2312" w:eastAsia="仿宋_GB2312"/>
          <w:sz w:val="32"/>
          <w:szCs w:val="32"/>
        </w:rPr>
        <w:t>年预算绩效管理工作的通知</w:t>
      </w:r>
      <w:r>
        <w:rPr>
          <w:rFonts w:hint="eastAsia" w:ascii="仿宋_GB2312" w:eastAsia="仿宋_GB2312"/>
          <w:sz w:val="32"/>
          <w:szCs w:val="32"/>
        </w:rPr>
        <w:t>》</w:t>
      </w:r>
      <w:r>
        <w:rPr>
          <w:rFonts w:hint="eastAsia" w:ascii="仿宋_GB2312" w:hAnsi="黑体" w:eastAsia="仿宋_GB2312"/>
          <w:sz w:val="32"/>
          <w:szCs w:val="32"/>
        </w:rPr>
        <w:t>（深鹏发财函〔2021〕51号）</w:t>
      </w:r>
      <w:r>
        <w:rPr>
          <w:rFonts w:ascii="仿宋_GB2312" w:eastAsia="仿宋_GB2312"/>
          <w:sz w:val="32"/>
          <w:szCs w:val="32"/>
        </w:rPr>
        <w:t>的要求，我局综合</w:t>
      </w:r>
      <w:r>
        <w:rPr>
          <w:rFonts w:hint="eastAsia" w:ascii="仿宋_GB2312" w:eastAsia="仿宋_GB2312"/>
          <w:sz w:val="32"/>
          <w:szCs w:val="32"/>
          <w:lang w:eastAsia="zh-CN"/>
        </w:rPr>
        <w:t>处</w:t>
      </w:r>
      <w:r>
        <w:rPr>
          <w:rFonts w:ascii="仿宋_GB2312" w:eastAsia="仿宋_GB2312"/>
          <w:sz w:val="32"/>
          <w:szCs w:val="32"/>
        </w:rPr>
        <w:t>统筹组织各项目管理责任科室，对我局20</w:t>
      </w:r>
      <w:r>
        <w:rPr>
          <w:rFonts w:hint="eastAsia" w:ascii="仿宋_GB2312" w:eastAsia="仿宋_GB2312"/>
          <w:sz w:val="32"/>
          <w:szCs w:val="32"/>
        </w:rPr>
        <w:t>20</w:t>
      </w:r>
      <w:r>
        <w:rPr>
          <w:rFonts w:ascii="仿宋_GB2312" w:eastAsia="仿宋_GB2312"/>
          <w:sz w:val="32"/>
          <w:szCs w:val="32"/>
        </w:rPr>
        <w:t>年度</w:t>
      </w:r>
      <w:r>
        <w:rPr>
          <w:rFonts w:hint="eastAsia" w:ascii="仿宋_GB2312" w:eastAsia="仿宋_GB2312"/>
          <w:sz w:val="32"/>
          <w:szCs w:val="32"/>
        </w:rPr>
        <w:t>负责的5个政府投资项目开展了自查自评工作。</w:t>
      </w:r>
    </w:p>
    <w:p>
      <w:pPr>
        <w:autoSpaceDE w:val="0"/>
        <w:autoSpaceDN w:val="0"/>
        <w:adjustRightInd w:val="0"/>
        <w:spacing w:line="600" w:lineRule="exact"/>
        <w:ind w:firstLine="640" w:firstLineChars="200"/>
        <w:rPr>
          <w:rFonts w:eastAsia="仿宋_GB2312"/>
          <w:bCs/>
          <w:sz w:val="32"/>
          <w:szCs w:val="32"/>
        </w:rPr>
      </w:pPr>
      <w:r>
        <w:rPr>
          <w:rFonts w:hint="eastAsia" w:ascii="仿宋_GB2312" w:hAnsi="宋体" w:eastAsia="仿宋_GB2312" w:cs="宋体"/>
          <w:kern w:val="0"/>
          <w:sz w:val="32"/>
          <w:szCs w:val="32"/>
        </w:rPr>
        <w:t>根据本项目的预算绩效目标申请情况、绩效运行监控工作情况，我</w:t>
      </w:r>
      <w:r>
        <w:rPr>
          <w:rFonts w:hint="eastAsia" w:ascii="仿宋_GB2312" w:hAnsi="宋体" w:eastAsia="仿宋_GB2312" w:cs="宋体"/>
          <w:kern w:val="0"/>
          <w:sz w:val="32"/>
          <w:szCs w:val="32"/>
          <w:lang w:eastAsia="zh-CN"/>
        </w:rPr>
        <w:t>局</w:t>
      </w:r>
      <w:r>
        <w:rPr>
          <w:rFonts w:hint="eastAsia" w:ascii="仿宋_GB2312" w:hAnsi="宋体" w:eastAsia="仿宋_GB2312" w:cs="宋体"/>
          <w:kern w:val="0"/>
          <w:sz w:val="32"/>
          <w:szCs w:val="32"/>
        </w:rPr>
        <w:t>组织项目相关人员，开展本次绩效自评工作。</w:t>
      </w:r>
      <w:r>
        <w:rPr>
          <w:rFonts w:hint="eastAsia" w:eastAsia="仿宋_GB2312"/>
          <w:bCs/>
          <w:sz w:val="32"/>
          <w:szCs w:val="32"/>
        </w:rPr>
        <w:t>本次评价过程分为前期调研、资料收集、现场和非现场评价、评价情况分析汇总、报告撰写、报告审核与修改、报告报送、资料归档几个阶段。</w:t>
      </w:r>
    </w:p>
    <w:p>
      <w:pPr>
        <w:autoSpaceDE w:val="0"/>
        <w:autoSpaceDN w:val="0"/>
        <w:adjustRightInd w:val="0"/>
        <w:spacing w:line="600" w:lineRule="exact"/>
        <w:ind w:firstLine="640" w:firstLineChars="200"/>
        <w:rPr>
          <w:rFonts w:hint="eastAsia" w:eastAsia="仿宋_GB2312"/>
          <w:bCs/>
          <w:sz w:val="32"/>
          <w:szCs w:val="32"/>
        </w:rPr>
      </w:pPr>
      <w:r>
        <w:rPr>
          <w:rFonts w:hint="eastAsia" w:eastAsia="仿宋_GB2312"/>
          <w:bCs/>
          <w:sz w:val="32"/>
          <w:szCs w:val="32"/>
        </w:rPr>
        <w:t>根据中共中央</w:t>
      </w:r>
      <w:r>
        <w:rPr>
          <w:rFonts w:hint="eastAsia" w:eastAsia="仿宋_GB2312"/>
          <w:bCs/>
          <w:sz w:val="32"/>
          <w:szCs w:val="32"/>
          <w:lang w:eastAsia="zh-CN"/>
        </w:rPr>
        <w:t>、</w:t>
      </w:r>
      <w:r>
        <w:rPr>
          <w:rFonts w:hint="eastAsia" w:eastAsia="仿宋_GB2312"/>
          <w:bCs/>
          <w:sz w:val="32"/>
          <w:szCs w:val="32"/>
        </w:rPr>
        <w:t>国务院《关于全面实施预算绩效管理的意见》（中发〔2018〕34号）、财政部《关于印发</w:t>
      </w:r>
      <w:r>
        <w:rPr>
          <w:rFonts w:hint="eastAsia" w:eastAsia="仿宋_GB2312"/>
          <w:bCs/>
          <w:sz w:val="32"/>
          <w:szCs w:val="32"/>
          <w:lang w:val="en-US" w:eastAsia="zh-CN"/>
        </w:rPr>
        <w:t>&lt;</w:t>
      </w:r>
      <w:r>
        <w:rPr>
          <w:rFonts w:hint="eastAsia" w:eastAsia="仿宋_GB2312"/>
          <w:bCs/>
          <w:sz w:val="32"/>
          <w:szCs w:val="32"/>
        </w:rPr>
        <w:t>项目支出绩效评价管理办法&gt;的通知》（财预〔2020〕10号）、</w:t>
      </w:r>
      <w:r>
        <w:rPr>
          <w:rFonts w:hint="eastAsia" w:ascii="仿宋_GB2312" w:hAnsi="宋体" w:eastAsia="仿宋_GB2312" w:cs="宋体"/>
          <w:kern w:val="0"/>
          <w:sz w:val="32"/>
          <w:szCs w:val="32"/>
        </w:rPr>
        <w:t>《深圳市财政局关于贯彻落实全面实施预算绩效管理有关事项的通知》（深财绩〔2019〕5号）</w:t>
      </w:r>
      <w:r>
        <w:rPr>
          <w:rFonts w:hint="eastAsia" w:eastAsia="仿宋_GB2312"/>
          <w:bCs/>
          <w:sz w:val="32"/>
          <w:szCs w:val="32"/>
        </w:rPr>
        <w:t>及新型冠状病毒感染肺炎疫情防控工作的需要，本次评价采用以现场调查为主、非现场综合性评价为辅的方式进行，主要运用了成本效益分析法、比较法、因素分析法等方法来展开绩效自评工作。</w:t>
      </w:r>
      <w:r>
        <w:rPr>
          <w:rFonts w:hint="eastAsia" w:ascii="仿宋_GB2312" w:hAnsi="宋体" w:eastAsia="仿宋_GB2312" w:cs="宋体"/>
          <w:kern w:val="0"/>
          <w:sz w:val="32"/>
          <w:szCs w:val="32"/>
        </w:rPr>
        <w:t>切实做到花钱必问效、无效必问责。</w:t>
      </w:r>
    </w:p>
    <w:p>
      <w:pPr>
        <w:spacing w:line="600" w:lineRule="exact"/>
        <w:ind w:firstLine="640" w:firstLineChars="200"/>
        <w:rPr>
          <w:rFonts w:ascii="黑体" w:hAnsi="黑体" w:eastAsia="黑体"/>
          <w:bCs/>
          <w:sz w:val="32"/>
          <w:szCs w:val="32"/>
        </w:rPr>
      </w:pPr>
      <w:r>
        <w:rPr>
          <w:rFonts w:hint="eastAsia" w:ascii="黑体" w:hAnsi="黑体" w:eastAsia="黑体"/>
          <w:bCs/>
          <w:sz w:val="32"/>
          <w:szCs w:val="32"/>
        </w:rPr>
        <w:t>二、项目支出绩效情况分析</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楷体" w:hAnsi="楷体" w:eastAsia="楷体"/>
          <w:sz w:val="32"/>
          <w:szCs w:val="32"/>
        </w:rPr>
        <w:t>一）绩效目标设立情况</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我局政府投资项目经过充分的前期科学论证，经过局领导审批后，上报新区发展和财政局审批。项目计划申报经过科学测算，年度资金拨付与建设任务相匹配。各项目绩效目标设立如下：</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大鹏新区“雪亮工程”（二期）第一批项目：预计完成大鹏新区高清一类监控点、人像识别监控点、监控系统等工作，预计完成</w:t>
      </w:r>
      <w:r>
        <w:rPr>
          <w:rFonts w:ascii="仿宋_GB2312" w:eastAsia="仿宋_GB2312"/>
          <w:sz w:val="32"/>
          <w:szCs w:val="32"/>
        </w:rPr>
        <w:t>900个IPC高清一类点摄像机、400路人像识别监控点及6个高空瞭望</w:t>
      </w:r>
      <w:r>
        <w:rPr>
          <w:rFonts w:hint="eastAsia" w:ascii="仿宋_GB2312" w:eastAsia="仿宋_GB2312"/>
          <w:sz w:val="32"/>
          <w:szCs w:val="32"/>
        </w:rPr>
        <w:t>等；所有项目开展均严格按照制度执行，做到合法合规；新区人民及干部职工满意度95%以上。</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大鹏新区“雪亮工程”（二期）第二批项目：预计完成大鹏新区高清一类监控点、人像识别点、高空</w:t>
      </w:r>
      <w:r>
        <w:rPr>
          <w:rFonts w:hint="eastAsia" w:ascii="仿宋_GB2312" w:eastAsia="仿宋_GB2312"/>
          <w:sz w:val="32"/>
          <w:szCs w:val="32"/>
          <w:lang w:eastAsia="zh-CN"/>
        </w:rPr>
        <w:t>显示</w:t>
      </w:r>
      <w:r>
        <w:rPr>
          <w:rFonts w:hint="eastAsia" w:ascii="仿宋_GB2312" w:eastAsia="仿宋_GB2312"/>
          <w:sz w:val="32"/>
          <w:szCs w:val="32"/>
        </w:rPr>
        <w:t>增强智能应用平台，以及相关配套存储、机房等工作，预计完成10个以上监控点、人像识别点，1个以上高空</w:t>
      </w:r>
      <w:r>
        <w:rPr>
          <w:rFonts w:hint="eastAsia" w:ascii="仿宋_GB2312" w:eastAsia="仿宋_GB2312"/>
          <w:sz w:val="32"/>
          <w:szCs w:val="32"/>
          <w:lang w:eastAsia="zh-CN"/>
        </w:rPr>
        <w:t>显示</w:t>
      </w:r>
      <w:r>
        <w:rPr>
          <w:rFonts w:hint="eastAsia" w:ascii="仿宋_GB2312" w:eastAsia="仿宋_GB2312"/>
          <w:sz w:val="32"/>
          <w:szCs w:val="32"/>
        </w:rPr>
        <w:t>增强智能应用平台等；所有项目开展均严格按照制度执行，做到合法合规；新区人民及干部职工满意度95%以上。</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平安大鹏“视频云</w:t>
      </w:r>
      <w:r>
        <w:rPr>
          <w:rFonts w:ascii="仿宋_GB2312" w:eastAsia="仿宋_GB2312"/>
          <w:sz w:val="32"/>
          <w:szCs w:val="32"/>
        </w:rPr>
        <w:t>+共享”平台</w:t>
      </w:r>
      <w:r>
        <w:rPr>
          <w:rFonts w:hint="eastAsia" w:ascii="仿宋_GB2312" w:eastAsia="仿宋_GB2312"/>
          <w:sz w:val="32"/>
          <w:szCs w:val="32"/>
        </w:rPr>
        <w:t>项目：预计完成大鹏新区高清监控设备、主从数据中心、人脸识别系统、安全边界平台等工作，预计完成</w:t>
      </w:r>
      <w:r>
        <w:rPr>
          <w:rFonts w:ascii="仿宋_GB2312" w:eastAsia="仿宋_GB2312"/>
          <w:sz w:val="32"/>
          <w:szCs w:val="32"/>
        </w:rPr>
        <w:t xml:space="preserve"> 700套高清监控设备及配套升级改造、</w:t>
      </w:r>
      <w:r>
        <w:rPr>
          <w:rFonts w:hint="eastAsia" w:ascii="仿宋_GB2312" w:eastAsia="仿宋_GB2312"/>
          <w:sz w:val="32"/>
          <w:szCs w:val="32"/>
        </w:rPr>
        <w:t>1套</w:t>
      </w:r>
      <w:r>
        <w:rPr>
          <w:rFonts w:ascii="仿宋_GB2312" w:eastAsia="仿宋_GB2312"/>
          <w:sz w:val="32"/>
          <w:szCs w:val="32"/>
        </w:rPr>
        <w:t>主从数据中心、60套人脸识别系统、</w:t>
      </w:r>
      <w:r>
        <w:rPr>
          <w:rFonts w:hint="eastAsia" w:ascii="仿宋_GB2312" w:eastAsia="仿宋_GB2312"/>
          <w:sz w:val="32"/>
          <w:szCs w:val="32"/>
        </w:rPr>
        <w:t>1套</w:t>
      </w:r>
      <w:r>
        <w:rPr>
          <w:rFonts w:ascii="仿宋_GB2312" w:eastAsia="仿宋_GB2312"/>
          <w:sz w:val="32"/>
          <w:szCs w:val="32"/>
        </w:rPr>
        <w:t>安全边界平台</w:t>
      </w:r>
      <w:r>
        <w:rPr>
          <w:rFonts w:hint="eastAsia" w:ascii="仿宋_GB2312" w:eastAsia="仿宋_GB2312"/>
          <w:sz w:val="32"/>
          <w:szCs w:val="32"/>
        </w:rPr>
        <w:t>等；所有项目开展均严格按照制度执行，做到合法合规；新区人民及干部职工满意度95%以上。</w:t>
      </w:r>
    </w:p>
    <w:p>
      <w:pPr>
        <w:spacing w:line="600" w:lineRule="exact"/>
        <w:ind w:firstLine="640" w:firstLineChars="200"/>
        <w:rPr>
          <w:rFonts w:hint="eastAsia" w:ascii="仿宋_GB2312" w:eastAsia="仿宋_GB2312"/>
          <w:sz w:val="32"/>
          <w:szCs w:val="32"/>
        </w:rPr>
      </w:pPr>
      <w:r>
        <w:rPr>
          <w:rFonts w:hint="eastAsia" w:ascii="楷体" w:hAnsi="楷体" w:eastAsia="楷体"/>
          <w:sz w:val="32"/>
          <w:szCs w:val="32"/>
        </w:rPr>
        <w:t>（二）绩效目标执行情况。</w:t>
      </w:r>
    </w:p>
    <w:p>
      <w:pPr>
        <w:spacing w:line="600" w:lineRule="exact"/>
        <w:ind w:firstLine="640" w:firstLineChars="200"/>
        <w:rPr>
          <w:rFonts w:hint="eastAsia" w:ascii="仿宋_GB2312" w:eastAsia="仿宋_GB2312"/>
          <w:sz w:val="32"/>
          <w:szCs w:val="32"/>
        </w:rPr>
      </w:pPr>
      <w:r>
        <w:rPr>
          <w:rFonts w:ascii="仿宋_GB2312" w:eastAsia="仿宋_GB2312"/>
          <w:sz w:val="32"/>
          <w:szCs w:val="32"/>
        </w:rPr>
        <w:t>我局政府投资项目</w:t>
      </w:r>
      <w:r>
        <w:rPr>
          <w:rFonts w:hint="eastAsia" w:ascii="仿宋_GB2312" w:eastAsia="仿宋_GB2312"/>
          <w:sz w:val="32"/>
          <w:szCs w:val="32"/>
        </w:rPr>
        <w:t>均已完成预定绩效目标。计划建设任务均在预定时间内完成。项目</w:t>
      </w:r>
      <w:r>
        <w:rPr>
          <w:rFonts w:ascii="仿宋_GB2312" w:eastAsia="仿宋_GB2312"/>
          <w:sz w:val="32"/>
          <w:szCs w:val="32"/>
        </w:rPr>
        <w:t>决策方、</w:t>
      </w:r>
      <w:r>
        <w:rPr>
          <w:rFonts w:hint="eastAsia" w:ascii="仿宋_GB2312" w:eastAsia="仿宋_GB2312"/>
          <w:sz w:val="32"/>
          <w:szCs w:val="32"/>
        </w:rPr>
        <w:t>执</w:t>
      </w:r>
      <w:r>
        <w:rPr>
          <w:rFonts w:ascii="仿宋_GB2312" w:eastAsia="仿宋_GB2312"/>
          <w:sz w:val="32"/>
          <w:szCs w:val="32"/>
        </w:rPr>
        <w:t>行方、监督方的职责分工</w:t>
      </w:r>
      <w:r>
        <w:rPr>
          <w:rFonts w:hint="eastAsia" w:ascii="仿宋_GB2312" w:eastAsia="仿宋_GB2312"/>
          <w:sz w:val="32"/>
          <w:szCs w:val="32"/>
        </w:rPr>
        <w:t>明确</w:t>
      </w:r>
      <w:r>
        <w:rPr>
          <w:rFonts w:ascii="仿宋_GB2312" w:eastAsia="仿宋_GB2312"/>
          <w:sz w:val="32"/>
          <w:szCs w:val="32"/>
        </w:rPr>
        <w:t>，并合理安排财政资金和相关资产设备，保障项目顺利开展</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rPr>
      </w:pPr>
      <w:r>
        <w:rPr>
          <w:rFonts w:ascii="仿宋_GB2312" w:eastAsia="仿宋_GB2312"/>
          <w:sz w:val="32"/>
          <w:szCs w:val="32"/>
        </w:rPr>
        <w:t>各项目的立项、计划申报、实施、变更、验收审计等均符合相关</w:t>
      </w:r>
      <w:r>
        <w:rPr>
          <w:rFonts w:hint="eastAsia" w:ascii="仿宋_GB2312" w:eastAsia="仿宋_GB2312"/>
          <w:sz w:val="32"/>
          <w:szCs w:val="32"/>
        </w:rPr>
        <w:t>项目</w:t>
      </w:r>
      <w:r>
        <w:rPr>
          <w:rFonts w:ascii="仿宋_GB2312" w:eastAsia="仿宋_GB2312"/>
          <w:sz w:val="32"/>
          <w:szCs w:val="32"/>
        </w:rPr>
        <w:t>管理规定，在项目建设中，聘请第三方机构开展项目监理、造价、测评、审计等专业服务，针对整体项目执行进度进行有效跟踪，完成项目实施、按时进行项目成果交付，严格控制项目进展和质量。责任科室定期开展工作例会，沟通项目实施进度、</w:t>
      </w:r>
      <w:r>
        <w:rPr>
          <w:rFonts w:hint="eastAsia" w:ascii="仿宋_GB2312" w:eastAsia="仿宋_GB2312"/>
          <w:sz w:val="32"/>
          <w:szCs w:val="32"/>
        </w:rPr>
        <w:t>通报</w:t>
      </w:r>
      <w:r>
        <w:rPr>
          <w:rFonts w:ascii="仿宋_GB2312" w:eastAsia="仿宋_GB2312"/>
          <w:sz w:val="32"/>
          <w:szCs w:val="32"/>
        </w:rPr>
        <w:t>存在的问题等，并沟通整改</w:t>
      </w:r>
      <w:r>
        <w:rPr>
          <w:rFonts w:hint="eastAsia" w:ascii="仿宋_GB2312" w:eastAsia="仿宋_GB2312"/>
          <w:sz w:val="32"/>
          <w:szCs w:val="32"/>
          <w:lang w:eastAsia="zh-CN"/>
        </w:rPr>
        <w:t>措施；</w:t>
      </w:r>
      <w:r>
        <w:rPr>
          <w:rFonts w:ascii="仿宋_GB2312" w:eastAsia="仿宋_GB2312"/>
          <w:sz w:val="32"/>
          <w:szCs w:val="32"/>
        </w:rPr>
        <w:t>第三方监理单位也定期出具项目监理月报，对项目实施进度、有无偏差、整改情况等内容进行通报。</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通过大鹏新区“雪亮工程”（二期）第一批、第二批项目的建设</w:t>
      </w:r>
      <w:r>
        <w:rPr>
          <w:rFonts w:hint="eastAsia" w:ascii="仿宋_GB2312" w:eastAsia="仿宋_GB2312"/>
          <w:sz w:val="32"/>
          <w:szCs w:val="32"/>
          <w:lang w:eastAsia="zh-CN"/>
        </w:rPr>
        <w:t>，</w:t>
      </w:r>
      <w:r>
        <w:rPr>
          <w:rFonts w:hint="eastAsia" w:ascii="仿宋_GB2312" w:eastAsia="仿宋_GB2312"/>
          <w:sz w:val="32"/>
          <w:szCs w:val="32"/>
        </w:rPr>
        <w:t>完成了大鹏新区高清一类监控点、人像识别监控点、监控系统等工作，完成了</w:t>
      </w:r>
      <w:r>
        <w:rPr>
          <w:rFonts w:ascii="仿宋_GB2312" w:eastAsia="仿宋_GB2312"/>
          <w:sz w:val="32"/>
          <w:szCs w:val="32"/>
        </w:rPr>
        <w:t>900个IPC高清一类点摄像机、400路人像识别监控点及6个高空瞭望</w:t>
      </w:r>
      <w:r>
        <w:rPr>
          <w:rFonts w:hint="eastAsia" w:ascii="仿宋_GB2312" w:eastAsia="仿宋_GB2312"/>
          <w:sz w:val="32"/>
          <w:szCs w:val="32"/>
        </w:rPr>
        <w:t>等；10个监控点、人像识别点，1个高空</w:t>
      </w:r>
      <w:r>
        <w:rPr>
          <w:rFonts w:hint="eastAsia" w:ascii="仿宋_GB2312" w:eastAsia="仿宋_GB2312"/>
          <w:sz w:val="32"/>
          <w:szCs w:val="32"/>
          <w:lang w:eastAsia="zh-CN"/>
        </w:rPr>
        <w:t>显示</w:t>
      </w:r>
      <w:r>
        <w:rPr>
          <w:rFonts w:hint="eastAsia" w:ascii="仿宋_GB2312" w:eastAsia="仿宋_GB2312"/>
          <w:sz w:val="32"/>
          <w:szCs w:val="32"/>
        </w:rPr>
        <w:t>增强智能应用平台。所有项目开展均严格按照制度执行，做到合法合规；新区人民及干部职工满意度95%以上。</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通过平安大鹏“视频云</w:t>
      </w:r>
      <w:r>
        <w:rPr>
          <w:rFonts w:ascii="仿宋_GB2312" w:eastAsia="仿宋_GB2312"/>
          <w:sz w:val="32"/>
          <w:szCs w:val="32"/>
        </w:rPr>
        <w:t>+共享”平台</w:t>
      </w:r>
      <w:r>
        <w:rPr>
          <w:rFonts w:hint="eastAsia" w:ascii="仿宋_GB2312" w:eastAsia="仿宋_GB2312"/>
          <w:sz w:val="32"/>
          <w:szCs w:val="32"/>
        </w:rPr>
        <w:t>项目的开展，完成了大鹏新区高清监控设备、主从数据中心、人脸识别系统、安全边界平台等工作，完成</w:t>
      </w:r>
      <w:r>
        <w:rPr>
          <w:rFonts w:ascii="仿宋_GB2312" w:eastAsia="仿宋_GB2312"/>
          <w:sz w:val="32"/>
          <w:szCs w:val="32"/>
        </w:rPr>
        <w:t xml:space="preserve"> 700套高清监控设备及配套升级改造、</w:t>
      </w:r>
      <w:r>
        <w:rPr>
          <w:rFonts w:hint="eastAsia" w:ascii="仿宋_GB2312" w:eastAsia="仿宋_GB2312"/>
          <w:sz w:val="32"/>
          <w:szCs w:val="32"/>
        </w:rPr>
        <w:t>1套</w:t>
      </w:r>
      <w:r>
        <w:rPr>
          <w:rFonts w:ascii="仿宋_GB2312" w:eastAsia="仿宋_GB2312"/>
          <w:sz w:val="32"/>
          <w:szCs w:val="32"/>
        </w:rPr>
        <w:t>主从数据中心、60套人脸识别系统、</w:t>
      </w:r>
      <w:r>
        <w:rPr>
          <w:rFonts w:hint="eastAsia" w:ascii="仿宋_GB2312" w:eastAsia="仿宋_GB2312"/>
          <w:sz w:val="32"/>
          <w:szCs w:val="32"/>
        </w:rPr>
        <w:t>1套</w:t>
      </w:r>
      <w:r>
        <w:rPr>
          <w:rFonts w:ascii="仿宋_GB2312" w:eastAsia="仿宋_GB2312"/>
          <w:sz w:val="32"/>
          <w:szCs w:val="32"/>
        </w:rPr>
        <w:t>安全边界平台</w:t>
      </w:r>
      <w:r>
        <w:rPr>
          <w:rFonts w:hint="eastAsia" w:ascii="仿宋_GB2312" w:eastAsia="仿宋_GB2312"/>
          <w:sz w:val="32"/>
          <w:szCs w:val="32"/>
        </w:rPr>
        <w:t>等；所有项目开展均严格按照制度执行，做到合法合规。新区人民及干部职工满意度95%以上。</w:t>
      </w:r>
    </w:p>
    <w:p>
      <w:pPr>
        <w:spacing w:line="600" w:lineRule="exact"/>
        <w:ind w:firstLine="640" w:firstLineChars="200"/>
        <w:rPr>
          <w:rFonts w:hint="eastAsia" w:ascii="楷体" w:hAnsi="楷体" w:eastAsia="楷体"/>
          <w:sz w:val="32"/>
          <w:szCs w:val="32"/>
        </w:rPr>
      </w:pPr>
      <w:r>
        <w:rPr>
          <w:rFonts w:hint="eastAsia" w:ascii="仿宋_GB2312" w:eastAsia="仿宋_GB2312"/>
          <w:sz w:val="32"/>
          <w:szCs w:val="32"/>
        </w:rPr>
        <w:t>（</w:t>
      </w:r>
      <w:r>
        <w:rPr>
          <w:rFonts w:hint="eastAsia" w:ascii="楷体" w:hAnsi="楷体" w:eastAsia="楷体"/>
          <w:sz w:val="32"/>
          <w:szCs w:val="32"/>
        </w:rPr>
        <w:t>三）资金管理和使用情况。</w:t>
      </w:r>
    </w:p>
    <w:p>
      <w:pPr>
        <w:spacing w:line="600" w:lineRule="exact"/>
        <w:ind w:firstLine="640" w:firstLineChars="200"/>
        <w:rPr>
          <w:rFonts w:ascii="仿宋_GB2312" w:eastAsia="仿宋_GB2312"/>
          <w:sz w:val="32"/>
          <w:szCs w:val="32"/>
        </w:rPr>
      </w:pPr>
      <w:r>
        <w:rPr>
          <w:rFonts w:ascii="仿宋_GB2312" w:eastAsia="仿宋_GB2312"/>
          <w:sz w:val="32"/>
          <w:szCs w:val="32"/>
        </w:rPr>
        <w:t>我局政府投资项目预算资金严格按照新区发展和财政局批复的概算和项目实施方案使用，投向清晰、结构合理，符合相关管理办法及项目设立的目标。项目资金及时批复到位率100％，并能及时支付，项目成本控制在概算资金范围内。在资金管理方面，我局在项目实施过程中不断细化和完善资金支出管理和监管方式，项目资金支付严格按照《大鹏新区</w:t>
      </w:r>
      <w:r>
        <w:rPr>
          <w:rFonts w:hint="eastAsia" w:ascii="仿宋_GB2312" w:eastAsia="仿宋_GB2312"/>
          <w:sz w:val="32"/>
          <w:szCs w:val="32"/>
        </w:rPr>
        <w:t>公安</w:t>
      </w:r>
      <w:r>
        <w:rPr>
          <w:rFonts w:ascii="仿宋_GB2312" w:eastAsia="仿宋_GB2312"/>
          <w:sz w:val="32"/>
          <w:szCs w:val="32"/>
        </w:rPr>
        <w:t>局收支业务管理制度》和《大鹏新区</w:t>
      </w:r>
      <w:r>
        <w:rPr>
          <w:rFonts w:hint="eastAsia" w:ascii="仿宋_GB2312" w:eastAsia="仿宋_GB2312"/>
          <w:sz w:val="32"/>
          <w:szCs w:val="32"/>
        </w:rPr>
        <w:t>公安</w:t>
      </w:r>
      <w:r>
        <w:rPr>
          <w:rFonts w:ascii="仿宋_GB2312" w:eastAsia="仿宋_GB2312"/>
          <w:sz w:val="32"/>
          <w:szCs w:val="32"/>
        </w:rPr>
        <w:t>局建设项目管理规定》执行，项目负责科室、监理公司须对照合同及工程管理有关规定核实施工实际进度、合同履行情况、建议付款比例等内容，由项目负责科室提出支付申请，经我局</w:t>
      </w:r>
      <w:r>
        <w:rPr>
          <w:rFonts w:hint="eastAsia" w:ascii="仿宋_GB2312" w:eastAsia="仿宋_GB2312"/>
          <w:sz w:val="32"/>
          <w:szCs w:val="32"/>
        </w:rPr>
        <w:t>领导</w:t>
      </w:r>
      <w:r>
        <w:rPr>
          <w:rFonts w:ascii="仿宋_GB2312" w:eastAsia="仿宋_GB2312"/>
          <w:sz w:val="32"/>
          <w:szCs w:val="32"/>
        </w:rPr>
        <w:t>班子审核后，</w:t>
      </w:r>
      <w:r>
        <w:rPr>
          <w:rFonts w:hint="eastAsia" w:ascii="仿宋_GB2312" w:eastAsia="仿宋_GB2312"/>
          <w:sz w:val="32"/>
          <w:szCs w:val="32"/>
        </w:rPr>
        <w:t>财务</w:t>
      </w:r>
      <w:r>
        <w:rPr>
          <w:rFonts w:hint="eastAsia" w:ascii="仿宋_GB2312" w:eastAsia="仿宋_GB2312"/>
          <w:sz w:val="32"/>
          <w:szCs w:val="32"/>
          <w:lang w:eastAsia="zh-CN"/>
        </w:rPr>
        <w:t>室</w:t>
      </w:r>
      <w:r>
        <w:rPr>
          <w:rFonts w:ascii="仿宋_GB2312" w:eastAsia="仿宋_GB2312"/>
          <w:sz w:val="32"/>
          <w:szCs w:val="32"/>
        </w:rPr>
        <w:t>根据相关</w:t>
      </w:r>
      <w:r>
        <w:rPr>
          <w:rFonts w:hint="eastAsia" w:ascii="仿宋_GB2312" w:eastAsia="仿宋_GB2312"/>
          <w:sz w:val="32"/>
          <w:szCs w:val="32"/>
        </w:rPr>
        <w:t>审批后</w:t>
      </w:r>
      <w:r>
        <w:rPr>
          <w:rFonts w:ascii="仿宋_GB2312" w:eastAsia="仿宋_GB2312"/>
          <w:sz w:val="32"/>
          <w:szCs w:val="32"/>
        </w:rPr>
        <w:t>材料支付资金</w:t>
      </w:r>
      <w:r>
        <w:rPr>
          <w:rFonts w:hint="eastAsia" w:ascii="仿宋_GB2312" w:eastAsia="仿宋_GB2312"/>
          <w:sz w:val="32"/>
          <w:szCs w:val="32"/>
        </w:rPr>
        <w:t>。</w:t>
      </w:r>
    </w:p>
    <w:p>
      <w:pPr>
        <w:spacing w:line="600" w:lineRule="exact"/>
        <w:ind w:firstLine="480" w:firstLineChars="150"/>
        <w:rPr>
          <w:rFonts w:hint="eastAsia" w:ascii="楷体" w:hAnsi="楷体" w:eastAsia="楷体"/>
          <w:sz w:val="32"/>
          <w:szCs w:val="32"/>
        </w:rPr>
      </w:pPr>
      <w:r>
        <w:rPr>
          <w:rFonts w:hint="eastAsia" w:ascii="楷体" w:hAnsi="楷体" w:eastAsia="楷体"/>
          <w:sz w:val="32"/>
          <w:szCs w:val="32"/>
        </w:rPr>
        <w:t>（四）下一步计划。</w:t>
      </w:r>
    </w:p>
    <w:p>
      <w:pPr>
        <w:pStyle w:val="3"/>
        <w:adjustRightInd w:val="0"/>
        <w:snapToGrid w:val="0"/>
        <w:spacing w:line="57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推进</w:t>
      </w:r>
      <w:r>
        <w:rPr>
          <w:rFonts w:hint="eastAsia" w:ascii="仿宋_GB2312" w:hAnsi="宋体" w:eastAsia="仿宋_GB2312" w:cs="宋体"/>
          <w:kern w:val="0"/>
          <w:sz w:val="32"/>
          <w:szCs w:val="32"/>
        </w:rPr>
        <w:t>我局施</w:t>
      </w:r>
      <w:r>
        <w:rPr>
          <w:rFonts w:hint="eastAsia" w:ascii="仿宋_GB2312" w:hAnsi="宋体" w:eastAsia="仿宋_GB2312" w:cs="宋体"/>
          <w:kern w:val="0"/>
          <w:sz w:val="32"/>
          <w:szCs w:val="32"/>
          <w:lang w:val="en-US" w:eastAsia="zh-CN"/>
        </w:rPr>
        <w:t>工</w:t>
      </w:r>
      <w:r>
        <w:rPr>
          <w:rFonts w:hint="eastAsia" w:ascii="仿宋_GB2312" w:hAnsi="宋体" w:eastAsia="仿宋_GB2312" w:cs="宋体"/>
          <w:kern w:val="0"/>
          <w:sz w:val="32"/>
          <w:szCs w:val="32"/>
        </w:rPr>
        <w:t>的5个政府投资项目</w:t>
      </w:r>
      <w:r>
        <w:rPr>
          <w:rFonts w:hint="eastAsia" w:ascii="仿宋_GB2312" w:hAnsi="宋体" w:eastAsia="仿宋_GB2312" w:cs="宋体"/>
          <w:kern w:val="0"/>
          <w:sz w:val="32"/>
          <w:szCs w:val="32"/>
          <w:lang w:val="en-US" w:eastAsia="zh-CN"/>
        </w:rPr>
        <w:t>竣工验收，开展结（决）算审计，竣工财务决算产权登记工作</w:t>
      </w:r>
      <w:r>
        <w:rPr>
          <w:rFonts w:hint="eastAsia" w:ascii="仿宋_GB2312" w:hAnsi="宋体" w:eastAsia="仿宋_GB2312" w:cs="宋体"/>
          <w:kern w:val="0"/>
          <w:sz w:val="32"/>
          <w:szCs w:val="32"/>
        </w:rPr>
        <w:t>。今后我局将继续</w:t>
      </w:r>
      <w:r>
        <w:rPr>
          <w:rFonts w:ascii="仿宋_GB2312" w:hAnsi="宋体" w:eastAsia="仿宋_GB2312" w:cs="宋体"/>
          <w:kern w:val="0"/>
          <w:sz w:val="32"/>
          <w:szCs w:val="32"/>
        </w:rPr>
        <w:t>深入贯彻落实市委</w:t>
      </w:r>
      <w:r>
        <w:rPr>
          <w:rFonts w:hint="eastAsia" w:ascii="仿宋_GB2312" w:hAnsi="宋体" w:eastAsia="仿宋_GB2312" w:cs="宋体"/>
          <w:kern w:val="0"/>
          <w:sz w:val="32"/>
          <w:szCs w:val="32"/>
          <w:lang w:eastAsia="zh-CN"/>
        </w:rPr>
        <w:t>、</w:t>
      </w:r>
      <w:r>
        <w:rPr>
          <w:rFonts w:ascii="仿宋_GB2312" w:hAnsi="宋体" w:eastAsia="仿宋_GB2312" w:cs="宋体"/>
          <w:kern w:val="0"/>
          <w:sz w:val="32"/>
          <w:szCs w:val="32"/>
        </w:rPr>
        <w:t>市政府和新区党工委管委会的决策部署，抢抓粤港澳大湾区和中国特色社会主义先行示范区“双区驱动”重大历史机遇，</w:t>
      </w:r>
      <w:r>
        <w:rPr>
          <w:rFonts w:hint="eastAsia" w:ascii="仿宋_GB2312" w:hAnsi="宋体" w:eastAsia="仿宋_GB2312" w:cs="宋体"/>
          <w:kern w:val="0"/>
          <w:sz w:val="32"/>
          <w:szCs w:val="32"/>
          <w:lang w:eastAsia="zh-CN"/>
        </w:rPr>
        <w:t>统筹</w:t>
      </w:r>
      <w:r>
        <w:rPr>
          <w:rFonts w:hint="eastAsia" w:ascii="仿宋_GB2312" w:hAnsi="宋体" w:eastAsia="仿宋_GB2312" w:cs="宋体"/>
          <w:kern w:val="0"/>
          <w:sz w:val="32"/>
          <w:szCs w:val="32"/>
        </w:rPr>
        <w:t>科学部署，</w:t>
      </w:r>
      <w:r>
        <w:rPr>
          <w:rFonts w:ascii="仿宋_GB2312" w:hAnsi="宋体" w:eastAsia="仿宋_GB2312" w:cs="宋体"/>
          <w:kern w:val="0"/>
          <w:sz w:val="32"/>
          <w:szCs w:val="32"/>
        </w:rPr>
        <w:t>加快推进政府投资项目建设工作，促进新区经济社会更高质量稳定增长</w:t>
      </w:r>
      <w:r>
        <w:rPr>
          <w:rFonts w:hint="eastAsia" w:ascii="仿宋_GB2312" w:hAnsi="宋体" w:eastAsia="仿宋_GB2312" w:cs="宋体"/>
          <w:kern w:val="0"/>
          <w:sz w:val="32"/>
          <w:szCs w:val="32"/>
        </w:rPr>
        <w:t>。</w:t>
      </w:r>
    </w:p>
    <w:p>
      <w:pPr>
        <w:pStyle w:val="3"/>
        <w:adjustRightInd w:val="0"/>
        <w:snapToGrid w:val="0"/>
        <w:spacing w:line="570" w:lineRule="exact"/>
        <w:ind w:firstLine="640"/>
        <w:rPr>
          <w:rFonts w:ascii="楷体" w:hAnsi="楷体" w:eastAsia="楷体"/>
          <w:sz w:val="32"/>
          <w:szCs w:val="32"/>
        </w:rPr>
      </w:pPr>
    </w:p>
    <w:p>
      <w:pPr>
        <w:jc w:val="center"/>
      </w:pPr>
    </w:p>
    <w:p>
      <w:pPr>
        <w:jc w:val="cente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sz w:val="24"/>
        <w:szCs w:val="24"/>
      </w:rPr>
    </w:pPr>
    <w:r>
      <w:rPr>
        <w:rStyle w:val="9"/>
        <w:sz w:val="24"/>
        <w:szCs w:val="24"/>
      </w:rPr>
      <w:fldChar w:fldCharType="begin"/>
    </w:r>
    <w:r>
      <w:rPr>
        <w:rStyle w:val="9"/>
        <w:sz w:val="24"/>
        <w:szCs w:val="24"/>
      </w:rPr>
      <w:instrText xml:space="preserve">PAGE  </w:instrText>
    </w:r>
    <w:r>
      <w:rPr>
        <w:rStyle w:val="9"/>
        <w:sz w:val="24"/>
        <w:szCs w:val="24"/>
      </w:rPr>
      <w:fldChar w:fldCharType="separate"/>
    </w:r>
    <w:r>
      <w:rPr>
        <w:rStyle w:val="9"/>
        <w:sz w:val="24"/>
        <w:szCs w:val="24"/>
      </w:rPr>
      <w:t>- 8 -</w:t>
    </w:r>
    <w:r>
      <w:rPr>
        <w:rStyle w:val="9"/>
        <w:sz w:val="24"/>
        <w:szCs w:val="24"/>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RhZGIxNzZlMmY0NGMxMmExYmE1YTI1MmUwYmNjNjMifQ=="/>
  </w:docVars>
  <w:rsids>
    <w:rsidRoot w:val="00CE1D07"/>
    <w:rsid w:val="00004AAD"/>
    <w:rsid w:val="000671AB"/>
    <w:rsid w:val="0007160F"/>
    <w:rsid w:val="00072EEA"/>
    <w:rsid w:val="00081E4F"/>
    <w:rsid w:val="000A5A0C"/>
    <w:rsid w:val="000F35B3"/>
    <w:rsid w:val="000F7AA5"/>
    <w:rsid w:val="00117F1B"/>
    <w:rsid w:val="001A4373"/>
    <w:rsid w:val="001D67C3"/>
    <w:rsid w:val="0026673E"/>
    <w:rsid w:val="002863A2"/>
    <w:rsid w:val="002B7599"/>
    <w:rsid w:val="003158E6"/>
    <w:rsid w:val="00325263"/>
    <w:rsid w:val="003378DB"/>
    <w:rsid w:val="00342606"/>
    <w:rsid w:val="00353F4E"/>
    <w:rsid w:val="00365932"/>
    <w:rsid w:val="003743E9"/>
    <w:rsid w:val="00397049"/>
    <w:rsid w:val="0040083D"/>
    <w:rsid w:val="004112D3"/>
    <w:rsid w:val="004F3E6E"/>
    <w:rsid w:val="005209B0"/>
    <w:rsid w:val="00526620"/>
    <w:rsid w:val="00564DDD"/>
    <w:rsid w:val="00585A3C"/>
    <w:rsid w:val="005B1352"/>
    <w:rsid w:val="005B2C5D"/>
    <w:rsid w:val="005B5077"/>
    <w:rsid w:val="005E4305"/>
    <w:rsid w:val="005F3ABA"/>
    <w:rsid w:val="00603EA8"/>
    <w:rsid w:val="00611B20"/>
    <w:rsid w:val="0063531C"/>
    <w:rsid w:val="00636466"/>
    <w:rsid w:val="00650681"/>
    <w:rsid w:val="0065482A"/>
    <w:rsid w:val="00664D24"/>
    <w:rsid w:val="0068767F"/>
    <w:rsid w:val="006914A0"/>
    <w:rsid w:val="00695337"/>
    <w:rsid w:val="006B274D"/>
    <w:rsid w:val="006D7CBA"/>
    <w:rsid w:val="00717444"/>
    <w:rsid w:val="00717E51"/>
    <w:rsid w:val="00726197"/>
    <w:rsid w:val="00790B66"/>
    <w:rsid w:val="007A09F3"/>
    <w:rsid w:val="007A7160"/>
    <w:rsid w:val="007B1C92"/>
    <w:rsid w:val="007B2123"/>
    <w:rsid w:val="007F613E"/>
    <w:rsid w:val="00861BAC"/>
    <w:rsid w:val="008633F2"/>
    <w:rsid w:val="008669D0"/>
    <w:rsid w:val="008729F4"/>
    <w:rsid w:val="0088153E"/>
    <w:rsid w:val="009227A4"/>
    <w:rsid w:val="00934777"/>
    <w:rsid w:val="0095447F"/>
    <w:rsid w:val="0097017A"/>
    <w:rsid w:val="00A14165"/>
    <w:rsid w:val="00A457D1"/>
    <w:rsid w:val="00A543D2"/>
    <w:rsid w:val="00A73217"/>
    <w:rsid w:val="00A87E93"/>
    <w:rsid w:val="00AA4F39"/>
    <w:rsid w:val="00AC0B12"/>
    <w:rsid w:val="00AD58D2"/>
    <w:rsid w:val="00B12EA0"/>
    <w:rsid w:val="00B36DCE"/>
    <w:rsid w:val="00B7296F"/>
    <w:rsid w:val="00B809CB"/>
    <w:rsid w:val="00B80D7C"/>
    <w:rsid w:val="00B81396"/>
    <w:rsid w:val="00BB3196"/>
    <w:rsid w:val="00BD2FC9"/>
    <w:rsid w:val="00BD73B7"/>
    <w:rsid w:val="00BE432D"/>
    <w:rsid w:val="00C05247"/>
    <w:rsid w:val="00C116EC"/>
    <w:rsid w:val="00C666B7"/>
    <w:rsid w:val="00C7045A"/>
    <w:rsid w:val="00CE1D07"/>
    <w:rsid w:val="00D6545E"/>
    <w:rsid w:val="00D72A92"/>
    <w:rsid w:val="00D92EFB"/>
    <w:rsid w:val="00DE0B1F"/>
    <w:rsid w:val="00DE2171"/>
    <w:rsid w:val="00E17FCB"/>
    <w:rsid w:val="00E7302D"/>
    <w:rsid w:val="00E906B5"/>
    <w:rsid w:val="00E96EF2"/>
    <w:rsid w:val="00EA0D43"/>
    <w:rsid w:val="00EB0762"/>
    <w:rsid w:val="00EF5EB6"/>
    <w:rsid w:val="00F04164"/>
    <w:rsid w:val="00F101DB"/>
    <w:rsid w:val="00F303D4"/>
    <w:rsid w:val="00F305A4"/>
    <w:rsid w:val="00F53E87"/>
    <w:rsid w:val="00F75001"/>
    <w:rsid w:val="00FC16AC"/>
    <w:rsid w:val="00FD4997"/>
    <w:rsid w:val="00FE61C9"/>
    <w:rsid w:val="216A17B4"/>
    <w:rsid w:val="390E1F27"/>
    <w:rsid w:val="400F2091"/>
    <w:rsid w:val="424C0285"/>
    <w:rsid w:val="48E74080"/>
    <w:rsid w:val="585711BF"/>
    <w:rsid w:val="6E375514"/>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
    <w:pPr>
      <w:ind w:firstLine="640" w:firstLineChars="200"/>
      <w:outlineLvl w:val="0"/>
    </w:pPr>
    <w:rPr>
      <w:rFonts w:ascii="黑体" w:hAnsi="黑体" w:eastAsia="黑体"/>
      <w:sz w:val="32"/>
      <w:szCs w:val="32"/>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alloon Text"/>
    <w:basedOn w:val="1"/>
    <w:link w:val="11"/>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Char"/>
    <w:link w:val="6"/>
    <w:qFormat/>
    <w:uiPriority w:val="99"/>
    <w:rPr>
      <w:kern w:val="2"/>
      <w:sz w:val="18"/>
      <w:szCs w:val="18"/>
    </w:rPr>
  </w:style>
  <w:style w:type="character" w:customStyle="1" w:styleId="11">
    <w:name w:val="批注框文本 Char"/>
    <w:link w:val="4"/>
    <w:qFormat/>
    <w:uiPriority w:val="0"/>
    <w:rPr>
      <w:kern w:val="2"/>
      <w:sz w:val="18"/>
      <w:szCs w:val="18"/>
    </w:rPr>
  </w:style>
  <w:style w:type="character" w:customStyle="1" w:styleId="12">
    <w:name w:val="标题 1 Char"/>
    <w:basedOn w:val="8"/>
    <w:link w:val="2"/>
    <w:qFormat/>
    <w:uiPriority w:val="9"/>
    <w:rPr>
      <w:rFonts w:ascii="黑体" w:hAnsi="黑体" w:eastAsia="黑体" w:cs="Times New Roman"/>
      <w:kern w:val="2"/>
      <w:sz w:val="32"/>
      <w:szCs w:val="32"/>
    </w:rPr>
  </w:style>
  <w:style w:type="character" w:customStyle="1" w:styleId="13">
    <w:name w:val="页脚 Char"/>
    <w:basedOn w:val="8"/>
    <w:link w:val="5"/>
    <w:qFormat/>
    <w:uiPriority w:val="99"/>
    <w:rPr>
      <w:kern w:val="2"/>
      <w:sz w:val="18"/>
      <w:szCs w:val="18"/>
    </w:rPr>
  </w:style>
  <w:style w:type="paragraph" w:styleId="14">
    <w:name w:val="List Paragraph"/>
    <w:basedOn w:val="1"/>
    <w:qFormat/>
    <w:uiPriority w:val="34"/>
    <w:pPr>
      <w:ind w:firstLine="420" w:firstLineChars="200"/>
    </w:pPr>
    <w:rPr>
      <w:rFonts w:ascii="仿宋_GB2312" w:hAnsi="宋体"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3310</Words>
  <Characters>3701</Characters>
  <Lines>27</Lines>
  <Paragraphs>7</Paragraphs>
  <TotalTime>581</TotalTime>
  <ScaleCrop>false</ScaleCrop>
  <LinksUpToDate>false</LinksUpToDate>
  <CharactersWithSpaces>3747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2020-02-17T07:41:00Z</dcterms:created>
  <dc:creator>赖司琦</dc:creator>
  <cp:lastModifiedBy>晓丽</cp:lastModifiedBy>
  <dcterms:modified xsi:type="dcterms:W3CDTF">2023-06-27T03:02:03Z</dcterms:modified>
  <dc:title>部门分管专项资金（基金）整体绩效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7DE1C88C20164C6CA6654B5ED67CE010</vt:lpwstr>
  </property>
</Properties>
</file>