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left="4190" w:leftChars="700" w:hanging="2720" w:hangingChars="850"/>
        <w:rPr>
          <w:rFonts w:hint="default" w:ascii="仿宋_GB2312" w:eastAsia="仿宋_GB2312"/>
          <w:bCs/>
          <w:sz w:val="32"/>
          <w:szCs w:val="32"/>
          <w:lang w:val="en-US" w:eastAsia="zh-CN"/>
        </w:rPr>
      </w:pPr>
      <w:r>
        <w:rPr>
          <w:rFonts w:hint="eastAsia" w:ascii="仿宋_GB2312" w:eastAsia="仿宋_GB2312"/>
          <w:sz w:val="32"/>
          <w:szCs w:val="32"/>
        </w:rPr>
        <w:t>部门名称（公章</w:t>
      </w:r>
      <w:r>
        <w:rPr>
          <w:rFonts w:hint="eastAsia" w:ascii="仿宋_GB2312" w:eastAsia="仿宋_GB2312"/>
          <w:sz w:val="32"/>
          <w:szCs w:val="32"/>
          <w:lang w:eastAsia="zh-CN"/>
        </w:rPr>
        <w:t>）</w:t>
      </w:r>
      <w:r>
        <w:rPr>
          <w:rFonts w:hint="eastAsia" w:ascii="仿宋_GB2312" w:eastAsia="仿宋_GB2312"/>
          <w:sz w:val="32"/>
          <w:szCs w:val="32"/>
        </w:rPr>
        <w:t>：深圳市</w:t>
      </w:r>
      <w:r>
        <w:rPr>
          <w:rFonts w:hint="eastAsia" w:ascii="仿宋_GB2312" w:eastAsia="仿宋_GB2312"/>
          <w:sz w:val="32"/>
          <w:szCs w:val="32"/>
          <w:lang w:val="en-US" w:eastAsia="zh-CN"/>
        </w:rPr>
        <w:t>公安局大鹏分局</w:t>
      </w:r>
    </w:p>
    <w:p>
      <w:pPr>
        <w:spacing w:line="360" w:lineRule="auto"/>
        <w:ind w:firstLine="1440" w:firstLineChars="450"/>
        <w:rPr>
          <w:rFonts w:hint="eastAsia" w:ascii="仿宋_GB2312" w:eastAsia="仿宋_GB2312"/>
          <w:sz w:val="32"/>
          <w:szCs w:val="32"/>
          <w:lang w:eastAsia="zh-CN"/>
        </w:rPr>
      </w:pPr>
      <w:r>
        <w:rPr>
          <w:rFonts w:hint="eastAsia" w:ascii="仿宋_GB2312" w:eastAsia="仿宋_GB2312"/>
          <w:sz w:val="32"/>
          <w:szCs w:val="32"/>
        </w:rPr>
        <w:t>填报人：</w:t>
      </w:r>
      <w:r>
        <w:rPr>
          <w:rFonts w:hint="eastAsia" w:ascii="仿宋_GB2312" w:eastAsia="仿宋_GB2312"/>
          <w:sz w:val="32"/>
          <w:szCs w:val="32"/>
          <w:lang w:eastAsia="zh-CN"/>
        </w:rPr>
        <w:t>彭晓丽</w:t>
      </w:r>
    </w:p>
    <w:p>
      <w:pPr>
        <w:spacing w:line="360" w:lineRule="auto"/>
        <w:ind w:firstLine="1440" w:firstLineChars="450"/>
        <w:rPr>
          <w:rFonts w:hint="default" w:ascii="仿宋_GB2312" w:eastAsia="仿宋_GB2312"/>
          <w:sz w:val="32"/>
          <w:szCs w:val="32"/>
          <w:lang w:val="en-US" w:eastAsia="zh-CN"/>
        </w:rPr>
      </w:pPr>
      <w:r>
        <w:rPr>
          <w:rFonts w:hint="eastAsia" w:ascii="仿宋_GB2312" w:eastAsia="仿宋_GB2312"/>
          <w:sz w:val="32"/>
          <w:szCs w:val="32"/>
        </w:rPr>
        <w:t>联系电话：</w:t>
      </w:r>
      <w:r>
        <w:rPr>
          <w:rFonts w:hint="eastAsia" w:ascii="仿宋_GB2312" w:eastAsia="仿宋_GB2312"/>
          <w:sz w:val="32"/>
          <w:szCs w:val="32"/>
          <w:lang w:val="en-US" w:eastAsia="zh-CN"/>
        </w:rPr>
        <w:t>28333519</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r>
        <w:rPr>
          <w:rFonts w:hint="eastAsia" w:ascii="宋体" w:hAnsi="宋体"/>
          <w:sz w:val="44"/>
          <w:szCs w:val="44"/>
        </w:rPr>
        <w:t xml:space="preserve"> </w:t>
      </w:r>
      <w:r>
        <w:rPr>
          <w:rFonts w:ascii="宋体" w:hAnsi="宋体"/>
          <w:sz w:val="44"/>
          <w:szCs w:val="44"/>
        </w:rPr>
        <w:t xml:space="preserve"> </w:t>
      </w:r>
    </w:p>
    <w:p>
      <w:pPr>
        <w:rPr>
          <w:rFonts w:ascii="仿宋_GB2312" w:hAnsi="黑体" w:eastAsia="仿宋_GB2312"/>
          <w:sz w:val="32"/>
          <w:szCs w:val="32"/>
        </w:rPr>
      </w:pPr>
    </w:p>
    <w:p>
      <w:pPr>
        <w:ind w:firstLine="320" w:firstLineChars="200"/>
        <w:rPr>
          <w:rFonts w:ascii="瀹嬩綋" w:hAnsi="瀹嬩綋" w:eastAsia="瀹嬩綋" w:cs="瀹嬩綋"/>
          <w:i w:val="0"/>
          <w:iCs w:val="0"/>
          <w:caps w:val="0"/>
          <w:color w:val="000000"/>
          <w:spacing w:val="0"/>
          <w:sz w:val="16"/>
          <w:szCs w:val="16"/>
          <w:shd w:val="clear" w:fill="FFFFFF"/>
        </w:rPr>
      </w:pP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为有序推进</w:t>
      </w:r>
      <w:r>
        <w:rPr>
          <w:rFonts w:hint="eastAsia" w:ascii="仿宋_GB2312" w:hAnsi="黑体" w:eastAsia="仿宋_GB2312"/>
          <w:sz w:val="32"/>
          <w:szCs w:val="32"/>
          <w:lang w:val="en-US" w:eastAsia="zh-CN"/>
        </w:rPr>
        <w:t>我局</w:t>
      </w:r>
      <w:r>
        <w:rPr>
          <w:rFonts w:hint="eastAsia" w:ascii="仿宋_GB2312" w:hAnsi="黑体" w:eastAsia="仿宋_GB2312"/>
          <w:sz w:val="32"/>
          <w:szCs w:val="32"/>
        </w:rPr>
        <w:t>全面预算绩效管理工作，强化财政支出绩效理念和责任意识，切实提高财政资金使用效益，</w:t>
      </w:r>
      <w:r>
        <w:rPr>
          <w:rFonts w:hint="eastAsia" w:ascii="仿宋_GB2312" w:hAnsi="黑体" w:eastAsia="仿宋_GB2312"/>
          <w:sz w:val="32"/>
          <w:szCs w:val="32"/>
          <w:lang w:val="en-US" w:eastAsia="zh-CN"/>
        </w:rPr>
        <w:t>严格</w:t>
      </w:r>
      <w:r>
        <w:rPr>
          <w:rFonts w:hint="eastAsia" w:ascii="仿宋_GB2312" w:hAnsi="黑体" w:eastAsia="仿宋_GB2312"/>
          <w:sz w:val="32"/>
          <w:szCs w:val="32"/>
        </w:rPr>
        <w:t>按照中共中央</w:t>
      </w:r>
      <w:r>
        <w:rPr>
          <w:rFonts w:hint="eastAsia" w:ascii="仿宋_GB2312" w:hAnsi="黑体" w:eastAsia="仿宋_GB2312"/>
          <w:sz w:val="32"/>
          <w:szCs w:val="32"/>
          <w:lang w:eastAsia="zh-CN"/>
        </w:rPr>
        <w:t>、</w:t>
      </w:r>
      <w:r>
        <w:rPr>
          <w:rFonts w:hint="eastAsia" w:ascii="仿宋_GB2312" w:hAnsi="黑体" w:eastAsia="仿宋_GB2312"/>
          <w:sz w:val="32"/>
          <w:szCs w:val="32"/>
        </w:rPr>
        <w:t>国务院《关于全面实施预算绩效管理的意见》（中发〔2018〕34号）</w:t>
      </w:r>
      <w:r>
        <w:rPr>
          <w:rFonts w:hint="eastAsia" w:ascii="仿宋_GB2312" w:hAnsi="黑体" w:eastAsia="仿宋_GB2312"/>
          <w:sz w:val="32"/>
          <w:szCs w:val="32"/>
          <w:lang w:eastAsia="zh-CN"/>
        </w:rPr>
        <w:t>、</w:t>
      </w:r>
      <w:r>
        <w:rPr>
          <w:rFonts w:hint="eastAsia" w:ascii="仿宋_GB2312" w:hAnsi="黑体" w:eastAsia="仿宋_GB2312"/>
          <w:sz w:val="32"/>
          <w:szCs w:val="32"/>
        </w:rPr>
        <w:t>《深圳市财政局关于贯彻落实全面实施预算绩效管理有关事项的通知》</w:t>
      </w:r>
      <w:r>
        <w:rPr>
          <w:rFonts w:hint="eastAsia" w:ascii="仿宋_GB2312" w:hAnsi="仿宋" w:eastAsia="仿宋_GB2312"/>
          <w:bCs/>
          <w:sz w:val="32"/>
          <w:szCs w:val="32"/>
          <w:lang w:val="en-US" w:eastAsia="zh-CN"/>
        </w:rPr>
        <w:t>（深财绩〔2019〕5号）</w:t>
      </w:r>
      <w:r>
        <w:rPr>
          <w:rFonts w:hint="eastAsia" w:ascii="仿宋_GB2312" w:hAnsi="黑体" w:eastAsia="仿宋_GB2312"/>
          <w:sz w:val="32"/>
          <w:szCs w:val="32"/>
        </w:rPr>
        <w:t>及《深圳市大鹏新区发展和财政局关于印发&lt;深圳市大鹏新区关于贯彻落实全面实施预算绩效管理的工作方案&gt;的通知》（深鹏发财〔2019〕445号）</w:t>
      </w:r>
      <w:r>
        <w:rPr>
          <w:rFonts w:hint="eastAsia" w:ascii="仿宋_GB2312" w:hAnsi="黑体" w:eastAsia="仿宋_GB2312"/>
          <w:sz w:val="32"/>
          <w:szCs w:val="32"/>
          <w:lang w:val="en-US" w:eastAsia="zh-CN"/>
        </w:rPr>
        <w:t>文件精神，以及</w:t>
      </w:r>
      <w:r>
        <w:rPr>
          <w:rFonts w:hint="eastAsia" w:ascii="仿宋_GB2312" w:hAnsi="黑体" w:eastAsia="仿宋_GB2312"/>
          <w:sz w:val="32"/>
          <w:szCs w:val="32"/>
        </w:rPr>
        <w:t>深圳市大鹏新区发展和财政局《关于做好新区2021预算绩效管理工作的通知》要求（深鹏发财函〔2021〕51号）要求，我局组织专门人员对我局</w:t>
      </w:r>
      <w:r>
        <w:rPr>
          <w:rFonts w:hint="eastAsia" w:ascii="仿宋_GB2312" w:hAnsi="黑体" w:eastAsia="仿宋_GB2312"/>
          <w:sz w:val="32"/>
          <w:szCs w:val="32"/>
          <w:lang w:val="en-US" w:eastAsia="zh-CN"/>
        </w:rPr>
        <w:t>2020</w:t>
      </w:r>
      <w:r>
        <w:rPr>
          <w:rFonts w:hint="eastAsia" w:ascii="仿宋_GB2312" w:hAnsi="黑体" w:eastAsia="仿宋_GB2312"/>
          <w:sz w:val="32"/>
          <w:szCs w:val="32"/>
        </w:rPr>
        <w:t>年度部门整体支出进行了绩效评价，现将绩效评价情况报告如下：</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黑体" w:hAnsi="黑体" w:eastAsia="黑体"/>
          <w:sz w:val="32"/>
          <w:szCs w:val="32"/>
        </w:rPr>
      </w:pPr>
      <w:r>
        <w:rPr>
          <w:rFonts w:hint="eastAsia" w:ascii="黑体" w:hAnsi="黑体" w:eastAsia="黑体"/>
          <w:sz w:val="32"/>
          <w:szCs w:val="32"/>
        </w:rPr>
        <w:t>一、部门（单位）基本情况</w:t>
      </w:r>
    </w:p>
    <w:p>
      <w:pPr>
        <w:keepNext w:val="0"/>
        <w:keepLines w:val="0"/>
        <w:pageBreakBefore w:val="0"/>
        <w:widowControl w:val="0"/>
        <w:kinsoku/>
        <w:wordWrap/>
        <w:overflowPunct/>
        <w:topLinePunct w:val="0"/>
        <w:bidi w:val="0"/>
        <w:snapToGrid/>
        <w:spacing w:line="240" w:lineRule="auto"/>
        <w:textAlignment w:val="auto"/>
        <w:rPr>
          <w:rFonts w:hint="default" w:ascii="仿宋_GB2312" w:hAnsi="黑体" w:eastAsia="仿宋_GB2312" w:cs="Times New Roman"/>
          <w:sz w:val="32"/>
          <w:szCs w:val="32"/>
          <w:lang w:val="en-US" w:eastAsia="zh-CN"/>
        </w:rPr>
      </w:pPr>
      <w:r>
        <w:rPr>
          <w:rFonts w:hint="eastAsia" w:ascii="楷体" w:hAnsi="楷体" w:eastAsia="楷体"/>
          <w:b/>
          <w:sz w:val="32"/>
          <w:szCs w:val="32"/>
          <w:lang w:val="en-US" w:eastAsia="zh-CN"/>
        </w:rPr>
        <w:t xml:space="preserve">   </w:t>
      </w:r>
      <w:r>
        <w:rPr>
          <w:rFonts w:hint="eastAsia" w:ascii="仿宋_GB2312" w:hAnsi="黑体" w:eastAsia="仿宋_GB2312" w:cs="Times New Roman"/>
          <w:sz w:val="32"/>
          <w:szCs w:val="32"/>
          <w:lang w:val="en-US" w:eastAsia="zh-CN"/>
        </w:rPr>
        <w:t xml:space="preserve"> 深圳市公安局大鹏公安分局是隶属于大鹏新区的一级部门预算单位，单位性质为行政单位，位于深圳市大鹏新区大鹏街道岭澳新村十二巷1号。内设若干职能机构，分别承担有关业务工作，内设机构有：法制科、综合科、治安大队、刑警大队、机动训练大队和禁毒大队等。</w:t>
      </w:r>
    </w:p>
    <w:p>
      <w:pPr>
        <w:keepNext w:val="0"/>
        <w:keepLines w:val="0"/>
        <w:pageBreakBefore w:val="0"/>
        <w:widowControl w:val="0"/>
        <w:kinsoku/>
        <w:wordWrap/>
        <w:overflowPunct/>
        <w:topLinePunct w:val="0"/>
        <w:bidi w:val="0"/>
        <w:snapToGrid/>
        <w:spacing w:line="240" w:lineRule="auto"/>
        <w:ind w:firstLine="482" w:firstLineChars="150"/>
        <w:textAlignment w:val="auto"/>
        <w:rPr>
          <w:rFonts w:hint="eastAsia" w:ascii="楷体" w:hAnsi="楷体" w:eastAsia="楷体"/>
          <w:b/>
          <w:sz w:val="32"/>
          <w:szCs w:val="32"/>
        </w:rPr>
      </w:pPr>
      <w:r>
        <w:rPr>
          <w:rFonts w:hint="eastAsia" w:ascii="楷体" w:hAnsi="楷体" w:eastAsia="楷体"/>
          <w:b/>
          <w:sz w:val="32"/>
          <w:szCs w:val="32"/>
        </w:rPr>
        <w:t>（一）部门主要职能</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深圳市公安局大鹏公安分局是主管大鹏新区公安工作的政府职能部门，承担的工作职责主要包括：</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1.负责分局组织建设和公安民警队伍建设，按规定权限负责有关人事管理工作；按照市公安局计划，负责分局民警的教育、培训及警衔申报等工作。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2.依法查处辖区内各类治安案件和刑事案件，防范和打击各种刑事犯罪活动。</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3.负责辖区内治安管理与防范工作，对居民进行相关法制宣传教育，提高居民的法治意识；指导和协调辖区内治安保卫组织的业务工作。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4.按照规定权限负责辖区内常住人口、流动人口管理工作，受理、审核辖区内各类入户申请；办理、发放居民身份证、居住证等；负责向市公安局上报人口信息资料。</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5.负责辖区内特种行业管理工作，按照市公安局规定的权限管理易燃易爆物品、枪支弹药及其他危险物品。</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6.负责辖区内保安行业的指导和管理；协调、指导基层派出所加强治安管理和防范工作；依法监管各类犯罪刑满、劳教释放人员，指导基层派出所帮教违法青少年工作。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7.协同有关部门，做好党和国家领导人、重要外宾来访期间的安全保卫工作。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8.对分局所属各机构及其民警的执法活动进行内部监督。</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9.承办上级公安机关交办的其他事项。</w:t>
      </w:r>
    </w:p>
    <w:p>
      <w:pPr>
        <w:keepNext w:val="0"/>
        <w:keepLines w:val="0"/>
        <w:pageBreakBefore w:val="0"/>
        <w:widowControl w:val="0"/>
        <w:kinsoku/>
        <w:wordWrap/>
        <w:overflowPunct/>
        <w:topLinePunct w:val="0"/>
        <w:bidi w:val="0"/>
        <w:snapToGrid/>
        <w:spacing w:line="240" w:lineRule="auto"/>
        <w:ind w:firstLine="420"/>
        <w:textAlignment w:val="auto"/>
        <w:rPr>
          <w:rFonts w:ascii="楷体" w:hAnsi="楷体" w:eastAsia="楷体"/>
          <w:b/>
          <w:sz w:val="32"/>
          <w:szCs w:val="32"/>
        </w:rPr>
      </w:pPr>
      <w:r>
        <w:rPr>
          <w:rFonts w:hint="eastAsia" w:ascii="楷体" w:hAnsi="楷体" w:eastAsia="楷体"/>
          <w:b/>
          <w:sz w:val="32"/>
          <w:szCs w:val="32"/>
        </w:rPr>
        <w:t>（二）年度总体工作和重点工作任务。</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2020年，我局将继续坚定不移地在市公安局和新区党工委、管委会的坚强领导下，严格贯彻落实习近平总书记关于公安工作系列讲话精神和全国公安工作会议部署，对标粤港澳大湾区和先行示范区建设要求，稳步推进市局深化“三个年”工作，紧密服务“世界级滨海生态旅游度假区”发展布局和创建“平安建设示范区”总体部署，深入推进各项警务改革，进一步厘清警务权责、优化警力资源、重塑警务流程，以信息化、科技化手段全面提升警务战斗力，为全区社会政治经济发展大局提供了安全优质的社会环境。</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b/>
          <w:bCs/>
          <w:sz w:val="32"/>
          <w:szCs w:val="32"/>
          <w:lang w:val="en-US" w:eastAsia="zh-CN"/>
        </w:rPr>
        <w:t>一是进一步推进派出所规范化建设。</w:t>
      </w:r>
      <w:r>
        <w:rPr>
          <w:rFonts w:hint="eastAsia" w:ascii="仿宋_GB2312" w:hAnsi="黑体" w:eastAsia="仿宋_GB2312" w:cs="Times New Roman"/>
          <w:sz w:val="32"/>
          <w:szCs w:val="32"/>
          <w:lang w:val="en-US" w:eastAsia="zh-CN"/>
        </w:rPr>
        <w:t>抢抓创建“枫桥式派出所”，市局全力推进派出所规范化建设和分局派出所重建等契机，以“实战化、科学化、规范化、标准化”为准绳，提升各派出所规范化水平。硬件方面，全面建设确保满足日常勤务、执法办案和服务群众“三大需求”，符合实用、够用、好用“三大标准”的“国内领先，世界一流”派出所；软件方面，积极构建“共建共治共享”格局，做深做透基层治理，厘清派出所与社区警务室责任清单，唤醒社区群众的“主场、主体、主责、主力”意识，主动改变公安机关“治安保姆”角色，将重心转移到打击犯罪和指导防范“两个主业”之上。</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b/>
          <w:bCs/>
          <w:sz w:val="32"/>
          <w:szCs w:val="32"/>
          <w:lang w:val="en-US" w:eastAsia="zh-CN"/>
        </w:rPr>
        <w:t>二是进一步构建东部海防“铜墙铁壁”。</w:t>
      </w:r>
      <w:r>
        <w:rPr>
          <w:rFonts w:hint="eastAsia" w:ascii="仿宋_GB2312" w:hAnsi="黑体" w:eastAsia="仿宋_GB2312" w:cs="Times New Roman"/>
          <w:sz w:val="32"/>
          <w:szCs w:val="32"/>
          <w:lang w:val="en-US" w:eastAsia="zh-CN"/>
        </w:rPr>
        <w:t>会同海警、边防、海关、边检等部门，以高度的政治责任感，全面落实“管边控海”地方主体责任，以反倒灌、反偷渡、反走私为核心任务，组织开展专项打击整治行动，全力遏制相关领域违法犯罪；加强与辖区各部门和组织的联勤联动，织密海上治安巡逻防控网，对辖区船舶、渔排及其经营者、船员等信息全面纳管，将重点海岸线、码头、临海交通要道的视频监控建设纳入“雪亮工程”规划建设；做好边防支队转隶后相关职能与人员的承接准备，会同街道等部门做好过渡期海防工作，确保不发生重大政治、治安案事件。</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b/>
          <w:bCs/>
          <w:sz w:val="32"/>
          <w:szCs w:val="32"/>
          <w:lang w:val="en-US" w:eastAsia="zh-CN"/>
        </w:rPr>
        <w:t>三是进一步加强智慧新警务建设。</w:t>
      </w:r>
      <w:r>
        <w:rPr>
          <w:rFonts w:hint="eastAsia" w:ascii="仿宋_GB2312" w:hAnsi="黑体" w:eastAsia="仿宋_GB2312" w:cs="Times New Roman"/>
          <w:sz w:val="32"/>
          <w:szCs w:val="32"/>
          <w:lang w:val="en-US" w:eastAsia="zh-CN"/>
        </w:rPr>
        <w:t>对接市局新一代指挥中心建设，高标准推进分局第三代指挥中心规划建设，力争明年内能投入使用，实现数据深入智能化应用；加快推进“雪亮工程”三期建设，在今年底前启动视频联网整合共享服务平台建设，整合水务、城管、边防、国土、旅游等部门视频资源，2020年实现全面联网共享；深化信息化应用水平，进一步完善合成作战机制，组织开展分局视频侦查实战训练和大练兵大比武活动，提高民警信息化应用水平。</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b/>
          <w:bCs/>
          <w:sz w:val="32"/>
          <w:szCs w:val="32"/>
          <w:lang w:val="en-US" w:eastAsia="zh-CN"/>
        </w:rPr>
        <w:t>四是优化以“义警”为核心的群防群治模式。</w:t>
      </w:r>
      <w:r>
        <w:rPr>
          <w:rFonts w:hint="eastAsia" w:ascii="仿宋_GB2312" w:hAnsi="黑体" w:eastAsia="仿宋_GB2312" w:cs="Times New Roman"/>
          <w:sz w:val="32"/>
          <w:szCs w:val="32"/>
          <w:lang w:val="en-US" w:eastAsia="zh-CN"/>
        </w:rPr>
        <w:t>按照“共建共治共享”的基本理念，坚定不移地走“义警”发展之路，不断扩大“义警”队伍群体，纳入城管消防巡查、网约车司机、外卖送餐员、寄递员等社会治安力量，制定完善组织动员、通讯联络、管理保障等配套机制；探索群防群治力量勤务“一张图”运作和“可视化”指挥调度，实现线上线下“一呼百应”；不断健全保障机制，通过购买服务、治安保险、表彰奖励、补偿救济等举措，提高群防群治力量的参与度，引导和鼓励其投身社会治理。</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b/>
          <w:bCs/>
          <w:sz w:val="32"/>
          <w:szCs w:val="32"/>
          <w:lang w:val="en-US" w:eastAsia="zh-CN"/>
        </w:rPr>
        <w:t>五是开展民宿综合治理创新实践。</w:t>
      </w:r>
      <w:r>
        <w:rPr>
          <w:rFonts w:hint="eastAsia" w:ascii="仿宋_GB2312" w:hAnsi="黑体" w:eastAsia="仿宋_GB2312" w:cs="Times New Roman"/>
          <w:sz w:val="32"/>
          <w:szCs w:val="32"/>
          <w:lang w:val="en-US" w:eastAsia="zh-CN"/>
        </w:rPr>
        <w:t>准确把握新区“世界级滨海生态旅游度假区”新定位，结合上级部门“放管服”要求和本地实际，开展民宿总量规划与调控研究，追求经济效益与社会效益的有机统一。在“一二三四五”工作法“官湖样板”的基础上，在较场尾、南澳、东西冲开展新一轮的密集民宿综合治理创新实践，进一步优化治理机制，压实民宿行业协会及相关经营者、管理者的“主体责任”“第一责任”，形成多方治理的更大合力，实现“全要素信息采集、全时空安全防护、全方位隐患排查”，为全市乃至全国密集民宿综合治理探索“大鹏样本”。</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eastAsia" w:ascii="仿宋" w:hAnsi="仿宋" w:eastAsia="仿宋" w:cs="仿宋_GB2312"/>
          <w:sz w:val="32"/>
          <w:szCs w:val="32"/>
        </w:rPr>
      </w:pPr>
      <w:r>
        <w:rPr>
          <w:rFonts w:hint="eastAsia" w:ascii="仿宋_GB2312" w:hAnsi="黑体" w:eastAsia="仿宋_GB2312" w:cs="Times New Roman"/>
          <w:b/>
          <w:bCs/>
          <w:sz w:val="32"/>
          <w:szCs w:val="32"/>
          <w:lang w:val="en-US" w:eastAsia="zh-CN"/>
        </w:rPr>
        <w:t>六是进一步加快推进营房建设。</w:t>
      </w:r>
      <w:r>
        <w:rPr>
          <w:rFonts w:hint="eastAsia" w:ascii="仿宋_GB2312" w:hAnsi="黑体" w:eastAsia="仿宋_GB2312" w:cs="Times New Roman"/>
          <w:sz w:val="32"/>
          <w:szCs w:val="32"/>
          <w:lang w:val="en-US" w:eastAsia="zh-CN"/>
        </w:rPr>
        <w:t>通过新建、修缮等方式改善分局办公、生活环境，已经开工的大鹏派出所新建工程力争明年内完工并交付使用；加快推进分局指挥中心大楼、土洋派出所新建工程前期工作，确保明年如期开工；加强与相关部门的协调力度，完成新建南澳派出所与分局战训基地的选址工作；按照根据市局要求，完成警务室外观统一标示标牌，修缮部分警务室，改善警务便民和办公条件。</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楷体" w:hAnsi="楷体" w:eastAsia="楷体"/>
          <w:b/>
          <w:sz w:val="32"/>
          <w:szCs w:val="32"/>
        </w:rPr>
      </w:pPr>
      <w:r>
        <w:rPr>
          <w:rFonts w:hint="eastAsia" w:ascii="楷体" w:hAnsi="楷体" w:eastAsia="楷体"/>
          <w:b/>
          <w:sz w:val="32"/>
          <w:szCs w:val="32"/>
        </w:rPr>
        <w:t>（三）2020年部门预算编制情况。</w:t>
      </w:r>
    </w:p>
    <w:p>
      <w:pPr>
        <w:keepNext w:val="0"/>
        <w:keepLines w:val="0"/>
        <w:pageBreakBefore w:val="0"/>
        <w:widowControl w:val="0"/>
        <w:numPr>
          <w:ilvl w:val="0"/>
          <w:numId w:val="0"/>
        </w:numPr>
        <w:kinsoku/>
        <w:wordWrap/>
        <w:overflowPunct/>
        <w:topLinePunct w:val="0"/>
        <w:bidi w:val="0"/>
        <w:snapToGrid/>
        <w:spacing w:line="240" w:lineRule="auto"/>
        <w:ind w:firstLine="643" w:firstLineChars="200"/>
        <w:textAlignment w:val="auto"/>
        <w:rPr>
          <w:rFonts w:hint="eastAsia" w:ascii="仿宋_GB2312" w:hAnsi="黑体" w:eastAsia="仿宋_GB2312"/>
          <w:b/>
          <w:bCs/>
          <w:sz w:val="32"/>
          <w:szCs w:val="32"/>
        </w:rPr>
      </w:pPr>
      <w:r>
        <w:rPr>
          <w:rFonts w:hint="eastAsia" w:ascii="仿宋_GB2312" w:hAnsi="黑体" w:eastAsia="仿宋_GB2312"/>
          <w:b/>
          <w:bCs/>
          <w:sz w:val="32"/>
          <w:szCs w:val="32"/>
          <w:lang w:val="en-US" w:eastAsia="zh-CN"/>
        </w:rPr>
        <w:t>1.</w:t>
      </w:r>
      <w:r>
        <w:rPr>
          <w:rFonts w:hint="eastAsia" w:ascii="仿宋_GB2312" w:hAnsi="黑体" w:eastAsia="仿宋_GB2312"/>
          <w:b/>
          <w:bCs/>
          <w:sz w:val="32"/>
          <w:szCs w:val="32"/>
        </w:rPr>
        <w:t>部门预算编制合理规范。</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我</w:t>
      </w:r>
      <w:r>
        <w:rPr>
          <w:rFonts w:hint="eastAsia" w:ascii="仿宋_GB2312" w:hAnsi="黑体" w:eastAsia="仿宋_GB2312"/>
          <w:sz w:val="32"/>
          <w:szCs w:val="32"/>
          <w:lang w:val="en-US" w:eastAsia="zh-CN"/>
        </w:rPr>
        <w:t>局</w:t>
      </w:r>
      <w:r>
        <w:rPr>
          <w:rFonts w:hint="eastAsia" w:ascii="仿宋_GB2312" w:hAnsi="黑体" w:eastAsia="仿宋_GB2312"/>
          <w:sz w:val="32"/>
          <w:szCs w:val="32"/>
        </w:rPr>
        <w:t>按照新区发展和财政局有关预算编制管理规定的要求，紧密结合部门职能，开展2020年部门预算编制工作，按照收支平衡、保障重点的原则，合理编制部门预算。</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2020年，我局预算收入36,802.08万元，均为财政预算拨款，比2019年减少5,885.12万元，减少13.79%。预算支出36,802.08万元，比2019年减少5,885.12万元，减少13.79%，其中：人员支出9,018.01万元，公用支出2,990.03万元、对个人和家庭的补助支出194.96万元、项目支出24,599.08万元。预算收支减少主要原因是：政府投资项目减少；局内实有人数减少。</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hAnsi="黑体" w:eastAsia="仿宋_GB2312"/>
          <w:sz w:val="32"/>
          <w:szCs w:val="32"/>
        </w:rPr>
      </w:pPr>
      <w:r>
        <w:rPr>
          <w:rFonts w:hint="eastAsia" w:ascii="仿宋_GB2312" w:hAnsi="黑体" w:eastAsia="仿宋_GB2312"/>
          <w:sz w:val="32"/>
          <w:szCs w:val="32"/>
          <w:lang w:val="en-US" w:eastAsia="zh-CN"/>
        </w:rPr>
        <w:t>以上</w:t>
      </w:r>
      <w:r>
        <w:rPr>
          <w:rFonts w:hint="eastAsia" w:ascii="仿宋_GB2312" w:hAnsi="黑体" w:eastAsia="仿宋_GB2312"/>
          <w:sz w:val="32"/>
          <w:szCs w:val="32"/>
        </w:rPr>
        <w:t>预算主要是根据年度工作目标、重点任务</w:t>
      </w:r>
      <w:r>
        <w:rPr>
          <w:rFonts w:hint="eastAsia" w:ascii="仿宋_GB2312" w:hAnsi="黑体" w:eastAsia="仿宋_GB2312"/>
          <w:sz w:val="32"/>
          <w:szCs w:val="32"/>
          <w:lang w:val="en-US" w:eastAsia="zh-CN"/>
        </w:rPr>
        <w:t>编制</w:t>
      </w:r>
      <w:r>
        <w:rPr>
          <w:rFonts w:hint="eastAsia" w:ascii="仿宋_GB2312" w:hAnsi="黑体" w:eastAsia="仿宋_GB2312"/>
          <w:sz w:val="32"/>
          <w:szCs w:val="32"/>
        </w:rPr>
        <w:t>，</w:t>
      </w:r>
      <w:r>
        <w:rPr>
          <w:rFonts w:hint="eastAsia" w:ascii="仿宋_GB2312" w:hAnsi="黑体" w:eastAsia="仿宋_GB2312"/>
          <w:sz w:val="32"/>
          <w:szCs w:val="32"/>
          <w:lang w:val="en-US" w:eastAsia="zh-CN"/>
        </w:rPr>
        <w:t>并</w:t>
      </w:r>
      <w:r>
        <w:rPr>
          <w:rFonts w:hint="eastAsia" w:ascii="仿宋_GB2312" w:hAnsi="黑体" w:eastAsia="仿宋_GB2312"/>
          <w:sz w:val="32"/>
          <w:szCs w:val="32"/>
        </w:rPr>
        <w:t>参考上年度预算执行情况及本年度收支预测情况进行开展。各业务</w:t>
      </w:r>
      <w:r>
        <w:rPr>
          <w:rFonts w:hint="eastAsia" w:ascii="仿宋_GB2312" w:hAnsi="黑体" w:eastAsia="仿宋_GB2312"/>
          <w:sz w:val="32"/>
          <w:szCs w:val="32"/>
          <w:lang w:val="en-US" w:eastAsia="zh-CN"/>
        </w:rPr>
        <w:t>科室</w:t>
      </w:r>
      <w:r>
        <w:rPr>
          <w:rFonts w:hint="eastAsia" w:ascii="仿宋_GB2312" w:hAnsi="黑体" w:eastAsia="仿宋_GB2312"/>
          <w:sz w:val="32"/>
          <w:szCs w:val="32"/>
        </w:rPr>
        <w:t>编制预算项目的具体内容并提供预算编制依据，</w:t>
      </w:r>
      <w:r>
        <w:rPr>
          <w:rFonts w:hint="eastAsia" w:ascii="仿宋_GB2312" w:hAnsi="黑体" w:eastAsia="仿宋_GB2312"/>
          <w:sz w:val="32"/>
          <w:szCs w:val="32"/>
          <w:lang w:val="en-US" w:eastAsia="zh-CN"/>
        </w:rPr>
        <w:t>经科室领导审批同意，提交综合科财务部门（担任</w:t>
      </w:r>
      <w:r>
        <w:rPr>
          <w:rFonts w:hint="eastAsia" w:ascii="仿宋_GB2312" w:hAnsi="黑体" w:eastAsia="仿宋_GB2312"/>
          <w:sz w:val="32"/>
          <w:szCs w:val="32"/>
        </w:rPr>
        <w:t>预算绩效归口管理</w:t>
      </w:r>
      <w:r>
        <w:rPr>
          <w:rFonts w:hint="eastAsia" w:ascii="仿宋_GB2312" w:hAnsi="黑体" w:eastAsia="仿宋_GB2312"/>
          <w:sz w:val="32"/>
          <w:szCs w:val="32"/>
          <w:lang w:val="en-US" w:eastAsia="zh-CN"/>
        </w:rPr>
        <w:t>责任）进行</w:t>
      </w:r>
      <w:r>
        <w:rPr>
          <w:rFonts w:hint="eastAsia" w:ascii="仿宋_GB2312" w:hAnsi="黑体" w:eastAsia="仿宋_GB2312"/>
          <w:sz w:val="32"/>
          <w:szCs w:val="32"/>
        </w:rPr>
        <w:t>汇总审核，综合平衡预算收支，提出预算支出的重点与安排建议，形成年度建议预算数</w:t>
      </w:r>
      <w:r>
        <w:rPr>
          <w:rFonts w:hint="eastAsia" w:ascii="仿宋_GB2312" w:hAnsi="黑体" w:eastAsia="仿宋_GB2312"/>
          <w:sz w:val="32"/>
          <w:szCs w:val="32"/>
          <w:lang w:eastAsia="zh-CN"/>
        </w:rPr>
        <w:t>，</w:t>
      </w:r>
      <w:r>
        <w:rPr>
          <w:rFonts w:hint="eastAsia" w:ascii="仿宋_GB2312" w:hAnsi="黑体" w:eastAsia="仿宋_GB2312"/>
          <w:sz w:val="32"/>
          <w:szCs w:val="32"/>
        </w:rPr>
        <w:t>由</w:t>
      </w:r>
      <w:r>
        <w:rPr>
          <w:rFonts w:hint="eastAsia" w:ascii="仿宋_GB2312" w:hAnsi="黑体" w:eastAsia="仿宋_GB2312"/>
          <w:sz w:val="32"/>
          <w:szCs w:val="32"/>
          <w:lang w:val="en-US" w:eastAsia="zh-CN"/>
        </w:rPr>
        <w:t>局</w:t>
      </w:r>
      <w:r>
        <w:rPr>
          <w:rFonts w:hint="eastAsia" w:ascii="仿宋_GB2312" w:hAnsi="黑体" w:eastAsia="仿宋_GB2312"/>
          <w:sz w:val="32"/>
          <w:szCs w:val="32"/>
        </w:rPr>
        <w:t>领导会议审议通过后上报</w:t>
      </w:r>
      <w:r>
        <w:rPr>
          <w:rFonts w:hint="eastAsia" w:ascii="仿宋_GB2312" w:hAnsi="黑体" w:eastAsia="仿宋_GB2312"/>
          <w:sz w:val="32"/>
          <w:szCs w:val="32"/>
          <w:lang w:val="en-US" w:eastAsia="zh-CN"/>
        </w:rPr>
        <w:t>新</w:t>
      </w:r>
      <w:r>
        <w:rPr>
          <w:rFonts w:hint="eastAsia" w:ascii="仿宋_GB2312" w:hAnsi="黑体" w:eastAsia="仿宋_GB2312"/>
          <w:sz w:val="32"/>
          <w:szCs w:val="32"/>
        </w:rPr>
        <w:t>区发展和财政局。</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hAnsi="黑体" w:eastAsia="仿宋_GB2312"/>
          <w:sz w:val="32"/>
          <w:szCs w:val="32"/>
        </w:rPr>
      </w:pPr>
      <w:r>
        <w:rPr>
          <w:rFonts w:hint="eastAsia" w:ascii="仿宋_GB2312" w:hAnsi="黑体" w:eastAsia="仿宋_GB2312"/>
          <w:sz w:val="32"/>
          <w:szCs w:val="32"/>
          <w:lang w:val="en-US" w:eastAsia="zh-CN"/>
        </w:rPr>
        <w:t>总的来说，</w:t>
      </w:r>
      <w:r>
        <w:rPr>
          <w:rFonts w:hint="eastAsia" w:ascii="仿宋_GB2312" w:hAnsi="黑体" w:eastAsia="仿宋_GB2312"/>
          <w:sz w:val="32"/>
          <w:szCs w:val="32"/>
        </w:rPr>
        <w:t>2020年</w:t>
      </w:r>
      <w:r>
        <w:rPr>
          <w:rFonts w:hint="eastAsia" w:ascii="仿宋_GB2312" w:hAnsi="黑体" w:eastAsia="仿宋_GB2312"/>
          <w:sz w:val="32"/>
          <w:szCs w:val="32"/>
          <w:lang w:eastAsia="zh-CN"/>
        </w:rPr>
        <w:t>我局</w:t>
      </w:r>
      <w:r>
        <w:rPr>
          <w:rFonts w:hint="eastAsia" w:ascii="仿宋_GB2312" w:hAnsi="黑体" w:eastAsia="仿宋_GB2312"/>
          <w:sz w:val="32"/>
          <w:szCs w:val="32"/>
        </w:rPr>
        <w:t>预算编制和分配符合本部门职责、符合区委方针政策和工作要求，部门预算资金能根据年度工作重点，在不同项目、不同用途之间分配合理，部门预算分配不固化，能根据实际情况在同一项目内合理调整。</w:t>
      </w:r>
    </w:p>
    <w:p>
      <w:pPr>
        <w:keepNext w:val="0"/>
        <w:keepLines w:val="0"/>
        <w:pageBreakBefore w:val="0"/>
        <w:widowControl w:val="0"/>
        <w:numPr>
          <w:ilvl w:val="0"/>
          <w:numId w:val="0"/>
        </w:numPr>
        <w:kinsoku/>
        <w:wordWrap/>
        <w:overflowPunct/>
        <w:topLinePunct w:val="0"/>
        <w:bidi w:val="0"/>
        <w:snapToGrid/>
        <w:spacing w:line="240" w:lineRule="auto"/>
        <w:ind w:firstLine="643" w:firstLineChars="200"/>
        <w:textAlignment w:val="auto"/>
        <w:rPr>
          <w:rFonts w:hint="eastAsia" w:ascii="仿宋_GB2312" w:hAnsi="黑体" w:eastAsia="仿宋_GB2312"/>
          <w:b/>
          <w:sz w:val="32"/>
          <w:szCs w:val="32"/>
        </w:rPr>
      </w:pPr>
      <w:r>
        <w:rPr>
          <w:rFonts w:hint="eastAsia" w:ascii="仿宋_GB2312" w:hAnsi="黑体" w:eastAsia="仿宋_GB2312"/>
          <w:b/>
          <w:sz w:val="32"/>
          <w:szCs w:val="32"/>
          <w:lang w:val="en-US" w:eastAsia="zh-CN"/>
        </w:rPr>
        <w:t>2.</w:t>
      </w:r>
      <w:r>
        <w:rPr>
          <w:rFonts w:hint="eastAsia" w:ascii="仿宋_GB2312" w:hAnsi="黑体" w:eastAsia="仿宋_GB2312"/>
          <w:b/>
          <w:sz w:val="32"/>
          <w:szCs w:val="32"/>
        </w:rPr>
        <w:t>绩效目标设置完整明确。</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eastAsia" w:ascii="仿宋_GB2312" w:hAnsi="黑体" w:eastAsia="仿宋_GB2312" w:cs="Times New Roman"/>
          <w:sz w:val="32"/>
          <w:szCs w:val="32"/>
        </w:rPr>
      </w:pPr>
      <w:r>
        <w:rPr>
          <w:rFonts w:hint="eastAsia" w:ascii="仿宋_GB2312" w:hAnsi="黑体" w:eastAsia="仿宋_GB2312"/>
          <w:sz w:val="32"/>
          <w:szCs w:val="32"/>
        </w:rPr>
        <w:t>根据</w:t>
      </w:r>
      <w:r>
        <w:rPr>
          <w:rFonts w:hint="eastAsia" w:ascii="仿宋_GB2312" w:hAnsi="黑体" w:eastAsia="仿宋_GB2312"/>
          <w:sz w:val="32"/>
          <w:szCs w:val="32"/>
          <w:lang w:val="en-US" w:eastAsia="zh-CN"/>
        </w:rPr>
        <w:t>新</w:t>
      </w:r>
      <w:r>
        <w:rPr>
          <w:rFonts w:hint="eastAsia" w:ascii="仿宋_GB2312" w:hAnsi="黑体" w:eastAsia="仿宋_GB2312"/>
          <w:sz w:val="32"/>
          <w:szCs w:val="32"/>
        </w:rPr>
        <w:t>区</w:t>
      </w:r>
      <w:r>
        <w:rPr>
          <w:rFonts w:hint="eastAsia" w:ascii="仿宋_GB2312" w:hAnsi="黑体" w:eastAsia="仿宋_GB2312"/>
          <w:sz w:val="32"/>
          <w:szCs w:val="32"/>
          <w:lang w:val="en-US" w:eastAsia="zh-CN"/>
        </w:rPr>
        <w:t>发展和财政局</w:t>
      </w:r>
      <w:r>
        <w:rPr>
          <w:rFonts w:hint="eastAsia" w:ascii="仿宋_GB2312" w:hAnsi="黑体" w:eastAsia="仿宋_GB2312"/>
          <w:sz w:val="32"/>
          <w:szCs w:val="32"/>
        </w:rPr>
        <w:t>2020年预算绩效管理工作安排，</w:t>
      </w:r>
      <w:r>
        <w:rPr>
          <w:rFonts w:hint="eastAsia" w:ascii="仿宋_GB2312" w:hAnsi="黑体" w:eastAsia="仿宋_GB2312"/>
          <w:sz w:val="32"/>
          <w:szCs w:val="32"/>
          <w:lang w:eastAsia="zh-CN"/>
        </w:rPr>
        <w:t>我局</w:t>
      </w:r>
      <w:r>
        <w:rPr>
          <w:rFonts w:hint="eastAsia" w:ascii="仿宋_GB2312" w:hAnsi="黑体" w:eastAsia="仿宋_GB2312"/>
          <w:sz w:val="32"/>
          <w:szCs w:val="32"/>
        </w:rPr>
        <w:t>将所有项目支出纳入部门预算绩效管理</w:t>
      </w:r>
      <w:r>
        <w:rPr>
          <w:rFonts w:hint="eastAsia" w:ascii="仿宋_GB2312" w:hAnsi="黑体" w:eastAsia="仿宋_GB2312"/>
          <w:sz w:val="32"/>
          <w:szCs w:val="32"/>
          <w:lang w:eastAsia="zh-CN"/>
        </w:rPr>
        <w:t>，</w:t>
      </w:r>
      <w:r>
        <w:rPr>
          <w:rFonts w:hint="eastAsia" w:ascii="仿宋_GB2312" w:hAnsi="黑体" w:eastAsia="仿宋_GB2312" w:cs="Times New Roman"/>
          <w:sz w:val="32"/>
          <w:szCs w:val="32"/>
        </w:rPr>
        <w:t>实现部门预算绩效目标管理全覆盖</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lang w:val="en-US" w:eastAsia="zh-CN"/>
        </w:rPr>
        <w:t>设置</w:t>
      </w:r>
      <w:r>
        <w:rPr>
          <w:rFonts w:hint="eastAsia" w:ascii="仿宋_GB2312" w:hAnsi="黑体" w:eastAsia="仿宋_GB2312" w:cs="Times New Roman"/>
          <w:sz w:val="32"/>
          <w:szCs w:val="32"/>
        </w:rPr>
        <w:t>并编</w:t>
      </w:r>
      <w:r>
        <w:rPr>
          <w:rFonts w:hint="eastAsia" w:ascii="仿宋_GB2312" w:hAnsi="黑体" w:eastAsia="仿宋_GB2312" w:cs="Times New Roman"/>
          <w:sz w:val="32"/>
          <w:szCs w:val="32"/>
          <w:lang w:val="en-US" w:eastAsia="zh-CN"/>
        </w:rPr>
        <w:t>报</w:t>
      </w:r>
      <w:r>
        <w:rPr>
          <w:rFonts w:hint="eastAsia" w:ascii="仿宋_GB2312" w:hAnsi="黑体" w:eastAsia="仿宋_GB2312" w:cs="Times New Roman"/>
          <w:sz w:val="32"/>
          <w:szCs w:val="32"/>
        </w:rPr>
        <w:t>预算绩效目标，</w:t>
      </w:r>
      <w:r>
        <w:rPr>
          <w:rFonts w:hint="eastAsia" w:ascii="仿宋_GB2312" w:hAnsi="黑体" w:eastAsia="仿宋_GB2312" w:cs="Times New Roman"/>
          <w:sz w:val="32"/>
          <w:szCs w:val="32"/>
          <w:lang w:val="en-US" w:eastAsia="zh-CN"/>
        </w:rPr>
        <w:t>与部门预</w:t>
      </w:r>
      <w:r>
        <w:rPr>
          <w:rFonts w:hint="eastAsia" w:ascii="仿宋_GB2312" w:hAnsi="黑体" w:eastAsia="仿宋_GB2312"/>
          <w:sz w:val="32"/>
          <w:szCs w:val="32"/>
          <w:lang w:val="en-US" w:eastAsia="zh-CN"/>
        </w:rPr>
        <w:t>算</w:t>
      </w:r>
      <w:r>
        <w:rPr>
          <w:rFonts w:hint="eastAsia" w:ascii="仿宋_GB2312" w:hAnsi="黑体" w:eastAsia="仿宋_GB2312" w:cs="Times New Roman"/>
          <w:sz w:val="32"/>
          <w:szCs w:val="32"/>
        </w:rPr>
        <w:t>同步申报</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lang w:val="en-US" w:eastAsia="zh-CN"/>
        </w:rPr>
        <w:t>部门整体支出绩效目标申报表</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lang w:val="en-US" w:eastAsia="zh-CN"/>
        </w:rPr>
        <w:t>和</w:t>
      </w:r>
      <w:r>
        <w:rPr>
          <w:rFonts w:hint="eastAsia" w:ascii="仿宋_GB2312" w:hAnsi="黑体" w:eastAsia="仿宋_GB2312"/>
          <w:sz w:val="32"/>
          <w:szCs w:val="32"/>
        </w:rPr>
        <w:t>《项目支出绩效目标申报表》，分别从项目设立依据、项目申报必要性、项目申报可行性三个方面阐述项目立项情况，并明确了项目的年度目标和中长期目标</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且重点从</w:t>
      </w:r>
      <w:r>
        <w:rPr>
          <w:rFonts w:hint="eastAsia" w:ascii="仿宋_GB2312" w:hAnsi="黑体" w:eastAsia="仿宋_GB2312" w:cs="Times New Roman"/>
          <w:sz w:val="32"/>
          <w:szCs w:val="32"/>
        </w:rPr>
        <w:t>项目设置必要性、实施计划可行性、绩效指标明确性等方面提高绩效目标质量。</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同时，</w:t>
      </w:r>
      <w:r>
        <w:rPr>
          <w:rFonts w:hint="eastAsia" w:ascii="仿宋_GB2312" w:hAnsi="黑体" w:eastAsia="仿宋_GB2312"/>
          <w:sz w:val="32"/>
          <w:szCs w:val="32"/>
          <w:lang w:val="en-US" w:eastAsia="zh-CN"/>
        </w:rPr>
        <w:t>为实现绩效自评的完整性</w:t>
      </w:r>
      <w:r>
        <w:rPr>
          <w:rFonts w:hint="eastAsia" w:ascii="仿宋_GB2312" w:hAnsi="黑体" w:eastAsia="仿宋_GB2312"/>
          <w:sz w:val="32"/>
          <w:szCs w:val="32"/>
        </w:rPr>
        <w:t>，</w:t>
      </w:r>
      <w:r>
        <w:rPr>
          <w:rFonts w:hint="eastAsia" w:ascii="仿宋_GB2312" w:hAnsi="黑体" w:eastAsia="仿宋_GB2312"/>
          <w:sz w:val="32"/>
          <w:szCs w:val="32"/>
          <w:lang w:eastAsia="zh-CN"/>
        </w:rPr>
        <w:t>我局</w:t>
      </w:r>
      <w:r>
        <w:rPr>
          <w:rFonts w:hint="eastAsia" w:ascii="仿宋_GB2312" w:hAnsi="黑体" w:eastAsia="仿宋_GB2312"/>
          <w:sz w:val="32"/>
          <w:szCs w:val="32"/>
        </w:rPr>
        <w:t>在开展2020年绩效自评工作前，将所有部门预算项目补充完善绩效目标设置，分别从产出目标和效益目标两方面设置了三级指标，根据工作计划、行业标准、历史标准等定性定量明确了指标目标值，实现绩效目标全覆盖，同时根据部门职责，合理设置部门整体个性化绩效指标。绩效目标设置完整、明确，符合</w:t>
      </w:r>
      <w:r>
        <w:rPr>
          <w:rFonts w:hint="eastAsia" w:ascii="仿宋_GB2312" w:hAnsi="黑体" w:eastAsia="仿宋_GB2312"/>
          <w:sz w:val="32"/>
          <w:szCs w:val="32"/>
          <w:lang w:eastAsia="zh-CN"/>
        </w:rPr>
        <w:t>我局</w:t>
      </w:r>
      <w:r>
        <w:rPr>
          <w:rFonts w:hint="eastAsia" w:ascii="仿宋_GB2312" w:hAnsi="黑体" w:eastAsia="仿宋_GB2312"/>
          <w:sz w:val="32"/>
          <w:szCs w:val="32"/>
        </w:rPr>
        <w:t>履职要求，能够体现</w:t>
      </w:r>
      <w:r>
        <w:rPr>
          <w:rFonts w:hint="eastAsia" w:ascii="仿宋_GB2312" w:hAnsi="黑体" w:eastAsia="仿宋_GB2312"/>
          <w:sz w:val="32"/>
          <w:szCs w:val="32"/>
          <w:lang w:eastAsia="zh-CN"/>
        </w:rPr>
        <w:t>我局</w:t>
      </w:r>
      <w:r>
        <w:rPr>
          <w:rFonts w:hint="eastAsia" w:ascii="仿宋_GB2312" w:hAnsi="黑体" w:eastAsia="仿宋_GB2312"/>
          <w:sz w:val="32"/>
          <w:szCs w:val="32"/>
        </w:rPr>
        <w:t>履职效果，绩效目标的目标值测算符合客观实际情况。</w:t>
      </w:r>
    </w:p>
    <w:p>
      <w:pPr>
        <w:keepNext w:val="0"/>
        <w:keepLines w:val="0"/>
        <w:pageBreakBefore w:val="0"/>
        <w:widowControl w:val="0"/>
        <w:kinsoku/>
        <w:wordWrap/>
        <w:overflowPunct/>
        <w:topLinePunct w:val="0"/>
        <w:bidi w:val="0"/>
        <w:snapToGrid/>
        <w:spacing w:line="240" w:lineRule="auto"/>
        <w:ind w:firstLine="420"/>
        <w:textAlignment w:val="auto"/>
        <w:rPr>
          <w:rFonts w:ascii="楷体" w:hAnsi="楷体" w:eastAsia="楷体"/>
          <w:b/>
          <w:sz w:val="32"/>
          <w:szCs w:val="32"/>
        </w:rPr>
      </w:pPr>
      <w:r>
        <w:rPr>
          <w:rFonts w:hint="eastAsia" w:ascii="楷体" w:hAnsi="楷体" w:eastAsia="楷体"/>
          <w:b/>
          <w:sz w:val="32"/>
          <w:szCs w:val="32"/>
        </w:rPr>
        <w:t>（四）2020年部门预算执行情况。</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资金管理</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）资金预算、支出及结余结转情况</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hint="eastAsia" w:ascii="仿宋_GB2312" w:eastAsia="仿宋_GB2312"/>
          <w:color w:val="000000"/>
          <w:kern w:val="0"/>
          <w:sz w:val="32"/>
          <w:szCs w:val="32"/>
        </w:rPr>
        <w:t>年</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年初预算收入总额为</w:t>
      </w:r>
      <w:r>
        <w:rPr>
          <w:rFonts w:hint="eastAsia" w:ascii="仿宋_GB2312" w:eastAsia="仿宋_GB2312"/>
          <w:color w:val="000000"/>
          <w:kern w:val="0"/>
          <w:sz w:val="32"/>
          <w:szCs w:val="32"/>
          <w:lang w:val="en-US" w:eastAsia="zh-CN"/>
        </w:rPr>
        <w:t>36,802.08</w:t>
      </w:r>
      <w:r>
        <w:rPr>
          <w:rFonts w:hint="eastAsia" w:ascii="仿宋_GB2312" w:eastAsia="仿宋_GB2312"/>
          <w:color w:val="000000"/>
          <w:kern w:val="0"/>
          <w:sz w:val="32"/>
          <w:szCs w:val="32"/>
        </w:rPr>
        <w:t>万元，调整预算</w:t>
      </w:r>
      <w:r>
        <w:rPr>
          <w:rFonts w:hint="eastAsia" w:ascii="仿宋_GB2312" w:eastAsia="仿宋_GB2312"/>
          <w:color w:val="000000"/>
          <w:kern w:val="0"/>
          <w:sz w:val="32"/>
          <w:szCs w:val="32"/>
          <w:lang w:val="en-US" w:eastAsia="zh-CN"/>
        </w:rPr>
        <w:t>数</w:t>
      </w:r>
      <w:r>
        <w:rPr>
          <w:rFonts w:hint="eastAsia" w:ascii="仿宋_GB2312" w:eastAsia="仿宋_GB2312"/>
          <w:color w:val="000000"/>
          <w:kern w:val="0"/>
          <w:sz w:val="32"/>
          <w:szCs w:val="32"/>
        </w:rPr>
        <w:t>为</w:t>
      </w:r>
      <w:r>
        <w:rPr>
          <w:rFonts w:hint="eastAsia" w:ascii="仿宋_GB2312" w:eastAsia="仿宋_GB2312"/>
          <w:color w:val="000000"/>
          <w:kern w:val="0"/>
          <w:sz w:val="32"/>
          <w:szCs w:val="32"/>
          <w:lang w:val="en-US" w:eastAsia="zh-CN"/>
        </w:rPr>
        <w:t>37,897.36</w:t>
      </w:r>
      <w:r>
        <w:rPr>
          <w:rFonts w:hint="eastAsia" w:ascii="仿宋_GB2312" w:eastAsia="仿宋_GB2312"/>
          <w:color w:val="000000"/>
          <w:kern w:val="0"/>
          <w:sz w:val="32"/>
          <w:szCs w:val="32"/>
        </w:rPr>
        <w:t>万元，</w:t>
      </w:r>
      <w:r>
        <w:rPr>
          <w:rFonts w:hint="eastAsia" w:ascii="仿宋_GB2312" w:eastAsia="仿宋_GB2312"/>
          <w:color w:val="000000"/>
          <w:kern w:val="0"/>
          <w:sz w:val="32"/>
          <w:szCs w:val="32"/>
          <w:lang w:val="en-US" w:eastAsia="zh-CN"/>
        </w:rPr>
        <w:t>其中：</w:t>
      </w:r>
      <w:r>
        <w:rPr>
          <w:rFonts w:hint="eastAsia" w:ascii="仿宋_GB2312" w:hAnsi="仿宋" w:eastAsia="仿宋_GB2312"/>
          <w:color w:val="000000"/>
          <w:sz w:val="32"/>
          <w:szCs w:val="32"/>
        </w:rPr>
        <w:t>一般公共预算财政拨款收入</w:t>
      </w:r>
      <w:r>
        <w:rPr>
          <w:rFonts w:hint="eastAsia" w:ascii="仿宋_GB2312" w:hAnsi="仿宋" w:eastAsia="仿宋_GB2312"/>
          <w:color w:val="000000"/>
          <w:sz w:val="32"/>
          <w:szCs w:val="32"/>
          <w:lang w:val="en-US" w:eastAsia="zh-CN"/>
        </w:rPr>
        <w:t>37,485.06万元、政府性基金预算收入411.30万元、其他收入1万元</w:t>
      </w:r>
      <w:r>
        <w:rPr>
          <w:rFonts w:hint="eastAsia" w:ascii="仿宋_GB2312" w:hAnsi="仿宋" w:eastAsia="仿宋_GB2312"/>
          <w:color w:val="000000"/>
          <w:sz w:val="32"/>
          <w:szCs w:val="32"/>
        </w:rPr>
        <w:t>。</w:t>
      </w:r>
      <w:r>
        <w:rPr>
          <w:rFonts w:hint="eastAsia" w:ascii="仿宋_GB2312" w:eastAsia="仿宋_GB2312"/>
          <w:color w:val="000000"/>
          <w:kern w:val="0"/>
          <w:sz w:val="32"/>
          <w:szCs w:val="32"/>
        </w:rPr>
        <w:t>全年决算支出</w:t>
      </w:r>
      <w:r>
        <w:rPr>
          <w:rFonts w:hint="eastAsia" w:ascii="仿宋_GB2312" w:eastAsia="仿宋_GB2312"/>
          <w:color w:val="000000"/>
          <w:kern w:val="0"/>
          <w:sz w:val="32"/>
          <w:szCs w:val="32"/>
          <w:lang w:val="en-US" w:eastAsia="zh-CN"/>
        </w:rPr>
        <w:t>37,334.33</w:t>
      </w:r>
      <w:r>
        <w:rPr>
          <w:rFonts w:hint="eastAsia" w:ascii="仿宋_GB2312" w:eastAsia="仿宋_GB2312"/>
          <w:color w:val="000000"/>
          <w:kern w:val="0"/>
          <w:sz w:val="32"/>
          <w:szCs w:val="32"/>
        </w:rPr>
        <w:t>万元，其中基本支出</w:t>
      </w:r>
      <w:r>
        <w:rPr>
          <w:rFonts w:hint="eastAsia" w:ascii="仿宋_GB2312" w:eastAsia="仿宋_GB2312"/>
          <w:color w:val="000000"/>
          <w:kern w:val="0"/>
          <w:sz w:val="32"/>
          <w:szCs w:val="32"/>
          <w:lang w:val="en-US" w:eastAsia="zh-CN"/>
        </w:rPr>
        <w:t>12,534.18</w:t>
      </w:r>
      <w:r>
        <w:rPr>
          <w:rFonts w:hint="eastAsia" w:ascii="仿宋_GB2312" w:eastAsia="仿宋_GB2312"/>
          <w:color w:val="000000"/>
          <w:kern w:val="0"/>
          <w:sz w:val="32"/>
          <w:szCs w:val="32"/>
        </w:rPr>
        <w:t>万元，项目支出</w:t>
      </w:r>
      <w:r>
        <w:rPr>
          <w:rFonts w:hint="eastAsia" w:ascii="仿宋_GB2312" w:eastAsia="仿宋_GB2312"/>
          <w:color w:val="000000"/>
          <w:kern w:val="0"/>
          <w:sz w:val="32"/>
          <w:szCs w:val="32"/>
          <w:lang w:val="en-US" w:eastAsia="zh-CN"/>
        </w:rPr>
        <w:t>24,800.15</w:t>
      </w:r>
      <w:r>
        <w:rPr>
          <w:rFonts w:hint="eastAsia" w:ascii="仿宋_GB2312" w:eastAsia="仿宋_GB2312"/>
          <w:color w:val="000000"/>
          <w:kern w:val="0"/>
          <w:sz w:val="32"/>
          <w:szCs w:val="32"/>
        </w:rPr>
        <w:t>万元</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年末结转和结余</w:t>
      </w:r>
      <w:r>
        <w:rPr>
          <w:rFonts w:hint="eastAsia" w:ascii="仿宋_GB2312" w:eastAsia="仿宋_GB2312"/>
          <w:color w:val="000000"/>
          <w:kern w:val="0"/>
          <w:sz w:val="32"/>
          <w:szCs w:val="32"/>
          <w:lang w:val="en-US" w:eastAsia="zh-CN"/>
        </w:rPr>
        <w:t>255.76</w:t>
      </w:r>
      <w:r>
        <w:rPr>
          <w:rFonts w:hint="eastAsia" w:ascii="仿宋_GB2312" w:eastAsia="仿宋_GB2312"/>
          <w:color w:val="000000"/>
          <w:kern w:val="0"/>
          <w:sz w:val="32"/>
          <w:szCs w:val="32"/>
        </w:rPr>
        <w:t>万元。</w:t>
      </w:r>
      <w:bookmarkEnd w:id="0"/>
      <w:r>
        <w:rPr>
          <w:rFonts w:hint="eastAsia" w:ascii="仿宋_GB2312" w:eastAsia="仿宋_GB2312"/>
          <w:color w:val="000000"/>
          <w:kern w:val="0"/>
          <w:sz w:val="32"/>
          <w:szCs w:val="32"/>
        </w:rPr>
        <w:t>全年预算执行率为9</w:t>
      </w:r>
      <w:r>
        <w:rPr>
          <w:rFonts w:hint="eastAsia" w:ascii="仿宋_GB2312" w:eastAsia="仿宋_GB2312"/>
          <w:color w:val="000000"/>
          <w:kern w:val="0"/>
          <w:sz w:val="32"/>
          <w:szCs w:val="32"/>
          <w:lang w:val="en-US" w:eastAsia="zh-CN"/>
        </w:rPr>
        <w:t>8.51</w:t>
      </w:r>
      <w:r>
        <w:rPr>
          <w:rFonts w:hint="eastAsia" w:ascii="仿宋_GB2312" w:eastAsia="仿宋_GB2312"/>
          <w:color w:val="000000"/>
          <w:kern w:val="0"/>
          <w:sz w:val="32"/>
          <w:szCs w:val="32"/>
        </w:rPr>
        <w:t>%。</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highlight w:val="none"/>
        </w:rPr>
      </w:pPr>
      <w:r>
        <w:rPr>
          <w:rFonts w:hint="eastAsia" w:ascii="仿宋_GB2312" w:eastAsia="仿宋_GB2312"/>
          <w:b/>
          <w:bCs/>
          <w:color w:val="000000"/>
          <w:kern w:val="0"/>
          <w:sz w:val="32"/>
          <w:szCs w:val="32"/>
          <w:highlight w:val="none"/>
        </w:rPr>
        <w:t>（</w:t>
      </w:r>
      <w:r>
        <w:rPr>
          <w:rFonts w:ascii="仿宋_GB2312" w:eastAsia="仿宋_GB2312"/>
          <w:b/>
          <w:bCs/>
          <w:color w:val="000000"/>
          <w:kern w:val="0"/>
          <w:sz w:val="32"/>
          <w:szCs w:val="32"/>
          <w:highlight w:val="none"/>
        </w:rPr>
        <w:t>2</w:t>
      </w:r>
      <w:r>
        <w:rPr>
          <w:rFonts w:hint="eastAsia" w:ascii="仿宋_GB2312" w:eastAsia="仿宋_GB2312"/>
          <w:b/>
          <w:bCs/>
          <w:color w:val="000000"/>
          <w:kern w:val="0"/>
          <w:sz w:val="32"/>
          <w:szCs w:val="32"/>
          <w:highlight w:val="none"/>
        </w:rPr>
        <w:t>）政府采购执行率</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highlight w:val="none"/>
        </w:rPr>
      </w:pPr>
      <w:r>
        <w:rPr>
          <w:rFonts w:hint="eastAsia" w:ascii="仿宋_GB2312" w:eastAsia="仿宋_GB2312"/>
          <w:color w:val="000000"/>
          <w:kern w:val="0"/>
          <w:sz w:val="32"/>
          <w:szCs w:val="32"/>
          <w:highlight w:val="none"/>
          <w:lang w:eastAsia="zh-CN"/>
        </w:rPr>
        <w:t>我局</w:t>
      </w:r>
      <w:r>
        <w:rPr>
          <w:rFonts w:hint="eastAsia" w:ascii="仿宋_GB2312" w:eastAsia="仿宋_GB2312"/>
          <w:color w:val="000000"/>
          <w:kern w:val="0"/>
          <w:sz w:val="32"/>
          <w:szCs w:val="32"/>
          <w:highlight w:val="none"/>
        </w:rPr>
        <w:t>采购管理严格按照相关采购法规等外部规章制度及单位内部管理要求实施政府采购，提高政府采购效率，促进廉政建设，政府采购政策功能的执行和落实情况良好。</w:t>
      </w:r>
      <w:r>
        <w:rPr>
          <w:rFonts w:ascii="仿宋_GB2312" w:eastAsia="仿宋_GB2312"/>
          <w:color w:val="000000"/>
          <w:kern w:val="0"/>
          <w:sz w:val="32"/>
          <w:szCs w:val="32"/>
          <w:highlight w:val="none"/>
        </w:rPr>
        <w:t>2020</w:t>
      </w:r>
      <w:r>
        <w:rPr>
          <w:rFonts w:hint="eastAsia" w:ascii="仿宋_GB2312" w:eastAsia="仿宋_GB2312"/>
          <w:color w:val="000000"/>
          <w:kern w:val="0"/>
          <w:sz w:val="32"/>
          <w:szCs w:val="32"/>
          <w:highlight w:val="none"/>
        </w:rPr>
        <w:t>年政府采购执行情况如下：</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highlight w:val="none"/>
        </w:rPr>
      </w:pPr>
      <w:r>
        <w:rPr>
          <w:rFonts w:ascii="仿宋_GB2312" w:eastAsia="仿宋_GB2312"/>
          <w:color w:val="000000"/>
          <w:kern w:val="0"/>
          <w:sz w:val="32"/>
          <w:szCs w:val="32"/>
          <w:highlight w:val="none"/>
        </w:rPr>
        <w:t>2020</w:t>
      </w:r>
      <w:r>
        <w:rPr>
          <w:rFonts w:hint="eastAsia" w:ascii="仿宋_GB2312" w:eastAsia="仿宋_GB2312"/>
          <w:color w:val="000000"/>
          <w:kern w:val="0"/>
          <w:sz w:val="32"/>
          <w:szCs w:val="32"/>
          <w:highlight w:val="none"/>
        </w:rPr>
        <w:t>年度</w:t>
      </w:r>
      <w:r>
        <w:rPr>
          <w:rFonts w:hint="eastAsia" w:ascii="仿宋_GB2312" w:eastAsia="仿宋_GB2312"/>
          <w:color w:val="000000"/>
          <w:kern w:val="0"/>
          <w:sz w:val="32"/>
          <w:szCs w:val="32"/>
          <w:highlight w:val="none"/>
          <w:lang w:eastAsia="zh-CN"/>
        </w:rPr>
        <w:t>我局</w:t>
      </w:r>
      <w:r>
        <w:rPr>
          <w:rFonts w:hint="eastAsia" w:ascii="仿宋_GB2312" w:eastAsia="仿宋_GB2312"/>
          <w:color w:val="000000"/>
          <w:kern w:val="0"/>
          <w:sz w:val="32"/>
          <w:szCs w:val="32"/>
          <w:highlight w:val="none"/>
        </w:rPr>
        <w:t>采购预算金额</w:t>
      </w:r>
      <w:r>
        <w:rPr>
          <w:rFonts w:hint="eastAsia" w:ascii="仿宋_GB2312" w:eastAsia="仿宋_GB2312"/>
          <w:color w:val="000000"/>
          <w:kern w:val="0"/>
          <w:sz w:val="32"/>
          <w:szCs w:val="32"/>
          <w:highlight w:val="none"/>
          <w:lang w:val="en-US" w:eastAsia="zh-CN"/>
        </w:rPr>
        <w:t>623.08</w:t>
      </w:r>
      <w:r>
        <w:rPr>
          <w:rFonts w:hint="eastAsia" w:ascii="仿宋_GB2312" w:eastAsia="仿宋_GB2312"/>
          <w:color w:val="000000"/>
          <w:kern w:val="0"/>
          <w:sz w:val="32"/>
          <w:szCs w:val="32"/>
          <w:highlight w:val="none"/>
        </w:rPr>
        <w:t>万元，实际采购支出金额</w:t>
      </w:r>
      <w:r>
        <w:rPr>
          <w:rFonts w:hint="eastAsia" w:ascii="仿宋_GB2312" w:eastAsia="仿宋_GB2312"/>
          <w:color w:val="000000"/>
          <w:kern w:val="0"/>
          <w:sz w:val="32"/>
          <w:szCs w:val="32"/>
          <w:highlight w:val="none"/>
          <w:lang w:val="en-US" w:eastAsia="zh-CN"/>
        </w:rPr>
        <w:t>616.68</w:t>
      </w:r>
      <w:r>
        <w:rPr>
          <w:rFonts w:hint="eastAsia" w:ascii="仿宋_GB2312" w:eastAsia="仿宋_GB2312"/>
          <w:color w:val="000000"/>
          <w:kern w:val="0"/>
          <w:sz w:val="32"/>
          <w:szCs w:val="32"/>
          <w:highlight w:val="none"/>
        </w:rPr>
        <w:t>万元</w:t>
      </w:r>
      <w:r>
        <w:rPr>
          <w:rFonts w:hint="eastAsia" w:ascii="仿宋_GB2312" w:eastAsia="仿宋_GB2312"/>
          <w:color w:val="000000"/>
          <w:kern w:val="0"/>
          <w:sz w:val="32"/>
          <w:szCs w:val="32"/>
          <w:highlight w:val="none"/>
          <w:lang w:eastAsia="zh-CN"/>
        </w:rPr>
        <w:t>，</w:t>
      </w:r>
      <w:r>
        <w:rPr>
          <w:rFonts w:hint="eastAsia" w:ascii="仿宋_GB2312" w:eastAsia="仿宋_GB2312"/>
          <w:color w:val="000000"/>
          <w:kern w:val="0"/>
          <w:sz w:val="32"/>
          <w:szCs w:val="32"/>
          <w:highlight w:val="none"/>
          <w:lang w:val="en-US" w:eastAsia="zh-CN"/>
        </w:rPr>
        <w:t>政府采购执行率98.97%，</w:t>
      </w:r>
      <w:r>
        <w:rPr>
          <w:rFonts w:hint="eastAsia" w:ascii="仿宋_GB2312" w:eastAsia="仿宋_GB2312"/>
          <w:color w:val="000000"/>
          <w:kern w:val="0"/>
          <w:sz w:val="32"/>
          <w:szCs w:val="32"/>
          <w:highlight w:val="none"/>
        </w:rPr>
        <w:t>政府采购执行良好</w:t>
      </w:r>
      <w:r>
        <w:rPr>
          <w:rFonts w:hint="eastAsia" w:ascii="仿宋_GB2312" w:eastAsia="仿宋_GB2312"/>
          <w:color w:val="000000"/>
          <w:kern w:val="0"/>
          <w:sz w:val="32"/>
          <w:szCs w:val="32"/>
          <w:highlight w:val="none"/>
          <w:lang w:eastAsia="zh-CN"/>
        </w:rPr>
        <w:t>，</w:t>
      </w:r>
      <w:r>
        <w:rPr>
          <w:rFonts w:hint="eastAsia" w:ascii="仿宋_GB2312" w:eastAsia="仿宋_GB2312"/>
          <w:color w:val="000000"/>
          <w:kern w:val="0"/>
          <w:sz w:val="32"/>
          <w:szCs w:val="32"/>
          <w:highlight w:val="none"/>
          <w:lang w:val="en-US" w:eastAsia="zh-CN"/>
        </w:rPr>
        <w:t>采购成本有所节约</w:t>
      </w:r>
      <w:r>
        <w:rPr>
          <w:rFonts w:hint="eastAsia" w:ascii="仿宋_GB2312" w:eastAsia="仿宋_GB2312"/>
          <w:color w:val="000000"/>
          <w:kern w:val="0"/>
          <w:sz w:val="32"/>
          <w:szCs w:val="32"/>
          <w:highlight w:val="none"/>
        </w:rPr>
        <w:t>。</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3</w:t>
      </w:r>
      <w:r>
        <w:rPr>
          <w:rFonts w:hint="eastAsia" w:ascii="仿宋_GB2312" w:eastAsia="仿宋_GB2312"/>
          <w:b/>
          <w:bCs/>
          <w:color w:val="000000"/>
          <w:kern w:val="0"/>
          <w:sz w:val="32"/>
          <w:szCs w:val="32"/>
        </w:rPr>
        <w:t>）财务合规性</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kern w:val="0"/>
          <w:sz w:val="32"/>
          <w:szCs w:val="32"/>
        </w:rPr>
      </w:pPr>
      <w:r>
        <w:rPr>
          <w:rFonts w:hint="eastAsia" w:ascii="仿宋_GB2312" w:hAnsi="Times New Roman" w:eastAsia="仿宋_GB2312" w:cs="Times New Roman"/>
          <w:kern w:val="0"/>
          <w:sz w:val="32"/>
          <w:szCs w:val="32"/>
        </w:rPr>
        <w:t>我局为规范管好用好办公办案经费，</w:t>
      </w:r>
      <w:r>
        <w:rPr>
          <w:rFonts w:hint="eastAsia" w:ascii="仿宋_GB2312" w:hAnsi="Times New Roman" w:eastAsia="仿宋_GB2312" w:cs="Times New Roman"/>
          <w:kern w:val="0"/>
          <w:sz w:val="32"/>
          <w:szCs w:val="32"/>
          <w:lang w:val="en-US" w:eastAsia="zh-CN"/>
        </w:rPr>
        <w:t>综合科财务</w:t>
      </w:r>
      <w:r>
        <w:rPr>
          <w:rFonts w:hint="eastAsia" w:ascii="仿宋_GB2312" w:hAnsi="Times New Roman" w:eastAsia="仿宋_GB2312" w:cs="Times New Roman"/>
          <w:kern w:val="0"/>
          <w:sz w:val="32"/>
          <w:szCs w:val="32"/>
        </w:rPr>
        <w:t>室整合共享信息和资源，合理安排，统一规划，防止浪费，努力增强办案业务经费的效用。同</w:t>
      </w:r>
      <w:r>
        <w:rPr>
          <w:rFonts w:hint="eastAsia" w:ascii="仿宋_GB2312" w:hAnsi="Times New Roman" w:eastAsia="仿宋_GB2312" w:cs="Times New Roman"/>
          <w:kern w:val="0"/>
          <w:sz w:val="32"/>
          <w:szCs w:val="32"/>
          <w:lang w:val="en-US" w:eastAsia="zh-CN"/>
        </w:rPr>
        <w:t>时</w:t>
      </w:r>
      <w:r>
        <w:rPr>
          <w:rFonts w:hint="eastAsia" w:ascii="仿宋_GB2312" w:hAnsi="Times New Roman" w:eastAsia="仿宋_GB2312" w:cs="Times New Roman"/>
          <w:kern w:val="0"/>
          <w:sz w:val="32"/>
          <w:szCs w:val="32"/>
        </w:rPr>
        <w:t>严格按照《中央财政公安补助资金使用意见》的要求，强化资金管理使用，在资金使用过程中，做到了专款专用，未发现虚报、</w:t>
      </w:r>
      <w:r>
        <w:rPr>
          <w:rFonts w:hint="eastAsia" w:ascii="仿宋_GB2312" w:eastAsia="仿宋_GB2312"/>
          <w:kern w:val="0"/>
          <w:sz w:val="32"/>
          <w:szCs w:val="32"/>
        </w:rPr>
        <w:t>截留、挤占、</w:t>
      </w:r>
      <w:r>
        <w:rPr>
          <w:rFonts w:hint="eastAsia" w:ascii="仿宋_GB2312" w:hAnsi="Times New Roman" w:eastAsia="仿宋_GB2312" w:cs="Times New Roman"/>
          <w:kern w:val="0"/>
          <w:sz w:val="32"/>
          <w:szCs w:val="32"/>
        </w:rPr>
        <w:t>挪用等问题，</w:t>
      </w:r>
      <w:r>
        <w:rPr>
          <w:rFonts w:hint="eastAsia" w:ascii="仿宋_GB2312" w:eastAsia="仿宋_GB2312"/>
          <w:kern w:val="0"/>
          <w:sz w:val="32"/>
          <w:szCs w:val="32"/>
        </w:rPr>
        <w:t>无超范围、超标准支</w:t>
      </w:r>
      <w:r>
        <w:rPr>
          <w:rFonts w:hint="eastAsia" w:ascii="仿宋_GB2312" w:hAnsi="Times New Roman" w:eastAsia="仿宋_GB2312" w:cs="Times New Roman"/>
          <w:kern w:val="0"/>
          <w:sz w:val="32"/>
          <w:szCs w:val="32"/>
        </w:rPr>
        <w:t>出等现象。一是严格执行收支两条线，制定了财务处理程序规范流程，从原始凭证的合理合法性审核到资金的管理拨付、</w:t>
      </w:r>
      <w:r>
        <w:rPr>
          <w:rFonts w:hint="eastAsia" w:ascii="仿宋_GB2312" w:eastAsia="仿宋_GB2312" w:cs="Times New Roman"/>
          <w:kern w:val="0"/>
          <w:sz w:val="32"/>
          <w:szCs w:val="32"/>
          <w:lang w:eastAsia="zh-CN"/>
        </w:rPr>
        <w:t>记账</w:t>
      </w:r>
      <w:r>
        <w:rPr>
          <w:rFonts w:hint="eastAsia" w:ascii="仿宋_GB2312" w:hAnsi="Times New Roman" w:eastAsia="仿宋_GB2312" w:cs="Times New Roman"/>
          <w:kern w:val="0"/>
          <w:sz w:val="32"/>
          <w:szCs w:val="32"/>
        </w:rPr>
        <w:t>凭证的审核</w:t>
      </w:r>
      <w:r>
        <w:rPr>
          <w:rFonts w:hint="eastAsia" w:ascii="仿宋_GB2312" w:hAnsi="Times New Roman" w:eastAsia="仿宋_GB2312" w:cs="Times New Roman"/>
          <w:kern w:val="0"/>
          <w:sz w:val="32"/>
          <w:szCs w:val="32"/>
          <w:lang w:val="en-US" w:eastAsia="zh-CN"/>
        </w:rPr>
        <w:t>记账</w:t>
      </w:r>
      <w:r>
        <w:rPr>
          <w:rFonts w:hint="eastAsia" w:ascii="仿宋_GB2312" w:hAnsi="Times New Roman" w:eastAsia="仿宋_GB2312" w:cs="Times New Roman"/>
          <w:kern w:val="0"/>
          <w:sz w:val="32"/>
          <w:szCs w:val="32"/>
        </w:rPr>
        <w:t>，作了全面规范，做到制度管人、规范管理、科学</w:t>
      </w:r>
      <w:r>
        <w:rPr>
          <w:rFonts w:hint="eastAsia" w:ascii="仿宋_GB2312" w:hAnsi="Times New Roman" w:eastAsia="仿宋_GB2312" w:cs="Times New Roman"/>
          <w:kern w:val="0"/>
          <w:sz w:val="32"/>
          <w:szCs w:val="32"/>
          <w:lang w:val="en-US" w:eastAsia="zh-CN"/>
        </w:rPr>
        <w:t>管账</w:t>
      </w:r>
      <w:r>
        <w:rPr>
          <w:rFonts w:hint="eastAsia" w:ascii="仿宋_GB2312" w:hAnsi="Times New Roman" w:eastAsia="仿宋_GB2312" w:cs="Times New Roman"/>
          <w:kern w:val="0"/>
          <w:sz w:val="32"/>
          <w:szCs w:val="32"/>
        </w:rPr>
        <w:t>。二是加强内部审计，始终坚持“依法审计、客观公正、全面审计、突出重点”的原则，对局</w:t>
      </w:r>
      <w:r>
        <w:rPr>
          <w:rFonts w:hint="eastAsia" w:ascii="仿宋_GB2312" w:hAnsi="Times New Roman" w:eastAsia="仿宋_GB2312" w:cs="Times New Roman"/>
          <w:kern w:val="0"/>
          <w:sz w:val="32"/>
          <w:szCs w:val="32"/>
          <w:lang w:val="en-US" w:eastAsia="zh-CN"/>
        </w:rPr>
        <w:t>本级及所</w:t>
      </w:r>
      <w:r>
        <w:rPr>
          <w:rFonts w:hint="eastAsia" w:ascii="仿宋_GB2312" w:hAnsi="Times New Roman" w:eastAsia="仿宋_GB2312" w:cs="Times New Roman"/>
          <w:kern w:val="0"/>
          <w:sz w:val="32"/>
          <w:szCs w:val="32"/>
        </w:rPr>
        <w:t>属单位财务状况每半年审计一次，确保财务支出合理合法合规。</w:t>
      </w:r>
      <w:r>
        <w:rPr>
          <w:rFonts w:hint="eastAsia" w:ascii="仿宋_GB2312" w:hAnsi="Times New Roman" w:eastAsia="仿宋_GB2312" w:cs="Times New Roman"/>
          <w:kern w:val="0"/>
          <w:sz w:val="32"/>
          <w:szCs w:val="32"/>
          <w:lang w:val="en-US" w:eastAsia="zh-CN"/>
        </w:rPr>
        <w:t>三是</w:t>
      </w:r>
      <w:r>
        <w:rPr>
          <w:rFonts w:hint="eastAsia" w:ascii="仿宋_GB2312" w:eastAsia="仿宋_GB2312"/>
          <w:kern w:val="0"/>
          <w:sz w:val="32"/>
          <w:szCs w:val="32"/>
        </w:rPr>
        <w:t>规范执行预算，按规定履行预算调整报批手续，调整、调剂资金</w:t>
      </w:r>
      <w:r>
        <w:rPr>
          <w:rFonts w:hint="eastAsia" w:ascii="仿宋_GB2312" w:eastAsia="仿宋_GB2312"/>
          <w:kern w:val="0"/>
          <w:sz w:val="32"/>
          <w:szCs w:val="32"/>
          <w:lang w:eastAsia="zh-CN"/>
        </w:rPr>
        <w:t>，我局</w:t>
      </w:r>
      <w:r>
        <w:rPr>
          <w:rFonts w:hint="eastAsia" w:ascii="仿宋_GB2312" w:eastAsia="仿宋_GB2312"/>
          <w:kern w:val="0"/>
          <w:sz w:val="32"/>
          <w:szCs w:val="32"/>
        </w:rPr>
        <w:t>年中调整、调剂资金为</w:t>
      </w:r>
      <w:r>
        <w:rPr>
          <w:rFonts w:hint="eastAsia" w:ascii="仿宋_GB2312" w:eastAsia="仿宋_GB2312"/>
          <w:kern w:val="0"/>
          <w:sz w:val="32"/>
          <w:szCs w:val="32"/>
          <w:lang w:val="en-US" w:eastAsia="zh-CN"/>
        </w:rPr>
        <w:t>270.89</w:t>
      </w:r>
      <w:r>
        <w:rPr>
          <w:rFonts w:hint="eastAsia" w:ascii="仿宋_GB2312" w:eastAsia="仿宋_GB2312"/>
          <w:kern w:val="0"/>
          <w:sz w:val="32"/>
          <w:szCs w:val="32"/>
        </w:rPr>
        <w:t>万元，累计占</w:t>
      </w:r>
      <w:r>
        <w:rPr>
          <w:rFonts w:hint="eastAsia" w:ascii="仿宋_GB2312" w:eastAsia="仿宋_GB2312"/>
          <w:kern w:val="0"/>
          <w:sz w:val="32"/>
          <w:szCs w:val="32"/>
          <w:lang w:eastAsia="zh-CN"/>
        </w:rPr>
        <w:t>我局</w:t>
      </w:r>
      <w:r>
        <w:rPr>
          <w:rFonts w:hint="eastAsia" w:ascii="仿宋_GB2312" w:eastAsia="仿宋_GB2312"/>
          <w:kern w:val="0"/>
          <w:sz w:val="32"/>
          <w:szCs w:val="32"/>
        </w:rPr>
        <w:t>部门调整预算资金总规模</w:t>
      </w:r>
      <w:r>
        <w:rPr>
          <w:rFonts w:hint="eastAsia" w:ascii="仿宋_GB2312" w:eastAsia="仿宋_GB2312"/>
          <w:kern w:val="0"/>
          <w:sz w:val="32"/>
          <w:szCs w:val="32"/>
          <w:lang w:val="en-US" w:eastAsia="zh-CN"/>
        </w:rPr>
        <w:t>0.74</w:t>
      </w:r>
      <w:r>
        <w:rPr>
          <w:rFonts w:ascii="仿宋_GB2312" w:eastAsia="仿宋_GB2312"/>
          <w:kern w:val="0"/>
          <w:sz w:val="32"/>
          <w:szCs w:val="32"/>
        </w:rPr>
        <w:t>%</w:t>
      </w:r>
      <w:r>
        <w:rPr>
          <w:rFonts w:hint="eastAsia" w:ascii="仿宋_GB2312" w:eastAsia="仿宋_GB2312"/>
          <w:kern w:val="0"/>
          <w:sz w:val="32"/>
          <w:szCs w:val="32"/>
          <w:lang w:eastAsia="zh-CN"/>
        </w:rPr>
        <w:t>，我局</w:t>
      </w:r>
      <w:r>
        <w:rPr>
          <w:rFonts w:hint="eastAsia" w:ascii="仿宋_GB2312" w:eastAsia="仿宋_GB2312"/>
          <w:kern w:val="0"/>
          <w:sz w:val="32"/>
          <w:szCs w:val="32"/>
        </w:rPr>
        <w:t>预算调整调剂</w:t>
      </w:r>
      <w:r>
        <w:rPr>
          <w:rFonts w:hint="eastAsia" w:ascii="仿宋_GB2312" w:eastAsia="仿宋_GB2312"/>
          <w:kern w:val="0"/>
          <w:sz w:val="32"/>
          <w:szCs w:val="32"/>
          <w:lang w:val="en-US" w:eastAsia="zh-CN"/>
        </w:rPr>
        <w:t>均</w:t>
      </w:r>
      <w:r>
        <w:rPr>
          <w:rFonts w:hint="eastAsia" w:ascii="仿宋_GB2312" w:eastAsia="仿宋_GB2312"/>
          <w:kern w:val="0"/>
          <w:sz w:val="32"/>
          <w:szCs w:val="32"/>
        </w:rPr>
        <w:t>严格按照规定的程序和审批权限报预算管理员及财政部门审批</w:t>
      </w:r>
      <w:r>
        <w:rPr>
          <w:rFonts w:hint="eastAsia" w:ascii="仿宋_GB2312" w:eastAsia="仿宋_GB2312"/>
          <w:kern w:val="0"/>
          <w:sz w:val="32"/>
          <w:szCs w:val="32"/>
          <w:lang w:eastAsia="zh-CN"/>
        </w:rPr>
        <w:t>，</w:t>
      </w:r>
      <w:r>
        <w:rPr>
          <w:rFonts w:hint="eastAsia" w:ascii="仿宋_GB2312" w:eastAsia="仿宋_GB2312"/>
          <w:kern w:val="0"/>
          <w:sz w:val="32"/>
          <w:szCs w:val="32"/>
          <w:lang w:val="en-US" w:eastAsia="zh-CN"/>
        </w:rPr>
        <w:t>无随意调整调剂预算的行为，</w:t>
      </w:r>
      <w:r>
        <w:rPr>
          <w:rFonts w:hint="eastAsia" w:ascii="仿宋_GB2312" w:eastAsia="仿宋_GB2312"/>
          <w:kern w:val="0"/>
          <w:sz w:val="32"/>
          <w:szCs w:val="32"/>
        </w:rPr>
        <w:t>未出现超预算、无预算支出，或擅自改变预算支出用途和</w:t>
      </w:r>
      <w:r>
        <w:rPr>
          <w:rFonts w:hint="eastAsia" w:ascii="仿宋_GB2312" w:eastAsia="仿宋_GB2312"/>
          <w:kern w:val="0"/>
          <w:sz w:val="32"/>
          <w:szCs w:val="32"/>
          <w:lang w:eastAsia="zh-CN"/>
        </w:rPr>
        <w:t>我局</w:t>
      </w:r>
      <w:r>
        <w:rPr>
          <w:rFonts w:hint="eastAsia" w:ascii="仿宋_GB2312" w:eastAsia="仿宋_GB2312"/>
          <w:kern w:val="0"/>
          <w:sz w:val="32"/>
          <w:szCs w:val="32"/>
        </w:rPr>
        <w:t>领导班子会议研究决定。</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2</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预决算信息公开</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bCs/>
          <w:color w:val="000000"/>
          <w:kern w:val="0"/>
          <w:sz w:val="32"/>
          <w:szCs w:val="32"/>
        </w:rPr>
      </w:pPr>
      <w:r>
        <w:rPr>
          <w:rFonts w:hint="eastAsia" w:ascii="仿宋_GB2312" w:eastAsia="仿宋_GB2312"/>
          <w:bCs/>
          <w:color w:val="000000"/>
          <w:kern w:val="0"/>
          <w:sz w:val="32"/>
          <w:szCs w:val="32"/>
        </w:rPr>
        <w:t>根据</w:t>
      </w:r>
      <w:r>
        <w:rPr>
          <w:rFonts w:hint="eastAsia" w:ascii="仿宋_GB2312" w:eastAsia="仿宋_GB2312"/>
          <w:bCs/>
          <w:color w:val="000000"/>
          <w:kern w:val="0"/>
          <w:sz w:val="32"/>
          <w:szCs w:val="32"/>
          <w:lang w:eastAsia="zh-CN"/>
        </w:rPr>
        <w:t>《</w:t>
      </w:r>
      <w:r>
        <w:rPr>
          <w:rFonts w:hint="eastAsia" w:ascii="仿宋_GB2312" w:hAnsi="Times New Roman" w:eastAsia="仿宋_GB2312" w:cs="Times New Roman"/>
          <w:kern w:val="0"/>
          <w:sz w:val="32"/>
          <w:szCs w:val="32"/>
        </w:rPr>
        <w:t>中华人民共和国预算法》《中华人民共和国政府信息公开条例》等法律法规</w:t>
      </w:r>
      <w:r>
        <w:rPr>
          <w:rFonts w:hint="eastAsia" w:ascii="仿宋_GB2312" w:hAnsi="Times New Roman" w:eastAsia="仿宋_GB2312" w:cs="Times New Roman"/>
          <w:kern w:val="0"/>
          <w:sz w:val="32"/>
          <w:szCs w:val="32"/>
          <w:lang w:val="en-US" w:eastAsia="zh-CN"/>
        </w:rPr>
        <w:t>规定，以及新</w:t>
      </w:r>
      <w:r>
        <w:rPr>
          <w:rFonts w:hint="eastAsia" w:ascii="仿宋_GB2312" w:hAnsi="Times New Roman" w:eastAsia="仿宋_GB2312" w:cs="Times New Roman"/>
          <w:kern w:val="0"/>
          <w:sz w:val="32"/>
          <w:szCs w:val="32"/>
        </w:rPr>
        <w:t>区</w:t>
      </w:r>
      <w:r>
        <w:rPr>
          <w:rFonts w:hint="eastAsia" w:ascii="仿宋_GB2312" w:eastAsia="仿宋_GB2312"/>
          <w:bCs/>
          <w:color w:val="000000"/>
          <w:kern w:val="0"/>
          <w:sz w:val="32"/>
          <w:szCs w:val="32"/>
        </w:rPr>
        <w:t>发展和财政局关于预算公开要求，</w:t>
      </w:r>
      <w:r>
        <w:rPr>
          <w:rFonts w:hint="eastAsia" w:ascii="仿宋_GB2312" w:eastAsia="仿宋_GB2312"/>
          <w:bCs/>
          <w:color w:val="000000"/>
          <w:kern w:val="0"/>
          <w:sz w:val="32"/>
          <w:szCs w:val="32"/>
          <w:lang w:eastAsia="zh-CN"/>
        </w:rPr>
        <w:t>我局</w:t>
      </w:r>
      <w:r>
        <w:rPr>
          <w:rFonts w:hint="eastAsia" w:ascii="仿宋_GB2312" w:hAnsi="Times New Roman" w:eastAsia="仿宋_GB2312" w:cs="Times New Roman"/>
          <w:kern w:val="0"/>
          <w:sz w:val="32"/>
          <w:szCs w:val="32"/>
        </w:rPr>
        <w:t>以公开为常态，不公开为例外，依法依规公开预决算。</w:t>
      </w:r>
      <w:r>
        <w:rPr>
          <w:rFonts w:hint="eastAsia" w:ascii="仿宋_GB2312" w:hAnsi="Times New Roman" w:eastAsia="仿宋_GB2312" w:cs="Times New Roman"/>
          <w:kern w:val="0"/>
          <w:sz w:val="32"/>
          <w:szCs w:val="32"/>
          <w:lang w:val="en-US" w:eastAsia="zh-CN"/>
        </w:rPr>
        <w:t>我局</w:t>
      </w:r>
      <w:r>
        <w:rPr>
          <w:rFonts w:hint="eastAsia" w:ascii="仿宋_GB2312" w:eastAsia="仿宋_GB2312"/>
          <w:bCs/>
          <w:color w:val="000000"/>
          <w:kern w:val="0"/>
          <w:sz w:val="32"/>
          <w:szCs w:val="32"/>
        </w:rPr>
        <w:t>于</w:t>
      </w:r>
      <w:r>
        <w:rPr>
          <w:rFonts w:ascii="仿宋_GB2312" w:eastAsia="仿宋_GB2312"/>
          <w:bCs/>
          <w:color w:val="000000"/>
          <w:kern w:val="0"/>
          <w:sz w:val="32"/>
          <w:szCs w:val="32"/>
        </w:rPr>
        <w:t xml:space="preserve"> 2020</w:t>
      </w:r>
      <w:r>
        <w:rPr>
          <w:rFonts w:hint="eastAsia" w:ascii="仿宋_GB2312" w:eastAsia="仿宋_GB2312"/>
          <w:bCs/>
          <w:color w:val="000000"/>
          <w:kern w:val="0"/>
          <w:sz w:val="32"/>
          <w:szCs w:val="32"/>
        </w:rPr>
        <w:t>年</w:t>
      </w:r>
      <w:r>
        <w:rPr>
          <w:rFonts w:ascii="仿宋_GB2312" w:eastAsia="仿宋_GB2312"/>
          <w:bCs/>
          <w:color w:val="000000"/>
          <w:kern w:val="0"/>
          <w:sz w:val="32"/>
          <w:szCs w:val="32"/>
        </w:rPr>
        <w:t>2</w:t>
      </w:r>
      <w:r>
        <w:rPr>
          <w:rFonts w:hint="eastAsia" w:ascii="仿宋_GB2312" w:eastAsia="仿宋_GB2312"/>
          <w:bCs/>
          <w:color w:val="000000"/>
          <w:kern w:val="0"/>
          <w:sz w:val="32"/>
          <w:szCs w:val="32"/>
          <w:lang w:val="en-US" w:eastAsia="zh-CN"/>
        </w:rPr>
        <w:t>月</w:t>
      </w:r>
      <w:r>
        <w:rPr>
          <w:rFonts w:hint="eastAsia" w:ascii="仿宋_GB2312" w:eastAsia="仿宋_GB2312"/>
          <w:bCs/>
          <w:color w:val="000000"/>
          <w:kern w:val="0"/>
          <w:sz w:val="32"/>
          <w:szCs w:val="32"/>
        </w:rPr>
        <w:t>7日通过深圳市大鹏新区</w:t>
      </w:r>
      <w:r>
        <w:rPr>
          <w:rFonts w:hint="eastAsia" w:ascii="仿宋_GB2312" w:eastAsia="仿宋_GB2312"/>
          <w:bCs/>
          <w:color w:val="000000"/>
          <w:kern w:val="0"/>
          <w:sz w:val="32"/>
          <w:szCs w:val="32"/>
          <w:lang w:eastAsia="zh-CN"/>
        </w:rPr>
        <w:t>政府在线</w:t>
      </w:r>
      <w:r>
        <w:rPr>
          <w:rFonts w:hint="eastAsia" w:ascii="仿宋_GB2312" w:eastAsia="仿宋_GB2312"/>
          <w:bCs/>
          <w:color w:val="000000"/>
          <w:kern w:val="0"/>
          <w:sz w:val="32"/>
          <w:szCs w:val="32"/>
        </w:rPr>
        <w:t>“首页”</w:t>
      </w:r>
      <w:r>
        <w:rPr>
          <w:rFonts w:hint="eastAsia" w:ascii="仿宋_GB2312" w:eastAsia="仿宋_GB2312"/>
          <w:bCs/>
          <w:color w:val="000000"/>
          <w:kern w:val="0"/>
          <w:sz w:val="32"/>
          <w:szCs w:val="32"/>
          <w:lang w:val="en-US" w:eastAsia="zh-CN"/>
        </w:rPr>
        <w:t>-</w:t>
      </w:r>
      <w:r>
        <w:rPr>
          <w:rFonts w:hint="eastAsia" w:ascii="仿宋_GB2312" w:eastAsia="仿宋_GB2312"/>
          <w:bCs/>
          <w:color w:val="000000"/>
          <w:kern w:val="0"/>
          <w:sz w:val="32"/>
          <w:szCs w:val="32"/>
        </w:rPr>
        <w:t>“政务公开”</w:t>
      </w:r>
      <w:r>
        <w:rPr>
          <w:rFonts w:hint="eastAsia" w:ascii="仿宋_GB2312" w:eastAsia="仿宋_GB2312"/>
          <w:bCs/>
          <w:color w:val="000000"/>
          <w:kern w:val="0"/>
          <w:sz w:val="32"/>
          <w:szCs w:val="32"/>
          <w:lang w:val="en-US" w:eastAsia="zh-CN"/>
        </w:rPr>
        <w:t>-</w:t>
      </w:r>
      <w:r>
        <w:rPr>
          <w:rFonts w:hint="eastAsia" w:ascii="仿宋_GB2312" w:eastAsia="仿宋_GB2312"/>
          <w:bCs/>
          <w:color w:val="000000"/>
          <w:kern w:val="0"/>
          <w:sz w:val="32"/>
          <w:szCs w:val="32"/>
        </w:rPr>
        <w:t>“重要领域信息公开”</w:t>
      </w:r>
      <w:r>
        <w:rPr>
          <w:rFonts w:hint="eastAsia" w:ascii="仿宋_GB2312" w:eastAsia="仿宋_GB2312"/>
          <w:bCs/>
          <w:color w:val="000000"/>
          <w:kern w:val="0"/>
          <w:sz w:val="32"/>
          <w:szCs w:val="32"/>
          <w:lang w:val="en-US" w:eastAsia="zh-CN"/>
        </w:rPr>
        <w:t>-</w:t>
      </w:r>
      <w:r>
        <w:rPr>
          <w:rFonts w:hint="eastAsia" w:ascii="仿宋_GB2312" w:eastAsia="仿宋_GB2312"/>
          <w:bCs/>
          <w:color w:val="000000"/>
          <w:kern w:val="0"/>
          <w:sz w:val="32"/>
          <w:szCs w:val="32"/>
        </w:rPr>
        <w:t>“资金信息”</w:t>
      </w:r>
      <w:r>
        <w:rPr>
          <w:rFonts w:hint="eastAsia" w:ascii="仿宋_GB2312" w:eastAsia="仿宋_GB2312"/>
          <w:bCs/>
          <w:color w:val="000000"/>
          <w:kern w:val="0"/>
          <w:sz w:val="32"/>
          <w:szCs w:val="32"/>
          <w:lang w:val="en-US" w:eastAsia="zh-CN"/>
        </w:rPr>
        <w:t>-</w:t>
      </w:r>
      <w:r>
        <w:rPr>
          <w:rFonts w:hint="eastAsia" w:ascii="仿宋_GB2312" w:eastAsia="仿宋_GB2312"/>
          <w:bCs/>
          <w:color w:val="000000"/>
          <w:kern w:val="0"/>
          <w:sz w:val="32"/>
          <w:szCs w:val="32"/>
        </w:rPr>
        <w:t>“部门财政预决算”栏</w:t>
      </w:r>
      <w:r>
        <w:rPr>
          <w:rFonts w:hint="eastAsia" w:ascii="仿宋_GB2312" w:eastAsia="仿宋_GB2312"/>
          <w:bCs/>
          <w:color w:val="000000"/>
          <w:kern w:val="0"/>
          <w:sz w:val="32"/>
          <w:szCs w:val="32"/>
          <w:lang w:eastAsia="zh-CN"/>
        </w:rPr>
        <w:t>目</w:t>
      </w:r>
      <w:r>
        <w:rPr>
          <w:rFonts w:hint="eastAsia" w:ascii="仿宋_GB2312" w:eastAsia="仿宋_GB2312"/>
          <w:bCs/>
          <w:color w:val="000000"/>
          <w:kern w:val="0"/>
          <w:sz w:val="32"/>
          <w:szCs w:val="32"/>
        </w:rPr>
        <w:t>向社会公开了《2020年深圳市公安局大鹏公安分局部门预算》，</w:t>
      </w:r>
      <w:r>
        <w:rPr>
          <w:rFonts w:hint="eastAsia" w:ascii="仿宋_GB2312" w:hAnsi="Times New Roman" w:eastAsia="仿宋_GB2312" w:cs="Times New Roman"/>
          <w:bCs/>
          <w:color w:val="000000"/>
          <w:kern w:val="0"/>
          <w:sz w:val="32"/>
          <w:szCs w:val="32"/>
        </w:rPr>
        <w:t>公开内容全面、真实、完整</w:t>
      </w:r>
      <w:r>
        <w:rPr>
          <w:rFonts w:hint="eastAsia" w:ascii="仿宋_GB2312" w:hAnsi="Times New Roman" w:eastAsia="仿宋_GB2312" w:cs="Times New Roman"/>
          <w:bCs/>
          <w:color w:val="000000"/>
          <w:kern w:val="0"/>
          <w:sz w:val="32"/>
          <w:szCs w:val="32"/>
          <w:lang w:eastAsia="zh-CN"/>
        </w:rPr>
        <w:t>，</w:t>
      </w:r>
      <w:r>
        <w:rPr>
          <w:rFonts w:hint="eastAsia" w:ascii="仿宋_GB2312" w:hAnsi="Times New Roman" w:eastAsia="仿宋_GB2312" w:cs="Times New Roman"/>
          <w:bCs/>
          <w:color w:val="000000"/>
          <w:kern w:val="0"/>
          <w:sz w:val="32"/>
          <w:szCs w:val="32"/>
        </w:rPr>
        <w:t>聚焦社会热点，回应公众关切</w:t>
      </w:r>
      <w:r>
        <w:rPr>
          <w:rFonts w:hint="eastAsia" w:ascii="仿宋_GB2312" w:hAnsi="Times New Roman" w:eastAsia="仿宋_GB2312" w:cs="Times New Roman"/>
          <w:bCs/>
          <w:color w:val="000000"/>
          <w:kern w:val="0"/>
          <w:sz w:val="32"/>
          <w:szCs w:val="32"/>
          <w:lang w:eastAsia="zh-CN"/>
        </w:rPr>
        <w:t>。</w:t>
      </w:r>
      <w:r>
        <w:rPr>
          <w:rFonts w:hint="eastAsia" w:ascii="仿宋_GB2312" w:eastAsia="仿宋_GB2312"/>
          <w:bCs/>
          <w:color w:val="000000"/>
          <w:kern w:val="0"/>
          <w:sz w:val="32"/>
          <w:szCs w:val="32"/>
        </w:rPr>
        <w:t>2020年决算</w:t>
      </w:r>
      <w:r>
        <w:rPr>
          <w:rFonts w:hint="eastAsia" w:ascii="仿宋_GB2312" w:eastAsia="仿宋_GB2312"/>
          <w:bCs/>
          <w:color w:val="000000"/>
          <w:kern w:val="0"/>
          <w:sz w:val="32"/>
          <w:szCs w:val="32"/>
          <w:lang w:val="en-US" w:eastAsia="zh-CN"/>
        </w:rPr>
        <w:t>公开将待财政批复后</w:t>
      </w:r>
      <w:r>
        <w:rPr>
          <w:rFonts w:hint="eastAsia" w:ascii="仿宋_GB2312" w:eastAsia="仿宋_GB2312"/>
          <w:bCs/>
          <w:color w:val="000000"/>
          <w:kern w:val="0"/>
          <w:sz w:val="32"/>
          <w:szCs w:val="32"/>
        </w:rPr>
        <w:t>根据</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区发展和财政局相关规定进行公开公示。</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3</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项目管理</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rPr>
      </w:pPr>
      <w:r>
        <w:rPr>
          <w:rFonts w:hint="eastAsia" w:ascii="仿宋_GB2312" w:eastAsia="仿宋_GB2312"/>
          <w:color w:val="000000"/>
          <w:kern w:val="0"/>
          <w:sz w:val="32"/>
          <w:szCs w:val="32"/>
        </w:rPr>
        <w:t>2020年</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lang w:val="en-US" w:eastAsia="zh-CN"/>
        </w:rPr>
        <w:t>项目支出年初预算数24,599.08万元，</w:t>
      </w:r>
      <w:r>
        <w:rPr>
          <w:rFonts w:hint="eastAsia" w:ascii="仿宋_GB2312" w:eastAsia="仿宋_GB2312"/>
          <w:color w:val="000000"/>
          <w:kern w:val="0"/>
          <w:sz w:val="32"/>
          <w:szCs w:val="32"/>
        </w:rPr>
        <w:t>包括</w:t>
      </w:r>
      <w:r>
        <w:rPr>
          <w:rFonts w:hint="eastAsia" w:ascii="仿宋_GB2312" w:eastAsia="仿宋_GB2312"/>
          <w:color w:val="000000"/>
          <w:kern w:val="0"/>
          <w:sz w:val="32"/>
          <w:szCs w:val="32"/>
          <w:lang w:val="en-US" w:eastAsia="zh-CN"/>
        </w:rPr>
        <w:t>局本级、葵冲派出所、大鹏派出所、南澳派出所和土洋派出所，一级预算项目共21个，包含</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val="en-US" w:eastAsia="zh-CN"/>
        </w:rPr>
        <w:t>从优待警专项</w:t>
      </w:r>
      <w:r>
        <w:rPr>
          <w:rFonts w:hint="eastAsia" w:ascii="仿宋_GB2312" w:eastAsia="仿宋_GB2312"/>
          <w:color w:val="000000"/>
          <w:kern w:val="0"/>
          <w:sz w:val="32"/>
          <w:szCs w:val="32"/>
        </w:rPr>
        <w:t xml:space="preserve">”“ </w:t>
      </w:r>
      <w:r>
        <w:rPr>
          <w:rFonts w:hint="eastAsia" w:ascii="仿宋_GB2312" w:eastAsia="仿宋_GB2312"/>
          <w:color w:val="000000"/>
          <w:kern w:val="0"/>
          <w:sz w:val="32"/>
          <w:szCs w:val="32"/>
          <w:lang w:val="en-US" w:eastAsia="zh-CN"/>
        </w:rPr>
        <w:t>信息网络运行维护</w:t>
      </w:r>
      <w:r>
        <w:rPr>
          <w:rFonts w:hint="eastAsia" w:ascii="仿宋_GB2312" w:eastAsia="仿宋_GB2312"/>
          <w:color w:val="000000"/>
          <w:kern w:val="0"/>
          <w:sz w:val="32"/>
          <w:szCs w:val="32"/>
        </w:rPr>
        <w:t xml:space="preserve">”“ </w:t>
      </w:r>
      <w:r>
        <w:rPr>
          <w:rFonts w:hint="eastAsia" w:ascii="仿宋_GB2312" w:eastAsia="仿宋_GB2312"/>
          <w:color w:val="000000"/>
          <w:kern w:val="0"/>
          <w:sz w:val="32"/>
          <w:szCs w:val="32"/>
          <w:lang w:val="en-US" w:eastAsia="zh-CN"/>
        </w:rPr>
        <w:t>公安执法办案</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公安特别业务</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及“公安行政管理”等</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对以上项目全部纳入预算绩效管理，设置并编报绩效目标。2020年</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项目实际支出共计</w:t>
      </w:r>
      <w:r>
        <w:rPr>
          <w:rFonts w:hint="eastAsia" w:ascii="仿宋_GB2312" w:eastAsia="仿宋_GB2312"/>
          <w:color w:val="000000"/>
          <w:kern w:val="0"/>
          <w:sz w:val="32"/>
          <w:szCs w:val="32"/>
          <w:lang w:val="en-US" w:eastAsia="zh-CN"/>
        </w:rPr>
        <w:t>24，800.15</w:t>
      </w:r>
      <w:r>
        <w:rPr>
          <w:rFonts w:hint="eastAsia" w:ascii="仿宋_GB2312" w:eastAsia="仿宋_GB2312"/>
          <w:color w:val="000000"/>
          <w:kern w:val="0"/>
          <w:sz w:val="32"/>
          <w:szCs w:val="32"/>
        </w:rPr>
        <w:t>万元,</w:t>
      </w:r>
      <w:r>
        <w:rPr>
          <w:rFonts w:hint="eastAsia" w:ascii="仿宋_GB2312" w:hAnsi="Times New Roman" w:eastAsia="仿宋_GB2312" w:cs="Times New Roman"/>
          <w:color w:val="000000"/>
          <w:kern w:val="0"/>
          <w:sz w:val="32"/>
          <w:szCs w:val="32"/>
        </w:rPr>
        <w:t>我局根据</w:t>
      </w:r>
      <w:r>
        <w:rPr>
          <w:rFonts w:hint="eastAsia" w:ascii="仿宋_GB2312" w:hAnsi="Times New Roman" w:eastAsia="仿宋_GB2312" w:cs="Times New Roman"/>
          <w:color w:val="000000"/>
          <w:kern w:val="0"/>
          <w:sz w:val="32"/>
          <w:szCs w:val="32"/>
          <w:lang w:val="en-US" w:eastAsia="zh-CN"/>
        </w:rPr>
        <w:t>新区发展和财政局关于2020年预算绩效自评工作要求</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以</w:t>
      </w:r>
      <w:r>
        <w:rPr>
          <w:rFonts w:hint="eastAsia" w:ascii="仿宋_GB2312" w:hAnsi="Times New Roman" w:eastAsia="仿宋_GB2312" w:cs="Times New Roman"/>
          <w:color w:val="000000"/>
          <w:kern w:val="0"/>
          <w:sz w:val="32"/>
          <w:szCs w:val="32"/>
        </w:rPr>
        <w:t>2020年项目支出绩效目标</w:t>
      </w:r>
      <w:r>
        <w:rPr>
          <w:rFonts w:hint="eastAsia" w:ascii="仿宋_GB2312" w:hAnsi="Times New Roman" w:eastAsia="仿宋_GB2312" w:cs="Times New Roman"/>
          <w:color w:val="000000"/>
          <w:kern w:val="0"/>
          <w:sz w:val="32"/>
          <w:szCs w:val="32"/>
          <w:lang w:val="en-US" w:eastAsia="zh-CN"/>
        </w:rPr>
        <w:t>申报为基础</w:t>
      </w:r>
      <w:r>
        <w:rPr>
          <w:rFonts w:hint="eastAsia" w:ascii="仿宋_GB2312" w:hAnsi="Times New Roman" w:eastAsia="仿宋_GB2312" w:cs="Times New Roman"/>
          <w:color w:val="000000"/>
          <w:kern w:val="0"/>
          <w:sz w:val="32"/>
          <w:szCs w:val="32"/>
        </w:rPr>
        <w:t>，结合2020年我</w:t>
      </w:r>
      <w:r>
        <w:rPr>
          <w:rFonts w:hint="eastAsia" w:ascii="仿宋_GB2312" w:hAnsi="Times New Roman" w:eastAsia="仿宋_GB2312" w:cs="Times New Roman"/>
          <w:color w:val="000000"/>
          <w:kern w:val="0"/>
          <w:sz w:val="32"/>
          <w:szCs w:val="32"/>
          <w:lang w:val="en-US" w:eastAsia="zh-CN"/>
        </w:rPr>
        <w:t>局</w:t>
      </w:r>
      <w:r>
        <w:rPr>
          <w:rFonts w:hint="eastAsia" w:ascii="仿宋_GB2312" w:hAnsi="Times New Roman" w:eastAsia="仿宋_GB2312" w:cs="Times New Roman"/>
          <w:color w:val="000000"/>
          <w:kern w:val="0"/>
          <w:sz w:val="32"/>
          <w:szCs w:val="32"/>
        </w:rPr>
        <w:t>预算项目执行情况，认真收集评价基础数据和资料，对</w:t>
      </w:r>
      <w:r>
        <w:rPr>
          <w:rFonts w:hint="eastAsia" w:ascii="仿宋_GB2312" w:hAnsi="Times New Roman" w:eastAsia="仿宋_GB2312" w:cs="Times New Roman"/>
          <w:color w:val="000000"/>
          <w:kern w:val="0"/>
          <w:sz w:val="32"/>
          <w:szCs w:val="32"/>
          <w:lang w:val="en-US" w:eastAsia="zh-CN"/>
        </w:rPr>
        <w:t>所有</w:t>
      </w:r>
      <w:r>
        <w:rPr>
          <w:rFonts w:hint="eastAsia" w:ascii="仿宋_GB2312" w:hAnsi="Times New Roman" w:eastAsia="仿宋_GB2312" w:cs="Times New Roman"/>
          <w:color w:val="000000"/>
          <w:kern w:val="0"/>
          <w:sz w:val="32"/>
          <w:szCs w:val="32"/>
        </w:rPr>
        <w:t>项目支出开展绩效自评工作。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项目支出预算的安排与单位履职相符合，</w:t>
      </w:r>
      <w:r>
        <w:rPr>
          <w:rFonts w:hint="eastAsia" w:ascii="仿宋_GB2312" w:hAnsi="Times New Roman" w:eastAsia="仿宋_GB2312" w:cs="Times New Roman"/>
          <w:color w:val="000000"/>
          <w:kern w:val="0"/>
          <w:sz w:val="32"/>
          <w:szCs w:val="32"/>
        </w:rPr>
        <w:t>坚定党对公安工作的绝对领导</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坚守为人民服务的初心，担起打击各类违法犯罪的使命，扛起新时代社会治安大局稳定的重任。</w:t>
      </w:r>
      <w:r>
        <w:rPr>
          <w:rFonts w:hint="eastAsia" w:ascii="仿宋_GB2312" w:hAnsi="Times New Roman" w:eastAsia="仿宋_GB2312" w:cs="Times New Roman"/>
          <w:color w:val="000000"/>
          <w:kern w:val="0"/>
          <w:sz w:val="32"/>
          <w:szCs w:val="32"/>
          <w:lang w:val="en-US" w:eastAsia="zh-CN"/>
        </w:rPr>
        <w:t>为实现高效履职，我局保障</w:t>
      </w:r>
      <w:r>
        <w:rPr>
          <w:rFonts w:hint="eastAsia" w:ascii="仿宋_GB2312" w:hAnsi="Times New Roman" w:eastAsia="仿宋_GB2312" w:cs="Times New Roman"/>
          <w:color w:val="000000"/>
          <w:kern w:val="0"/>
          <w:sz w:val="32"/>
          <w:szCs w:val="32"/>
        </w:rPr>
        <w:t>财政资金充足</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到位及时</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另外，我局</w:t>
      </w:r>
      <w:r>
        <w:rPr>
          <w:rFonts w:hint="eastAsia" w:ascii="仿宋_GB2312" w:hAnsi="Times New Roman" w:eastAsia="仿宋_GB2312" w:cs="Times New Roman"/>
          <w:color w:val="000000"/>
          <w:kern w:val="0"/>
          <w:sz w:val="32"/>
          <w:szCs w:val="32"/>
        </w:rPr>
        <w:t>项目的设立按</w:t>
      </w:r>
      <w:r>
        <w:rPr>
          <w:rFonts w:hint="eastAsia" w:ascii="仿宋_GB2312" w:eastAsia="仿宋_GB2312"/>
          <w:color w:val="000000"/>
          <w:kern w:val="0"/>
          <w:sz w:val="32"/>
          <w:szCs w:val="32"/>
        </w:rPr>
        <w:t>规定履行报批程序，申报、批复程序符合相关管理办法，项目的招投标、项目支出、调整及完成验收等规范，项目验收均按规定履行相应手续。项目资金支出监管按</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行专项或抽样性检查，及时监控发现问题马上督促整改，项目支出建立了有效的预算资金管理机制且执行情况良好。</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4</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资产管理</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华文仿宋" w:hAnsi="华文仿宋" w:eastAsia="华文仿宋" w:cs="华文仿宋"/>
          <w:kern w:val="0"/>
          <w:sz w:val="32"/>
          <w:szCs w:val="32"/>
        </w:rPr>
      </w:pPr>
      <w:r>
        <w:rPr>
          <w:rFonts w:hint="eastAsia" w:ascii="仿宋_GB2312" w:eastAsia="仿宋_GB2312"/>
          <w:color w:val="000000"/>
          <w:kern w:val="0"/>
          <w:sz w:val="32"/>
          <w:szCs w:val="32"/>
          <w:lang w:eastAsia="zh-CN"/>
        </w:rPr>
        <w:t>我局</w:t>
      </w:r>
      <w:r>
        <w:rPr>
          <w:rFonts w:ascii="仿宋_GB2312" w:eastAsia="仿宋_GB2312"/>
          <w:color w:val="000000"/>
          <w:kern w:val="0"/>
          <w:sz w:val="32"/>
          <w:szCs w:val="32"/>
        </w:rPr>
        <w:t>2020</w:t>
      </w:r>
      <w:r>
        <w:rPr>
          <w:rFonts w:hint="eastAsia" w:ascii="仿宋_GB2312" w:eastAsia="仿宋_GB2312"/>
          <w:color w:val="000000"/>
          <w:kern w:val="0"/>
          <w:sz w:val="32"/>
          <w:szCs w:val="32"/>
        </w:rPr>
        <w:t>年度总资产</w:t>
      </w:r>
      <w:r>
        <w:rPr>
          <w:rFonts w:hint="eastAsia" w:ascii="仿宋_GB2312" w:eastAsia="仿宋_GB2312"/>
          <w:color w:val="000000"/>
          <w:kern w:val="0"/>
          <w:sz w:val="32"/>
          <w:szCs w:val="32"/>
          <w:lang w:val="en-US" w:eastAsia="zh-CN"/>
        </w:rPr>
        <w:t>33,209.36</w:t>
      </w:r>
      <w:r>
        <w:rPr>
          <w:rFonts w:hint="eastAsia" w:ascii="仿宋_GB2312" w:eastAsia="仿宋_GB2312"/>
          <w:color w:val="000000"/>
          <w:kern w:val="0"/>
          <w:sz w:val="32"/>
          <w:szCs w:val="32"/>
        </w:rPr>
        <w:t>万元，其中：流动资产</w:t>
      </w:r>
      <w:r>
        <w:rPr>
          <w:rFonts w:hint="eastAsia" w:ascii="仿宋_GB2312" w:eastAsia="仿宋_GB2312"/>
          <w:color w:val="000000"/>
          <w:kern w:val="0"/>
          <w:sz w:val="32"/>
          <w:szCs w:val="32"/>
          <w:lang w:val="en-US" w:eastAsia="zh-CN"/>
        </w:rPr>
        <w:t>3,023.46</w:t>
      </w:r>
      <w:r>
        <w:rPr>
          <w:rFonts w:hint="eastAsia" w:ascii="仿宋_GB2312" w:eastAsia="仿宋_GB2312"/>
          <w:color w:val="000000"/>
          <w:kern w:val="0"/>
          <w:sz w:val="32"/>
          <w:szCs w:val="32"/>
        </w:rPr>
        <w:t>万元，非流动资产</w:t>
      </w:r>
      <w:r>
        <w:rPr>
          <w:rFonts w:hint="eastAsia" w:ascii="仿宋_GB2312" w:eastAsia="仿宋_GB2312"/>
          <w:color w:val="000000"/>
          <w:kern w:val="0"/>
          <w:sz w:val="32"/>
          <w:szCs w:val="32"/>
          <w:lang w:val="en-US" w:eastAsia="zh-CN"/>
        </w:rPr>
        <w:t>30,185.90</w:t>
      </w:r>
      <w:r>
        <w:rPr>
          <w:rFonts w:hint="eastAsia" w:ascii="仿宋_GB2312" w:eastAsia="仿宋_GB2312"/>
          <w:color w:val="000000"/>
          <w:kern w:val="0"/>
          <w:sz w:val="32"/>
          <w:szCs w:val="32"/>
        </w:rPr>
        <w:t>万元，</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lang w:val="en-US" w:eastAsia="zh-CN"/>
        </w:rPr>
        <w:t>不仅注重资产的日常管理，而且每年至少开展一次定期</w:t>
      </w:r>
      <w:r>
        <w:rPr>
          <w:rFonts w:hint="eastAsia" w:ascii="仿宋_GB2312" w:eastAsia="仿宋_GB2312"/>
          <w:color w:val="000000"/>
          <w:kern w:val="0"/>
          <w:sz w:val="32"/>
          <w:szCs w:val="32"/>
        </w:rPr>
        <w:t>清产核资，通过清产核资，全面</w:t>
      </w:r>
      <w:r>
        <w:rPr>
          <w:rFonts w:hint="eastAsia" w:ascii="仿宋_GB2312" w:eastAsia="仿宋_GB2312"/>
          <w:color w:val="000000"/>
          <w:kern w:val="0"/>
          <w:sz w:val="32"/>
          <w:szCs w:val="32"/>
          <w:lang w:val="en-US" w:eastAsia="zh-CN"/>
        </w:rPr>
        <w:t>核实我局</w:t>
      </w:r>
      <w:r>
        <w:rPr>
          <w:rFonts w:hint="eastAsia" w:ascii="仿宋_GB2312" w:eastAsia="仿宋_GB2312"/>
          <w:color w:val="000000"/>
          <w:kern w:val="0"/>
          <w:sz w:val="32"/>
          <w:szCs w:val="32"/>
        </w:rPr>
        <w:t>的财产家底及结构状况，做到账账相符</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账实相符</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账表相符</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val="en-US" w:eastAsia="zh-CN"/>
        </w:rPr>
        <w:t>真</w:t>
      </w:r>
      <w:r>
        <w:rPr>
          <w:rFonts w:hint="eastAsia" w:ascii="仿宋_GB2312" w:hAnsi="Times New Roman" w:eastAsia="仿宋_GB2312" w:cs="Times New Roman"/>
          <w:color w:val="000000"/>
          <w:kern w:val="0"/>
          <w:sz w:val="32"/>
          <w:szCs w:val="32"/>
        </w:rPr>
        <w:t>实、完整</w:t>
      </w:r>
      <w:r>
        <w:rPr>
          <w:rFonts w:hint="eastAsia" w:ascii="仿宋_GB2312" w:eastAsia="仿宋_GB2312" w:cs="Times New Roman"/>
          <w:color w:val="000000"/>
          <w:kern w:val="0"/>
          <w:sz w:val="32"/>
          <w:szCs w:val="32"/>
          <w:lang w:eastAsia="zh-CN"/>
        </w:rPr>
        <w:t>地</w:t>
      </w:r>
      <w:r>
        <w:rPr>
          <w:rFonts w:hint="eastAsia" w:ascii="仿宋_GB2312" w:hAnsi="Times New Roman" w:eastAsia="仿宋_GB2312" w:cs="Times New Roman"/>
          <w:color w:val="000000"/>
          <w:kern w:val="0"/>
          <w:sz w:val="32"/>
          <w:szCs w:val="32"/>
        </w:rPr>
        <w:t>反映单位资产和财务状况</w:t>
      </w:r>
      <w:r>
        <w:rPr>
          <w:rFonts w:hint="eastAsia" w:ascii="仿宋_GB2312" w:hAnsi="Times New Roman" w:eastAsia="仿宋_GB2312" w:cs="Times New Roman"/>
          <w:color w:val="000000"/>
          <w:kern w:val="0"/>
          <w:sz w:val="32"/>
          <w:szCs w:val="32"/>
          <w:lang w:eastAsia="zh-CN"/>
        </w:rPr>
        <w:t>，</w:t>
      </w:r>
      <w:r>
        <w:rPr>
          <w:rFonts w:hint="eastAsia" w:ascii="仿宋_GB2312" w:eastAsia="仿宋_GB2312"/>
          <w:color w:val="000000"/>
          <w:kern w:val="0"/>
          <w:sz w:val="32"/>
          <w:szCs w:val="32"/>
        </w:rPr>
        <w:t>有力</w:t>
      </w:r>
      <w:r>
        <w:rPr>
          <w:rFonts w:hint="eastAsia" w:ascii="仿宋_GB2312" w:eastAsia="仿宋_GB2312"/>
          <w:color w:val="000000"/>
          <w:kern w:val="0"/>
          <w:sz w:val="32"/>
          <w:szCs w:val="32"/>
          <w:lang w:eastAsia="zh-CN"/>
        </w:rPr>
        <w:t>地</w:t>
      </w:r>
      <w:r>
        <w:rPr>
          <w:rFonts w:hint="eastAsia" w:ascii="仿宋_GB2312" w:eastAsia="仿宋_GB2312"/>
          <w:color w:val="000000"/>
          <w:kern w:val="0"/>
          <w:sz w:val="32"/>
          <w:szCs w:val="32"/>
        </w:rPr>
        <w:t>保障国有资产</w:t>
      </w:r>
      <w:r>
        <w:rPr>
          <w:rFonts w:hint="eastAsia" w:ascii="仿宋_GB2312" w:eastAsia="仿宋_GB2312"/>
          <w:color w:val="000000"/>
          <w:kern w:val="0"/>
          <w:sz w:val="32"/>
          <w:szCs w:val="32"/>
          <w:lang w:val="en-US" w:eastAsia="zh-CN"/>
        </w:rPr>
        <w:t>的安全完整，有效落实国有资产管理</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val="en-US" w:eastAsia="zh-CN"/>
        </w:rPr>
        <w:t>完善资产管理信息系统，建立完整的固定资产管理卡片，通过信息化传送、查看单位资产数据，为资产配置和处置等审核提供参考，为预算编制和资产采购提供依据，以存量决定增量，实现资产管理与预算管理、财务管理相结合。规范资产处置程序，明确责任，完善资产审批手续，依托社会中介机构实行公开、公正、公平地处置资产，</w:t>
      </w:r>
      <w:r>
        <w:rPr>
          <w:rFonts w:hint="eastAsia" w:ascii="仿宋_GB2312" w:eastAsia="仿宋_GB2312"/>
          <w:color w:val="000000"/>
          <w:kern w:val="0"/>
          <w:sz w:val="32"/>
          <w:szCs w:val="32"/>
        </w:rPr>
        <w:t>通过公开拍卖竞价方式处理资产，通过多方报价方式，充分利用价高者得的原则，保障处置资产的价值得到最大的增值。</w:t>
      </w:r>
      <w:r>
        <w:rPr>
          <w:rFonts w:hint="eastAsia" w:ascii="仿宋_GB2312" w:eastAsia="仿宋_GB2312"/>
          <w:color w:val="000000"/>
          <w:kern w:val="0"/>
          <w:sz w:val="32"/>
          <w:szCs w:val="32"/>
          <w:lang w:val="en-US" w:eastAsia="zh-CN"/>
        </w:rPr>
        <w:t>经自查，我局各科室</w:t>
      </w:r>
      <w:r>
        <w:rPr>
          <w:rFonts w:hint="eastAsia" w:ascii="仿宋_GB2312" w:eastAsia="仿宋_GB2312"/>
          <w:color w:val="000000"/>
          <w:kern w:val="0"/>
          <w:sz w:val="32"/>
          <w:szCs w:val="32"/>
        </w:rPr>
        <w:t>资产配置效率较高，部分</w:t>
      </w:r>
      <w:r>
        <w:rPr>
          <w:rFonts w:hint="eastAsia" w:ascii="仿宋_GB2312" w:eastAsia="仿宋_GB2312"/>
          <w:color w:val="000000"/>
          <w:kern w:val="0"/>
          <w:sz w:val="32"/>
          <w:szCs w:val="32"/>
          <w:lang w:val="en-US" w:eastAsia="zh-CN"/>
        </w:rPr>
        <w:t>科室</w:t>
      </w:r>
      <w:r>
        <w:rPr>
          <w:rFonts w:hint="eastAsia" w:ascii="仿宋_GB2312" w:eastAsia="仿宋_GB2312"/>
          <w:color w:val="000000"/>
          <w:kern w:val="0"/>
          <w:sz w:val="32"/>
          <w:szCs w:val="32"/>
        </w:rPr>
        <w:t>共享共用闲置资产，切实盘活了存量资产，提高了资产效率，固定资产总体使用率达95%以上。</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color w:val="000000"/>
          <w:kern w:val="0"/>
          <w:sz w:val="32"/>
          <w:szCs w:val="32"/>
        </w:rPr>
      </w:pPr>
      <w:r>
        <w:rPr>
          <w:rFonts w:hint="eastAsia" w:ascii="仿宋_GB2312" w:eastAsia="仿宋_GB2312"/>
          <w:b/>
          <w:color w:val="000000"/>
          <w:kern w:val="0"/>
          <w:sz w:val="32"/>
          <w:szCs w:val="32"/>
          <w:lang w:val="en-US" w:eastAsia="zh-CN"/>
        </w:rPr>
        <w:t>5</w:t>
      </w:r>
      <w:r>
        <w:rPr>
          <w:rFonts w:ascii="仿宋_GB2312" w:eastAsia="仿宋_GB2312"/>
          <w:b/>
          <w:color w:val="000000"/>
          <w:kern w:val="0"/>
          <w:sz w:val="32"/>
          <w:szCs w:val="32"/>
        </w:rPr>
        <w:t>.</w:t>
      </w:r>
      <w:r>
        <w:rPr>
          <w:rFonts w:hint="eastAsia" w:ascii="仿宋_GB2312" w:eastAsia="仿宋_GB2312"/>
          <w:b/>
          <w:color w:val="000000"/>
          <w:kern w:val="0"/>
          <w:sz w:val="32"/>
          <w:szCs w:val="32"/>
        </w:rPr>
        <w:t>人员管理</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深圳市公安局大鹏分局系统包括深圳市公安局大鹏分局本级、深圳市公安局葵冲派出所、深圳市公安局大鹏派出所、深圳市公安局南澳派出所、深圳市公安局土洋派出所共5家基层单位。系统行政编制总数233 人，实有在编人数209 人，财政供养人员控制率89.70%；年末其他人员839人，编外人员控制率80.06%；年末退休21 人，均已完成参保登记，由养老保险基金发放养老金。</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hAnsi="Times New Roman" w:eastAsia="仿宋_GB2312" w:cs="Times New Roman"/>
          <w:b/>
          <w:color w:val="000000"/>
          <w:kern w:val="0"/>
          <w:sz w:val="32"/>
          <w:szCs w:val="32"/>
        </w:rPr>
      </w:pPr>
      <w:r>
        <w:rPr>
          <w:rFonts w:hint="eastAsia" w:ascii="仿宋_GB2312" w:hAnsi="Times New Roman" w:eastAsia="仿宋_GB2312" w:cs="Times New Roman"/>
          <w:b/>
          <w:color w:val="000000"/>
          <w:kern w:val="0"/>
          <w:sz w:val="32"/>
          <w:szCs w:val="32"/>
          <w:lang w:val="en-US" w:eastAsia="zh-CN"/>
        </w:rPr>
        <w:t>6</w:t>
      </w:r>
      <w:r>
        <w:rPr>
          <w:rFonts w:ascii="仿宋_GB2312" w:hAnsi="Times New Roman" w:eastAsia="仿宋_GB2312" w:cs="Times New Roman"/>
          <w:b/>
          <w:color w:val="000000"/>
          <w:kern w:val="0"/>
          <w:sz w:val="32"/>
          <w:szCs w:val="32"/>
        </w:rPr>
        <w:t>.</w:t>
      </w:r>
      <w:r>
        <w:rPr>
          <w:rFonts w:hint="eastAsia" w:ascii="仿宋_GB2312" w:hAnsi="Times New Roman" w:eastAsia="仿宋_GB2312" w:cs="Times New Roman"/>
          <w:b/>
          <w:color w:val="000000"/>
          <w:kern w:val="0"/>
          <w:sz w:val="32"/>
          <w:szCs w:val="32"/>
        </w:rPr>
        <w:t>制度管理</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为规范新区公安系统财务管理，我局建立了较为完善的财务管理制度，规定凡是大额开支必须同局党委集体研究决定。严格按照制定的制度执行，加强对各科室及下属单位财务开支的管控，做到在日常工作能时时刻刻按规则办理，不违规不违纪。同时分层监督、强化各部门、各单位对规章制度的执行力度，把“提升执行力”作为日常管理的一项重点工作来推进，做到有令则行，有禁则止。并把各科室及下属单位主要负责人的绩效与制度执行的质量相挂钩，加强对制度执行的有效管控，建立问责机制，对未按规定执行的在扣除绩效的同时一并进行追责。</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同时，我局贯彻落实《关于全面推进行政事业单位内部控制建设的指导意见》（财会</w:t>
      </w:r>
      <w:r>
        <w:rPr>
          <w:rFonts w:hint="eastAsia" w:ascii="微软雅黑" w:hAnsi="微软雅黑" w:eastAsia="微软雅黑" w:cs="微软雅黑"/>
          <w:color w:val="000000"/>
          <w:kern w:val="0"/>
          <w:sz w:val="32"/>
          <w:szCs w:val="32"/>
          <w:lang w:val="en-US" w:eastAsia="zh-CN"/>
        </w:rPr>
        <w:t>〔</w:t>
      </w:r>
      <w:r>
        <w:rPr>
          <w:rFonts w:hint="eastAsia" w:ascii="仿宋_GB2312" w:hAnsi="Times New Roman" w:eastAsia="仿宋_GB2312" w:cs="Times New Roman"/>
          <w:color w:val="000000"/>
          <w:kern w:val="0"/>
          <w:sz w:val="32"/>
          <w:szCs w:val="32"/>
          <w:lang w:val="en-US" w:eastAsia="zh-CN"/>
        </w:rPr>
        <w:t>2015</w:t>
      </w:r>
      <w:r>
        <w:rPr>
          <w:rFonts w:hint="eastAsia" w:ascii="微软雅黑" w:hAnsi="微软雅黑" w:eastAsia="微软雅黑" w:cs="微软雅黑"/>
          <w:color w:val="000000"/>
          <w:kern w:val="0"/>
          <w:sz w:val="32"/>
          <w:szCs w:val="32"/>
          <w:lang w:val="en-US" w:eastAsia="zh-CN"/>
        </w:rPr>
        <w:t>〕</w:t>
      </w:r>
      <w:r>
        <w:rPr>
          <w:rFonts w:hint="eastAsia" w:ascii="仿宋_GB2312" w:hAnsi="Times New Roman" w:eastAsia="仿宋_GB2312" w:cs="Times New Roman"/>
          <w:color w:val="000000"/>
          <w:kern w:val="0"/>
          <w:sz w:val="32"/>
          <w:szCs w:val="32"/>
          <w:lang w:val="en-US" w:eastAsia="zh-CN"/>
        </w:rPr>
        <w:t>24号）文件精神，积极推进内部控制建设，在预算管理、收支管理、政府采购管理、资产管理、工程项目管理、合同管理、会议管理等业务活动方面建立了较为完善的内部控制制度，规范了我局内部经济和业务活动，强化了对局内权力运行的制约，防止了内部权力滥用，建立健全了科学高效的制约和监督体系，促进我局公共服务效能和内部治理水平不断提高。</w:t>
      </w:r>
    </w:p>
    <w:p>
      <w:pPr>
        <w:keepNext w:val="0"/>
        <w:keepLines w:val="0"/>
        <w:pageBreakBefore w:val="0"/>
        <w:widowControl w:val="0"/>
        <w:kinsoku/>
        <w:wordWrap/>
        <w:overflowPunct/>
        <w:topLinePunct w:val="0"/>
        <w:bidi w:val="0"/>
        <w:snapToGrid/>
        <w:spacing w:line="240" w:lineRule="auto"/>
        <w:ind w:firstLine="627" w:firstLineChars="196"/>
        <w:textAlignment w:val="auto"/>
        <w:rPr>
          <w:rFonts w:ascii="黑体" w:hAnsi="黑体" w:eastAsia="黑体"/>
          <w:sz w:val="32"/>
          <w:szCs w:val="32"/>
        </w:rPr>
      </w:pPr>
      <w:r>
        <w:rPr>
          <w:rFonts w:hint="eastAsia" w:ascii="黑体" w:hAnsi="黑体" w:eastAsia="黑体"/>
          <w:sz w:val="32"/>
          <w:szCs w:val="32"/>
        </w:rPr>
        <w:t>二、部门（单位）主要履职绩效分析</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楷体" w:hAnsi="楷体" w:eastAsia="楷体"/>
          <w:b/>
          <w:bCs/>
          <w:sz w:val="32"/>
          <w:szCs w:val="32"/>
        </w:rPr>
      </w:pPr>
      <w:r>
        <w:rPr>
          <w:rFonts w:hint="eastAsia" w:ascii="楷体" w:hAnsi="楷体" w:eastAsia="楷体"/>
          <w:b/>
          <w:bCs/>
          <w:sz w:val="32"/>
          <w:szCs w:val="32"/>
        </w:rPr>
        <w:t>（一）主要履职目标</w:t>
      </w:r>
    </w:p>
    <w:p>
      <w:pPr>
        <w:keepNext w:val="0"/>
        <w:keepLines w:val="0"/>
        <w:pageBreakBefore w:val="0"/>
        <w:widowControl w:val="0"/>
        <w:kinsoku/>
        <w:wordWrap/>
        <w:overflowPunct/>
        <w:topLinePunct w:val="0"/>
        <w:bidi w:val="0"/>
        <w:snapToGrid/>
        <w:spacing w:beforeLines="50" w:afterLines="50" w:line="240" w:lineRule="auto"/>
        <w:ind w:firstLine="640" w:firstLineChars="200"/>
        <w:textAlignment w:val="auto"/>
        <w:rPr>
          <w:rFonts w:hint="eastAsia" w:ascii="仿宋_GB2312" w:eastAsia="仿宋_GB2312"/>
          <w:color w:val="000000"/>
          <w:kern w:val="0"/>
          <w:sz w:val="32"/>
          <w:szCs w:val="32"/>
          <w:lang w:eastAsia="zh-CN"/>
        </w:rPr>
      </w:pPr>
      <w:r>
        <w:rPr>
          <w:rFonts w:hint="eastAsia" w:ascii="仿宋_GB2312" w:hAnsi="Times New Roman" w:eastAsia="仿宋_GB2312" w:cs="Times New Roman"/>
          <w:color w:val="000000"/>
          <w:kern w:val="0"/>
          <w:sz w:val="32"/>
          <w:szCs w:val="32"/>
          <w:lang w:val="en-US" w:eastAsia="zh-CN"/>
        </w:rPr>
        <w:t>2020年，我局继续坚持</w:t>
      </w:r>
      <w:r>
        <w:rPr>
          <w:rFonts w:hint="eastAsia" w:ascii="仿宋_GB2312" w:hAnsi="Times New Roman" w:eastAsia="仿宋_GB2312" w:cs="Times New Roman"/>
          <w:color w:val="000000"/>
          <w:kern w:val="0"/>
          <w:sz w:val="32"/>
          <w:szCs w:val="32"/>
        </w:rPr>
        <w:t>区委</w:t>
      </w:r>
      <w:r>
        <w:rPr>
          <w:rFonts w:hint="eastAsia" w:ascii="仿宋_GB2312"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区政府和市公安局党委的坚强领导，</w:t>
      </w:r>
      <w:r>
        <w:rPr>
          <w:rFonts w:hint="eastAsia" w:ascii="仿宋_GB2312" w:hAnsi="Times New Roman" w:eastAsia="仿宋_GB2312" w:cs="Times New Roman"/>
          <w:color w:val="000000"/>
          <w:kern w:val="0"/>
          <w:sz w:val="32"/>
          <w:szCs w:val="32"/>
          <w:lang w:val="en-US" w:eastAsia="zh-CN"/>
        </w:rPr>
        <w:t>保持</w:t>
      </w:r>
      <w:r>
        <w:rPr>
          <w:rFonts w:hint="eastAsia" w:ascii="仿宋_GB2312" w:hAnsi="Times New Roman" w:eastAsia="仿宋_GB2312" w:cs="Times New Roman"/>
          <w:color w:val="000000"/>
          <w:kern w:val="0"/>
          <w:sz w:val="32"/>
          <w:szCs w:val="32"/>
        </w:rPr>
        <w:t>我区公安工作始终坚持正确的政治方向和发展道路，坚持稳中求进、提质增效总基调</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保障</w:t>
      </w:r>
      <w:r>
        <w:rPr>
          <w:rFonts w:hint="eastAsia" w:ascii="仿宋_GB2312" w:hAnsi="Times New Roman" w:eastAsia="仿宋_GB2312" w:cs="Times New Roman"/>
          <w:color w:val="000000"/>
          <w:kern w:val="0"/>
          <w:sz w:val="32"/>
          <w:szCs w:val="32"/>
        </w:rPr>
        <w:t>全区社会大局安全稳定</w:t>
      </w:r>
      <w:r>
        <w:rPr>
          <w:rFonts w:hint="eastAsia" w:ascii="仿宋_GB2312"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治安形势持续向好。</w:t>
      </w:r>
      <w:r>
        <w:rPr>
          <w:rFonts w:hint="eastAsia" w:ascii="仿宋_GB2312" w:hAnsi="Times New Roman" w:eastAsia="仿宋_GB2312" w:cs="Times New Roman"/>
          <w:color w:val="000000"/>
          <w:kern w:val="0"/>
          <w:sz w:val="32"/>
          <w:szCs w:val="32"/>
          <w:lang w:val="en-US" w:eastAsia="zh-CN"/>
        </w:rPr>
        <w:t>因此，我局2020年主要履职目标是：</w:t>
      </w:r>
      <w:r>
        <w:rPr>
          <w:rFonts w:hint="eastAsia" w:ascii="仿宋_GB2312" w:eastAsia="仿宋_GB2312"/>
          <w:color w:val="000000"/>
          <w:kern w:val="0"/>
          <w:sz w:val="32"/>
          <w:szCs w:val="32"/>
          <w:lang w:eastAsia="zh-CN"/>
        </w:rPr>
        <w:t>坚决维护社会稳定；强化社会治安防控；严厉打击突出犯罪；提升服务管理职能；提高规范执法水平；加强信息化警务建设；加强队伍精细化管理；深化警务改革创新；进一步推进派出所规范化建设；进一步构建东部海防“铜墙铁壁”；进一步加强智慧新警务建设；</w:t>
      </w:r>
      <w:r>
        <w:rPr>
          <w:rFonts w:hint="eastAsia" w:ascii="仿宋_GB2312" w:eastAsia="仿宋_GB2312"/>
          <w:color w:val="000000"/>
          <w:kern w:val="0"/>
          <w:sz w:val="32"/>
          <w:szCs w:val="32"/>
          <w:lang w:val="en-US" w:eastAsia="zh-CN"/>
        </w:rPr>
        <w:t>优化以“义警”为核心的群防群治模式；开展民宿综合治理创新实践；</w:t>
      </w:r>
      <w:r>
        <w:rPr>
          <w:rFonts w:hint="eastAsia" w:ascii="仿宋_GB2312" w:eastAsia="仿宋_GB2312"/>
          <w:color w:val="000000"/>
          <w:kern w:val="0"/>
          <w:sz w:val="32"/>
          <w:szCs w:val="32"/>
          <w:lang w:eastAsia="zh-CN"/>
        </w:rPr>
        <w:t>进一步加快推进营房建设。</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楷体" w:hAnsi="楷体" w:eastAsia="楷体"/>
          <w:b/>
          <w:bCs/>
          <w:sz w:val="32"/>
          <w:szCs w:val="32"/>
        </w:rPr>
      </w:pPr>
      <w:r>
        <w:rPr>
          <w:rFonts w:hint="eastAsia" w:ascii="仿宋_GB2312" w:eastAsia="仿宋_GB2312"/>
          <w:color w:val="000000"/>
          <w:kern w:val="0"/>
          <w:sz w:val="32"/>
          <w:szCs w:val="32"/>
        </w:rPr>
        <w:t xml:space="preserve"> </w:t>
      </w:r>
      <w:r>
        <w:rPr>
          <w:rFonts w:hint="eastAsia" w:ascii="楷体" w:hAnsi="楷体" w:eastAsia="楷体"/>
          <w:b/>
          <w:bCs/>
          <w:sz w:val="32"/>
          <w:szCs w:val="32"/>
        </w:rPr>
        <w:t>（二）主要履职情况</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0" w:firstLineChars="200"/>
        <w:jc w:val="both"/>
        <w:textAlignment w:val="auto"/>
        <w:rPr>
          <w:rFonts w:hint="eastAsia" w:ascii="仿宋_GB2312" w:hAnsi="Times New Roman" w:eastAsia="仿宋_GB2312" w:cs="宋体"/>
          <w:kern w:val="0"/>
          <w:sz w:val="32"/>
          <w:szCs w:val="32"/>
          <w:lang w:val="zh-CN"/>
        </w:rPr>
      </w:pPr>
      <w:r>
        <w:rPr>
          <w:rFonts w:hint="eastAsia" w:ascii="仿宋_GB2312" w:hAnsi="Times New Roman" w:eastAsia="仿宋_GB2312" w:cs="宋体"/>
          <w:kern w:val="0"/>
          <w:sz w:val="32"/>
          <w:szCs w:val="32"/>
          <w:lang w:val="en-US" w:eastAsia="zh-CN"/>
        </w:rPr>
        <w:t>2020</w:t>
      </w:r>
      <w:r>
        <w:rPr>
          <w:rFonts w:hint="eastAsia" w:ascii="仿宋_GB2312" w:hAnsi="Times New Roman" w:eastAsia="仿宋_GB2312" w:cs="宋体"/>
          <w:kern w:val="0"/>
          <w:sz w:val="32"/>
          <w:szCs w:val="32"/>
          <w:lang w:val="zh-CN"/>
        </w:rPr>
        <w:t>年，</w:t>
      </w:r>
      <w:r>
        <w:rPr>
          <w:rFonts w:hint="eastAsia" w:ascii="仿宋_GB2312" w:hAnsi="Times New Roman" w:eastAsia="仿宋_GB2312" w:cs="宋体"/>
          <w:kern w:val="0"/>
          <w:sz w:val="32"/>
          <w:szCs w:val="32"/>
          <w:lang w:val="en-US" w:eastAsia="zh-CN"/>
        </w:rPr>
        <w:t>我局</w:t>
      </w:r>
      <w:r>
        <w:rPr>
          <w:rFonts w:hint="eastAsia" w:ascii="仿宋_GB2312" w:hAnsi="Times New Roman" w:eastAsia="仿宋_GB2312" w:cs="宋体"/>
          <w:kern w:val="0"/>
          <w:sz w:val="32"/>
          <w:szCs w:val="32"/>
          <w:lang w:val="zh-CN"/>
        </w:rPr>
        <w:t>坚持以习近平新时代中国特色社会主义思想为指导，深入贯彻习近平总书记在全国公安工作</w:t>
      </w:r>
      <w:r>
        <w:rPr>
          <w:rFonts w:hint="eastAsia" w:ascii="仿宋_GB2312" w:eastAsia="仿宋_GB2312" w:cs="宋体"/>
          <w:kern w:val="0"/>
          <w:sz w:val="32"/>
          <w:szCs w:val="32"/>
          <w:lang w:val="zh-CN"/>
        </w:rPr>
        <w:t>会议</w:t>
      </w:r>
      <w:r>
        <w:rPr>
          <w:rFonts w:hint="eastAsia" w:ascii="仿宋_GB2312" w:hAnsi="Times New Roman" w:eastAsia="仿宋_GB2312" w:cs="宋体"/>
          <w:kern w:val="0"/>
          <w:sz w:val="32"/>
          <w:szCs w:val="32"/>
          <w:lang w:val="zh-CN"/>
        </w:rPr>
        <w:t>上的重要讲话精神，在市公安局和区委</w:t>
      </w:r>
      <w:r>
        <w:rPr>
          <w:rFonts w:hint="eastAsia" w:ascii="仿宋_GB2312" w:eastAsia="仿宋_GB2312" w:cs="宋体"/>
          <w:kern w:val="0"/>
          <w:sz w:val="32"/>
          <w:szCs w:val="32"/>
          <w:lang w:val="zh-CN"/>
        </w:rPr>
        <w:t>、</w:t>
      </w:r>
      <w:r>
        <w:rPr>
          <w:rFonts w:hint="eastAsia" w:ascii="仿宋_GB2312" w:hAnsi="Times New Roman" w:eastAsia="仿宋_GB2312" w:cs="宋体"/>
          <w:kern w:val="0"/>
          <w:sz w:val="32"/>
          <w:szCs w:val="32"/>
          <w:lang w:val="zh-CN"/>
        </w:rPr>
        <w:t>区政府坚强领导下</w:t>
      </w:r>
      <w:r>
        <w:rPr>
          <w:rFonts w:hint="eastAsia" w:ascii="仿宋_GB2312" w:eastAsia="仿宋_GB2312" w:cs="宋体"/>
          <w:kern w:val="0"/>
          <w:sz w:val="32"/>
          <w:szCs w:val="32"/>
          <w:lang w:val="zh-CN"/>
        </w:rPr>
        <w:t>，</w:t>
      </w:r>
      <w:r>
        <w:rPr>
          <w:rFonts w:hint="eastAsia" w:ascii="仿宋_GB2312" w:hAnsi="Times New Roman" w:eastAsia="仿宋_GB2312" w:cs="宋体"/>
          <w:kern w:val="0"/>
          <w:sz w:val="32"/>
          <w:szCs w:val="32"/>
          <w:lang w:val="zh-CN"/>
        </w:rPr>
        <w:t>以</w:t>
      </w:r>
      <w:r>
        <w:rPr>
          <w:rFonts w:hint="eastAsia" w:ascii="仿宋_GB2312" w:hAnsi="Times New Roman" w:eastAsia="仿宋_GB2312" w:cs="宋体"/>
          <w:kern w:val="0"/>
          <w:sz w:val="32"/>
          <w:szCs w:val="32"/>
          <w:lang w:val="en-US" w:eastAsia="zh-CN"/>
        </w:rPr>
        <w:t>新区安全</w:t>
      </w:r>
      <w:r>
        <w:rPr>
          <w:rFonts w:hint="eastAsia" w:ascii="仿宋_GB2312" w:hAnsi="Times New Roman" w:eastAsia="仿宋_GB2312" w:cs="宋体"/>
          <w:kern w:val="0"/>
          <w:sz w:val="32"/>
          <w:szCs w:val="32"/>
          <w:lang w:val="zh-CN"/>
        </w:rPr>
        <w:t>维稳和疫情防控为主线</w:t>
      </w:r>
      <w:r>
        <w:rPr>
          <w:rFonts w:hint="eastAsia" w:ascii="仿宋_GB2312" w:eastAsia="仿宋_GB2312" w:cs="宋体"/>
          <w:kern w:val="0"/>
          <w:sz w:val="32"/>
          <w:szCs w:val="32"/>
          <w:lang w:val="zh-CN"/>
        </w:rPr>
        <w:t>，</w:t>
      </w:r>
      <w:r>
        <w:rPr>
          <w:rFonts w:hint="eastAsia" w:ascii="仿宋_GB2312" w:hAnsi="Times New Roman" w:eastAsia="仿宋_GB2312" w:cs="宋体"/>
          <w:kern w:val="0"/>
          <w:sz w:val="32"/>
          <w:szCs w:val="32"/>
          <w:lang w:val="zh-CN"/>
        </w:rPr>
        <w:t>狠抓各项工作</w:t>
      </w:r>
      <w:r>
        <w:rPr>
          <w:rFonts w:hint="eastAsia" w:ascii="仿宋_GB2312" w:eastAsia="仿宋_GB2312" w:cs="宋体"/>
          <w:kern w:val="0"/>
          <w:sz w:val="32"/>
          <w:szCs w:val="32"/>
          <w:lang w:val="zh-CN"/>
        </w:rPr>
        <w:t>，</w:t>
      </w:r>
      <w:r>
        <w:rPr>
          <w:rFonts w:hint="eastAsia" w:ascii="仿宋_GB2312" w:hAnsi="Times New Roman" w:eastAsia="仿宋_GB2312" w:cs="宋体"/>
          <w:kern w:val="0"/>
          <w:sz w:val="32"/>
          <w:szCs w:val="32"/>
          <w:lang w:val="zh-CN"/>
        </w:rPr>
        <w:t>为</w:t>
      </w:r>
      <w:r>
        <w:rPr>
          <w:rFonts w:hint="eastAsia" w:ascii="仿宋_GB2312" w:hAnsi="Times New Roman" w:eastAsia="仿宋_GB2312" w:cs="宋体"/>
          <w:kern w:val="0"/>
          <w:sz w:val="32"/>
          <w:szCs w:val="32"/>
          <w:lang w:val="en-US" w:eastAsia="zh-CN"/>
        </w:rPr>
        <w:t>大鹏新区</w:t>
      </w:r>
      <w:r>
        <w:rPr>
          <w:rFonts w:hint="eastAsia" w:ascii="仿宋_GB2312" w:hAnsi="Times New Roman" w:eastAsia="仿宋_GB2312" w:cs="宋体"/>
          <w:kern w:val="0"/>
          <w:sz w:val="32"/>
          <w:szCs w:val="32"/>
          <w:lang w:val="zh-CN"/>
        </w:rPr>
        <w:t>创造平安有序的社会治安环境。</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一是</w:t>
      </w:r>
      <w:r>
        <w:rPr>
          <w:rFonts w:hint="eastAsia" w:ascii="仿宋_GB2312" w:eastAsia="仿宋_GB2312" w:cs="宋体"/>
          <w:b/>
          <w:bCs/>
          <w:kern w:val="0"/>
          <w:sz w:val="32"/>
          <w:szCs w:val="32"/>
          <w:lang w:val="zh-CN"/>
        </w:rPr>
        <w:t>确保了新区政治安全和大局稳定。</w:t>
      </w:r>
      <w:r>
        <w:rPr>
          <w:rFonts w:hint="eastAsia" w:ascii="仿宋_GB2312" w:eastAsia="仿宋_GB2312" w:cs="宋体"/>
          <w:kern w:val="0"/>
          <w:sz w:val="32"/>
          <w:szCs w:val="32"/>
          <w:lang w:val="zh-CN"/>
        </w:rPr>
        <w:t>圆满完成特区建立40周年、十九届五中全会等重大安保任务，全年未发生危害政治安全的重大敏感案事件，未发生暴恐袭击和个人极端事件，未发生聚集性越级上访事件。社会治安形势继续稳中向好，刑事治安警情同比下降10.3%，“两抢”警情历史性实现零发案。第三方调查结果显示，新区99.7%的群众肯定治安环境。</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二是</w:t>
      </w:r>
      <w:r>
        <w:rPr>
          <w:rFonts w:hint="eastAsia" w:ascii="仿宋_GB2312" w:eastAsia="仿宋_GB2312" w:cs="宋体"/>
          <w:b/>
          <w:bCs/>
          <w:kern w:val="0"/>
          <w:sz w:val="32"/>
          <w:szCs w:val="32"/>
          <w:lang w:val="zh-CN"/>
        </w:rPr>
        <w:t>保障了疫情防控始终掌握主动权。</w:t>
      </w:r>
      <w:r>
        <w:rPr>
          <w:rFonts w:hint="eastAsia" w:ascii="仿宋_GB2312" w:eastAsia="仿宋_GB2312" w:cs="宋体"/>
          <w:kern w:val="0"/>
          <w:sz w:val="32"/>
          <w:szCs w:val="32"/>
          <w:lang w:val="zh-CN"/>
        </w:rPr>
        <w:t>面对陆海两路疫情输入风险，以非常之举应对非常之事，在各个阶段做到了早谋划、早部署、早行动，确保了涉疫线索100%落地核查、涉疫警情100%妥善处置、涉疫违法100%打击处理，全区除1月底2名武汉游客确诊外，陆海两路疫情“零输入、零传染”，集中隔离场所“零事故、零投诉”，涉疫敏感案事件“零差错、零上访”，队伍内部管理“零确诊、零暴雷”。</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三是</w:t>
      </w:r>
      <w:r>
        <w:rPr>
          <w:rFonts w:hint="eastAsia" w:ascii="仿宋_GB2312" w:eastAsia="仿宋_GB2312" w:cs="宋体"/>
          <w:b/>
          <w:bCs/>
          <w:kern w:val="0"/>
          <w:sz w:val="32"/>
          <w:szCs w:val="32"/>
          <w:lang w:val="zh-CN"/>
        </w:rPr>
        <w:t>取得了海防打私综合治理良好开局。</w:t>
      </w:r>
      <w:r>
        <w:rPr>
          <w:rFonts w:hint="eastAsia" w:ascii="仿宋_GB2312" w:eastAsia="仿宋_GB2312" w:cs="宋体"/>
          <w:kern w:val="0"/>
          <w:sz w:val="32"/>
          <w:szCs w:val="32"/>
          <w:lang w:val="zh-CN"/>
        </w:rPr>
        <w:t>推动新区海防打私工作“从无到有、从弱到精”，组织机构和工作机制进一步健全完善，基础设施和执法力量进一步改善提升，“党政军警民”五位一体海防打私工作格局初步形成。强力推进“2020净海</w:t>
      </w:r>
      <w:r>
        <w:rPr>
          <w:rFonts w:hint="eastAsia" w:ascii="仿宋_GB2312" w:eastAsia="仿宋_GB2312" w:cs="宋体"/>
          <w:kern w:val="0"/>
          <w:sz w:val="32"/>
          <w:szCs w:val="32"/>
          <w:lang w:val="en-US" w:eastAsia="zh-CN"/>
        </w:rPr>
        <w:t>-</w:t>
      </w:r>
      <w:r>
        <w:rPr>
          <w:rFonts w:hint="eastAsia" w:ascii="仿宋_GB2312" w:eastAsia="仿宋_GB2312" w:cs="宋体"/>
          <w:kern w:val="0"/>
          <w:sz w:val="32"/>
          <w:szCs w:val="32"/>
          <w:lang w:val="zh-CN"/>
        </w:rPr>
        <w:t>40”“净港清湾”“清边固防”等专项工作，常态开展多部门海上联合执法行动和涉海集中清查，为大鹏海域长期保持平稳奠定了坚实基础。伟中书记、如桂市长、国周局长等领导多次批示肯定。</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四是</w:t>
      </w:r>
      <w:r>
        <w:rPr>
          <w:rFonts w:hint="eastAsia" w:ascii="仿宋_GB2312" w:eastAsia="仿宋_GB2312" w:cs="宋体"/>
          <w:b/>
          <w:bCs/>
          <w:kern w:val="0"/>
          <w:sz w:val="32"/>
          <w:szCs w:val="32"/>
          <w:lang w:val="zh-CN"/>
        </w:rPr>
        <w:t>完成了扫黑除恶专项斗争预期目标。</w:t>
      </w:r>
      <w:r>
        <w:rPr>
          <w:rFonts w:hint="eastAsia" w:ascii="仿宋_GB2312" w:eastAsia="仿宋_GB2312" w:cs="宋体"/>
          <w:kern w:val="0"/>
          <w:sz w:val="32"/>
          <w:szCs w:val="32"/>
          <w:lang w:val="zh-CN"/>
        </w:rPr>
        <w:t>紧扣三年总目标和今年“深挖整治”“长效常治”目标任务，侦破各类涉黑恶刑事案件101宗，打掉恶势力犯罪集团4个、一般犯罪团伙25个，刑拘219人，逮捕174人，破获一批有较大影响力的精品案件，顺利实现线索“清仓”、逃犯“清零”、案件“清结”、行业“清源”，涉黑涉恶重点地区、治安乱点得到全面整治，人民群众获得感、幸福感、安全感进一步提升。</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五是</w:t>
      </w:r>
      <w:r>
        <w:rPr>
          <w:rFonts w:hint="eastAsia" w:ascii="仿宋_GB2312" w:eastAsia="仿宋_GB2312" w:cs="宋体"/>
          <w:b/>
          <w:bCs/>
          <w:kern w:val="0"/>
          <w:sz w:val="32"/>
          <w:szCs w:val="32"/>
          <w:lang w:val="zh-CN"/>
        </w:rPr>
        <w:t>提升了全局刑事打击综合工作效能。</w:t>
      </w:r>
      <w:r>
        <w:rPr>
          <w:rFonts w:hint="eastAsia" w:ascii="仿宋_GB2312" w:eastAsia="仿宋_GB2312" w:cs="宋体"/>
          <w:kern w:val="0"/>
          <w:sz w:val="32"/>
          <w:szCs w:val="32"/>
          <w:lang w:val="zh-CN"/>
        </w:rPr>
        <w:t>刑侦大练兵战果转化明显，圆满完成命案攻坚、“护苗”“国门利剑”“一长四必”“三大会战”等专项行动。全链条破获裸聊敲诈勒索案，侦破全市首宗游艇涉毒案，抓获1名潜逃12年的命案逃犯，侦破1宗22年的命案积案。首个区级毛发初筛实验室和派出所临时毛发检测站投入实战，有效推进隐性吸毒人员的排查管控。新区是全市全民禁毒工程未被整治和关注的两个区之一。</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六是</w:t>
      </w:r>
      <w:r>
        <w:rPr>
          <w:rFonts w:hint="eastAsia" w:ascii="仿宋_GB2312" w:eastAsia="仿宋_GB2312" w:cs="宋体"/>
          <w:b/>
          <w:bCs/>
          <w:kern w:val="0"/>
          <w:sz w:val="32"/>
          <w:szCs w:val="32"/>
          <w:lang w:val="zh-CN"/>
        </w:rPr>
        <w:t>增强了社会治安动态预警力管控力。</w:t>
      </w:r>
      <w:r>
        <w:rPr>
          <w:rFonts w:hint="eastAsia" w:ascii="仿宋_GB2312" w:eastAsia="仿宋_GB2312" w:cs="宋体"/>
          <w:kern w:val="0"/>
          <w:sz w:val="32"/>
          <w:szCs w:val="32"/>
          <w:lang w:val="zh-CN"/>
        </w:rPr>
        <w:t>坚持源头防范，注重防患未然，紧密结合大鹏的实际特点，对街面巡逻体系进行了系统性优化，路面见警率和管事率进一步提升。重点单位和重点行业阵地建设进一步增强，开展山海救援82次，救助209人。创新打造“平安景区建设鹏城模式”“平安工厂建设比亚迪模式”“平安社区建设官湖模式”“岸线联防联控南澳模式”，平安建设水平进一步提高。</w:t>
      </w:r>
    </w:p>
    <w:p>
      <w:pPr>
        <w:keepNext w:val="0"/>
        <w:keepLines w:val="0"/>
        <w:pageBreakBefore w:val="0"/>
        <w:widowControl w:val="0"/>
        <w:kinsoku/>
        <w:wordWrap/>
        <w:overflowPunct/>
        <w:topLinePunct w:val="0"/>
        <w:autoSpaceDE w:val="0"/>
        <w:autoSpaceDN w:val="0"/>
        <w:bidi w:val="0"/>
        <w:adjustRightInd w:val="0"/>
        <w:snapToGrid/>
        <w:spacing w:line="240" w:lineRule="auto"/>
        <w:ind w:left="200" w:firstLine="643" w:firstLineChars="200"/>
        <w:jc w:val="both"/>
        <w:textAlignment w:val="auto"/>
        <w:rPr>
          <w:rFonts w:hint="eastAsia" w:ascii="仿宋_GB2312" w:eastAsia="仿宋_GB2312" w:cs="宋体"/>
          <w:kern w:val="0"/>
          <w:sz w:val="32"/>
          <w:szCs w:val="32"/>
          <w:lang w:val="zh-CN"/>
        </w:rPr>
      </w:pPr>
      <w:r>
        <w:rPr>
          <w:rFonts w:hint="eastAsia" w:ascii="仿宋_GB2312" w:eastAsia="仿宋_GB2312" w:cs="宋体"/>
          <w:b/>
          <w:bCs/>
          <w:kern w:val="0"/>
          <w:sz w:val="32"/>
          <w:szCs w:val="32"/>
          <w:lang w:val="en-US" w:eastAsia="zh-CN"/>
        </w:rPr>
        <w:t>七是</w:t>
      </w:r>
      <w:r>
        <w:rPr>
          <w:rFonts w:hint="eastAsia" w:ascii="仿宋_GB2312" w:eastAsia="仿宋_GB2312" w:cs="宋体"/>
          <w:b/>
          <w:bCs/>
          <w:kern w:val="0"/>
          <w:sz w:val="32"/>
          <w:szCs w:val="32"/>
          <w:lang w:val="zh-CN"/>
        </w:rPr>
        <w:t>积蓄了民警队伍长远发展的势能。</w:t>
      </w:r>
      <w:r>
        <w:rPr>
          <w:rFonts w:hint="eastAsia" w:ascii="仿宋_GB2312" w:eastAsia="仿宋_GB2312" w:cs="宋体"/>
          <w:kern w:val="0"/>
          <w:sz w:val="32"/>
          <w:szCs w:val="32"/>
          <w:lang w:val="zh-CN"/>
        </w:rPr>
        <w:t>队伍忠诚政治品格进一步淬炼，思想政治建设迈上新台阶，党建责任体系建设开创新亮点，基层党组织建设取得新进展，党风廉政建设和作风建设取得新成效，全局干事创业的氛围更加浓厚。全局8个集体、76人次立功受奖，40人次获功勋奖章，全局警官和民警未发生违法违纪现象，无一人被采取刑事和行政强制措施，无一人被纪委监委立案调查。</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color w:val="000000"/>
          <w:kern w:val="0"/>
          <w:sz w:val="32"/>
          <w:szCs w:val="32"/>
        </w:rPr>
      </w:pPr>
      <w:r>
        <w:rPr>
          <w:rFonts w:hint="eastAsia" w:ascii="楷体" w:hAnsi="楷体" w:eastAsia="楷体"/>
          <w:b/>
          <w:bCs/>
          <w:sz w:val="32"/>
          <w:szCs w:val="32"/>
        </w:rPr>
        <w:t>（</w:t>
      </w:r>
      <w:r>
        <w:rPr>
          <w:rFonts w:hint="eastAsia" w:ascii="仿宋_GB2312" w:eastAsia="仿宋_GB2312"/>
          <w:b/>
          <w:color w:val="000000"/>
          <w:kern w:val="0"/>
          <w:sz w:val="32"/>
          <w:szCs w:val="32"/>
        </w:rPr>
        <w:t>三）部门履职绩效情况。</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color w:val="000000"/>
          <w:kern w:val="0"/>
          <w:sz w:val="32"/>
          <w:szCs w:val="32"/>
        </w:rPr>
      </w:pPr>
      <w:r>
        <w:rPr>
          <w:rFonts w:ascii="仿宋_GB2312" w:eastAsia="仿宋_GB2312"/>
          <w:b/>
          <w:color w:val="000000"/>
          <w:kern w:val="0"/>
          <w:sz w:val="32"/>
          <w:szCs w:val="32"/>
        </w:rPr>
        <w:t xml:space="preserve">1. </w:t>
      </w:r>
      <w:r>
        <w:rPr>
          <w:rFonts w:hint="eastAsia" w:ascii="仿宋_GB2312" w:eastAsia="仿宋_GB2312"/>
          <w:b/>
          <w:color w:val="000000"/>
          <w:kern w:val="0"/>
          <w:sz w:val="32"/>
          <w:szCs w:val="32"/>
        </w:rPr>
        <w:t>经济性</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rPr>
        <w:t>（</w:t>
      </w:r>
      <w:r>
        <w:rPr>
          <w:rFonts w:ascii="仿宋_GB2312" w:eastAsia="仿宋_GB2312"/>
          <w:color w:val="000000"/>
          <w:kern w:val="0"/>
          <w:sz w:val="32"/>
          <w:szCs w:val="32"/>
        </w:rPr>
        <w:t>1</w:t>
      </w:r>
      <w:r>
        <w:rPr>
          <w:rFonts w:hint="eastAsia" w:ascii="仿宋_GB2312" w:eastAsia="仿宋_GB2312"/>
          <w:color w:val="000000"/>
          <w:kern w:val="0"/>
          <w:sz w:val="32"/>
          <w:szCs w:val="32"/>
        </w:rPr>
        <w:t>）“三公”经费控制率</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rPr>
        <w:t>2020年度</w:t>
      </w:r>
      <w:r>
        <w:rPr>
          <w:rFonts w:hint="eastAsia" w:ascii="仿宋_GB2312" w:eastAsia="仿宋_GB2312"/>
          <w:color w:val="000000"/>
          <w:kern w:val="0"/>
          <w:sz w:val="32"/>
          <w:szCs w:val="32"/>
          <w:lang w:eastAsia="zh-CN"/>
        </w:rPr>
        <w:t>我局</w:t>
      </w:r>
      <w:r>
        <w:rPr>
          <w:rFonts w:hint="eastAsia" w:ascii="仿宋_GB2312" w:eastAsia="仿宋_GB2312"/>
          <w:color w:val="000000"/>
          <w:kern w:val="0"/>
          <w:sz w:val="32"/>
          <w:szCs w:val="32"/>
        </w:rPr>
        <w:t>三公经费预算金额</w:t>
      </w:r>
      <w:r>
        <w:rPr>
          <w:rFonts w:hint="eastAsia" w:ascii="仿宋_GB2312" w:eastAsia="仿宋_GB2312"/>
          <w:color w:val="000000"/>
          <w:kern w:val="0"/>
          <w:sz w:val="32"/>
          <w:szCs w:val="32"/>
          <w:lang w:val="en-US" w:eastAsia="zh-CN"/>
        </w:rPr>
        <w:t>762.96</w:t>
      </w:r>
      <w:r>
        <w:rPr>
          <w:rFonts w:hint="eastAsia" w:ascii="仿宋_GB2312" w:eastAsia="仿宋_GB2312"/>
          <w:color w:val="000000"/>
          <w:kern w:val="0"/>
          <w:sz w:val="32"/>
          <w:szCs w:val="32"/>
        </w:rPr>
        <w:t>万元，其中因公出国0万元，公务接待</w:t>
      </w:r>
      <w:r>
        <w:rPr>
          <w:rFonts w:hint="eastAsia" w:ascii="仿宋_GB2312" w:eastAsia="仿宋_GB2312"/>
          <w:color w:val="000000"/>
          <w:kern w:val="0"/>
          <w:sz w:val="32"/>
          <w:szCs w:val="32"/>
          <w:lang w:val="en-US" w:eastAsia="zh-CN"/>
        </w:rPr>
        <w:t>6.30</w:t>
      </w:r>
      <w:r>
        <w:rPr>
          <w:rFonts w:hint="eastAsia" w:ascii="仿宋_GB2312" w:eastAsia="仿宋_GB2312"/>
          <w:color w:val="000000"/>
          <w:kern w:val="0"/>
          <w:sz w:val="32"/>
          <w:szCs w:val="32"/>
        </w:rPr>
        <w:t>万元，</w:t>
      </w:r>
      <w:r>
        <w:rPr>
          <w:rFonts w:ascii="仿宋_GB2312" w:eastAsia="仿宋_GB2312"/>
          <w:color w:val="000000"/>
          <w:kern w:val="0"/>
          <w:sz w:val="32"/>
          <w:szCs w:val="32"/>
        </w:rPr>
        <w:t>公务用车购置及运行维护费</w:t>
      </w:r>
      <w:r>
        <w:rPr>
          <w:rFonts w:hint="eastAsia" w:ascii="仿宋_GB2312" w:eastAsia="仿宋_GB2312"/>
          <w:color w:val="000000"/>
          <w:kern w:val="0"/>
          <w:sz w:val="32"/>
          <w:szCs w:val="32"/>
          <w:lang w:val="en-US" w:eastAsia="zh-CN"/>
        </w:rPr>
        <w:t>756.66</w:t>
      </w:r>
      <w:r>
        <w:rPr>
          <w:rFonts w:hint="eastAsia" w:ascii="仿宋_GB2312" w:eastAsia="仿宋_GB2312"/>
          <w:color w:val="000000"/>
          <w:kern w:val="0"/>
          <w:sz w:val="32"/>
          <w:szCs w:val="32"/>
        </w:rPr>
        <w:t>万元。全年三公经费实际支出</w:t>
      </w:r>
      <w:r>
        <w:rPr>
          <w:rFonts w:hint="eastAsia" w:ascii="仿宋_GB2312" w:eastAsia="仿宋_GB2312"/>
          <w:color w:val="000000"/>
          <w:kern w:val="0"/>
          <w:sz w:val="32"/>
          <w:szCs w:val="32"/>
          <w:lang w:val="en-US" w:eastAsia="zh-CN"/>
        </w:rPr>
        <w:t>623.88</w:t>
      </w:r>
      <w:r>
        <w:rPr>
          <w:rFonts w:hint="eastAsia" w:ascii="仿宋_GB2312" w:eastAsia="仿宋_GB2312"/>
          <w:color w:val="000000"/>
          <w:kern w:val="0"/>
          <w:sz w:val="32"/>
          <w:szCs w:val="32"/>
        </w:rPr>
        <w:t>万元。其中</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公务用车购置费</w:t>
      </w:r>
      <w:r>
        <w:rPr>
          <w:rFonts w:hint="eastAsia" w:ascii="仿宋_GB2312" w:eastAsia="仿宋_GB2312"/>
          <w:color w:val="000000"/>
          <w:kern w:val="0"/>
          <w:sz w:val="32"/>
          <w:szCs w:val="32"/>
          <w:lang w:val="en-US" w:eastAsia="zh-CN"/>
        </w:rPr>
        <w:t>128.45万元，</w:t>
      </w:r>
      <w:r>
        <w:rPr>
          <w:rFonts w:hint="eastAsia" w:ascii="仿宋_GB2312" w:eastAsia="仿宋_GB2312"/>
          <w:color w:val="000000"/>
          <w:kern w:val="0"/>
          <w:sz w:val="32"/>
          <w:szCs w:val="32"/>
        </w:rPr>
        <w:t>公务用车运行维护费</w:t>
      </w:r>
      <w:r>
        <w:rPr>
          <w:rFonts w:hint="eastAsia" w:ascii="仿宋_GB2312" w:eastAsia="仿宋_GB2312"/>
          <w:color w:val="000000"/>
          <w:kern w:val="0"/>
          <w:sz w:val="32"/>
          <w:szCs w:val="32"/>
          <w:lang w:val="en-US" w:eastAsia="zh-CN"/>
        </w:rPr>
        <w:t>494.66</w:t>
      </w:r>
      <w:r>
        <w:rPr>
          <w:rFonts w:hint="eastAsia" w:ascii="仿宋_GB2312" w:eastAsia="仿宋_GB2312"/>
          <w:color w:val="000000"/>
          <w:kern w:val="0"/>
          <w:sz w:val="32"/>
          <w:szCs w:val="32"/>
        </w:rPr>
        <w:t>万元</w:t>
      </w:r>
      <w:r>
        <w:rPr>
          <w:rFonts w:hint="eastAsia" w:ascii="仿宋_GB2312" w:eastAsia="仿宋_GB2312"/>
          <w:color w:val="000000"/>
          <w:kern w:val="0"/>
          <w:sz w:val="32"/>
          <w:szCs w:val="32"/>
          <w:lang w:eastAsia="zh-CN"/>
        </w:rPr>
        <w:t>，公务接待费</w:t>
      </w:r>
      <w:r>
        <w:rPr>
          <w:rFonts w:hint="eastAsia" w:ascii="仿宋_GB2312" w:eastAsia="仿宋_GB2312"/>
          <w:color w:val="000000"/>
          <w:kern w:val="0"/>
          <w:sz w:val="32"/>
          <w:szCs w:val="32"/>
          <w:lang w:val="en-US" w:eastAsia="zh-CN"/>
        </w:rPr>
        <w:t>0.77万元</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val="en-US" w:eastAsia="zh-CN"/>
        </w:rPr>
        <w:t>我局</w:t>
      </w:r>
      <w:r>
        <w:rPr>
          <w:rFonts w:hint="eastAsia" w:ascii="仿宋_GB2312" w:eastAsia="仿宋_GB2312"/>
          <w:color w:val="000000"/>
          <w:kern w:val="0"/>
          <w:sz w:val="32"/>
          <w:szCs w:val="32"/>
        </w:rPr>
        <w:t>认真贯彻落实中央八项规定精神和厉行节约要求，从严控制“三公”经费开支，全年实际支出较</w:t>
      </w:r>
      <w:r>
        <w:rPr>
          <w:rFonts w:hint="eastAsia" w:ascii="仿宋_GB2312" w:eastAsia="仿宋_GB2312"/>
          <w:color w:val="000000"/>
          <w:kern w:val="0"/>
          <w:sz w:val="32"/>
          <w:szCs w:val="32"/>
          <w:lang w:val="en-US" w:eastAsia="zh-CN"/>
        </w:rPr>
        <w:t>2019年652.82万元下降4.43%，有所压减，且</w:t>
      </w:r>
      <w:r>
        <w:rPr>
          <w:rFonts w:hint="eastAsia" w:ascii="仿宋_GB2312" w:eastAsia="仿宋_GB2312"/>
          <w:color w:val="000000"/>
          <w:kern w:val="0"/>
          <w:sz w:val="32"/>
          <w:szCs w:val="32"/>
        </w:rPr>
        <w:t>全年</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三公</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经费</w:t>
      </w:r>
      <w:r>
        <w:rPr>
          <w:rFonts w:hint="eastAsia" w:ascii="仿宋_GB2312" w:eastAsia="仿宋_GB2312"/>
          <w:color w:val="000000"/>
          <w:kern w:val="0"/>
          <w:sz w:val="32"/>
          <w:szCs w:val="32"/>
          <w:lang w:val="en-US" w:eastAsia="zh-CN"/>
        </w:rPr>
        <w:t>控制</w:t>
      </w:r>
      <w:r>
        <w:rPr>
          <w:rFonts w:hint="eastAsia" w:ascii="仿宋_GB2312" w:eastAsia="仿宋_GB2312"/>
          <w:color w:val="000000"/>
          <w:kern w:val="0"/>
          <w:sz w:val="32"/>
          <w:szCs w:val="32"/>
        </w:rPr>
        <w:t>率</w:t>
      </w:r>
      <w:r>
        <w:rPr>
          <w:rFonts w:hint="eastAsia" w:ascii="仿宋_GB2312" w:eastAsia="仿宋_GB2312"/>
          <w:color w:val="000000"/>
          <w:kern w:val="0"/>
          <w:sz w:val="32"/>
          <w:szCs w:val="32"/>
          <w:lang w:val="en-US" w:eastAsia="zh-CN"/>
        </w:rPr>
        <w:t>81.77</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“三公”经费控制情况</w:t>
      </w:r>
      <w:r>
        <w:rPr>
          <w:rFonts w:hint="eastAsia" w:ascii="仿宋_GB2312" w:eastAsia="仿宋_GB2312"/>
          <w:color w:val="000000"/>
          <w:kern w:val="0"/>
          <w:sz w:val="32"/>
          <w:szCs w:val="32"/>
          <w:lang w:val="en-US" w:eastAsia="zh-CN"/>
        </w:rPr>
        <w:t>较</w:t>
      </w:r>
      <w:r>
        <w:rPr>
          <w:rFonts w:hint="eastAsia" w:ascii="仿宋_GB2312" w:eastAsia="仿宋_GB2312"/>
          <w:color w:val="000000"/>
          <w:kern w:val="0"/>
          <w:sz w:val="32"/>
          <w:szCs w:val="32"/>
        </w:rPr>
        <w:t>好。</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color w:val="000000"/>
          <w:kern w:val="0"/>
          <w:sz w:val="32"/>
          <w:szCs w:val="32"/>
        </w:rPr>
      </w:pPr>
      <w:r>
        <w:rPr>
          <w:rFonts w:hint="eastAsia" w:ascii="仿宋_GB2312" w:eastAsia="仿宋_GB2312"/>
          <w:b/>
          <w:color w:val="000000"/>
          <w:kern w:val="0"/>
          <w:sz w:val="32"/>
          <w:szCs w:val="32"/>
        </w:rPr>
        <w:t>（</w:t>
      </w:r>
      <w:r>
        <w:rPr>
          <w:rFonts w:ascii="仿宋_GB2312" w:eastAsia="仿宋_GB2312"/>
          <w:b/>
          <w:color w:val="000000"/>
          <w:kern w:val="0"/>
          <w:sz w:val="32"/>
          <w:szCs w:val="32"/>
        </w:rPr>
        <w:t>2</w:t>
      </w:r>
      <w:r>
        <w:rPr>
          <w:rFonts w:hint="eastAsia" w:ascii="仿宋_GB2312" w:eastAsia="仿宋_GB2312"/>
          <w:b/>
          <w:color w:val="000000"/>
          <w:kern w:val="0"/>
          <w:sz w:val="32"/>
          <w:szCs w:val="32"/>
        </w:rPr>
        <w:t>）日常公用经费控制率</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lang w:eastAsia="zh-CN"/>
        </w:rPr>
        <w:t>我局</w:t>
      </w:r>
      <w:r>
        <w:rPr>
          <w:rFonts w:ascii="仿宋_GB2312" w:eastAsia="仿宋_GB2312"/>
          <w:color w:val="000000"/>
          <w:kern w:val="0"/>
          <w:sz w:val="32"/>
          <w:szCs w:val="32"/>
        </w:rPr>
        <w:t>2020</w:t>
      </w:r>
      <w:r>
        <w:rPr>
          <w:rFonts w:hint="eastAsia" w:ascii="仿宋_GB2312" w:eastAsia="仿宋_GB2312"/>
          <w:color w:val="000000"/>
          <w:kern w:val="0"/>
          <w:sz w:val="32"/>
          <w:szCs w:val="32"/>
        </w:rPr>
        <w:t>年日常公用经费预算数为</w:t>
      </w:r>
      <w:r>
        <w:rPr>
          <w:rFonts w:hint="eastAsia" w:ascii="仿宋_GB2312" w:eastAsia="仿宋_GB2312"/>
          <w:color w:val="000000"/>
          <w:kern w:val="0"/>
          <w:sz w:val="32"/>
          <w:szCs w:val="32"/>
          <w:lang w:val="en-US" w:eastAsia="zh-CN"/>
        </w:rPr>
        <w:t>2,990.03</w:t>
      </w:r>
      <w:r>
        <w:rPr>
          <w:rFonts w:hint="eastAsia" w:ascii="仿宋_GB2312" w:eastAsia="仿宋_GB2312"/>
          <w:color w:val="000000"/>
          <w:kern w:val="0"/>
          <w:sz w:val="32"/>
          <w:szCs w:val="32"/>
        </w:rPr>
        <w:t>万元,调整预算数为</w:t>
      </w:r>
      <w:r>
        <w:rPr>
          <w:rFonts w:hint="eastAsia" w:ascii="仿宋_GB2312" w:eastAsia="仿宋_GB2312"/>
          <w:color w:val="000000"/>
          <w:kern w:val="0"/>
          <w:sz w:val="32"/>
          <w:szCs w:val="32"/>
          <w:lang w:val="en-US" w:eastAsia="zh-CN"/>
        </w:rPr>
        <w:t>2,731.92</w:t>
      </w:r>
      <w:r>
        <w:rPr>
          <w:rFonts w:hint="eastAsia" w:ascii="仿宋_GB2312" w:eastAsia="仿宋_GB2312"/>
          <w:color w:val="000000"/>
          <w:kern w:val="0"/>
          <w:sz w:val="32"/>
          <w:szCs w:val="32"/>
        </w:rPr>
        <w:t>万元，决算数为</w:t>
      </w:r>
      <w:r>
        <w:rPr>
          <w:rFonts w:hint="eastAsia" w:ascii="仿宋_GB2312" w:eastAsia="仿宋_GB2312"/>
          <w:color w:val="000000"/>
          <w:kern w:val="0"/>
          <w:sz w:val="32"/>
          <w:szCs w:val="32"/>
          <w:lang w:val="en-US" w:eastAsia="zh-CN"/>
        </w:rPr>
        <w:t>2,731.52</w:t>
      </w:r>
      <w:r>
        <w:rPr>
          <w:rFonts w:hint="eastAsia" w:ascii="仿宋_GB2312" w:eastAsia="仿宋_GB2312"/>
          <w:color w:val="000000"/>
          <w:kern w:val="0"/>
          <w:sz w:val="32"/>
          <w:szCs w:val="32"/>
        </w:rPr>
        <w:t>万元。日常公用经费控制率为</w:t>
      </w:r>
      <w:r>
        <w:rPr>
          <w:rFonts w:hint="eastAsia" w:ascii="仿宋_GB2312" w:eastAsia="仿宋_GB2312"/>
          <w:color w:val="000000"/>
          <w:kern w:val="0"/>
          <w:sz w:val="32"/>
          <w:szCs w:val="32"/>
          <w:lang w:val="en-US" w:eastAsia="zh-CN"/>
        </w:rPr>
        <w:t>99.99</w:t>
      </w:r>
      <w:r>
        <w:rPr>
          <w:rFonts w:ascii="仿宋_GB2312" w:eastAsia="仿宋_GB2312"/>
          <w:color w:val="000000"/>
          <w:kern w:val="0"/>
          <w:sz w:val="32"/>
          <w:szCs w:val="32"/>
        </w:rPr>
        <w:t>%,</w:t>
      </w:r>
      <w:r>
        <w:rPr>
          <w:rFonts w:hint="eastAsia" w:ascii="仿宋_GB2312" w:eastAsia="仿宋_GB2312"/>
          <w:color w:val="000000"/>
          <w:kern w:val="0"/>
          <w:sz w:val="32"/>
          <w:szCs w:val="32"/>
        </w:rPr>
        <w:t>日常公用经费控制情况良好</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但一般性压减不足</w:t>
      </w:r>
      <w:r>
        <w:rPr>
          <w:rFonts w:hint="eastAsia" w:ascii="仿宋_GB2312" w:eastAsia="仿宋_GB2312"/>
          <w:color w:val="000000"/>
          <w:kern w:val="0"/>
          <w:sz w:val="32"/>
          <w:szCs w:val="32"/>
        </w:rPr>
        <w:t>。</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eastAsia="仿宋_GB2312"/>
          <w:b/>
          <w:color w:val="000000"/>
          <w:kern w:val="0"/>
          <w:sz w:val="32"/>
          <w:szCs w:val="32"/>
        </w:rPr>
      </w:pPr>
      <w:r>
        <w:rPr>
          <w:rFonts w:ascii="仿宋_GB2312" w:eastAsia="仿宋_GB2312"/>
          <w:b/>
          <w:color w:val="000000"/>
          <w:kern w:val="0"/>
          <w:sz w:val="32"/>
          <w:szCs w:val="32"/>
        </w:rPr>
        <w:t>2.</w:t>
      </w:r>
      <w:r>
        <w:rPr>
          <w:rFonts w:hint="eastAsia" w:ascii="仿宋_GB2312" w:eastAsia="仿宋_GB2312"/>
          <w:b/>
          <w:color w:val="000000"/>
          <w:kern w:val="0"/>
          <w:sz w:val="32"/>
          <w:szCs w:val="32"/>
        </w:rPr>
        <w:t>效率性</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eastAsia="仿宋_GB2312"/>
          <w:color w:val="000000"/>
          <w:kern w:val="0"/>
          <w:sz w:val="32"/>
          <w:szCs w:val="32"/>
          <w:lang w:eastAsia="zh-CN"/>
        </w:rPr>
        <w:t>我局</w:t>
      </w:r>
      <w:r>
        <w:rPr>
          <w:rFonts w:ascii="仿宋_GB2312" w:eastAsia="仿宋_GB2312"/>
          <w:color w:val="000000"/>
          <w:kern w:val="0"/>
          <w:sz w:val="32"/>
          <w:szCs w:val="32"/>
        </w:rPr>
        <w:t>2020</w:t>
      </w:r>
      <w:r>
        <w:rPr>
          <w:rFonts w:hint="eastAsia" w:ascii="仿宋_GB2312" w:eastAsia="仿宋_GB2312"/>
          <w:color w:val="000000"/>
          <w:kern w:val="0"/>
          <w:sz w:val="32"/>
          <w:szCs w:val="32"/>
        </w:rPr>
        <w:t>年第一、第二、第三、第四季度的预算执行率分别为</w:t>
      </w:r>
      <w:r>
        <w:rPr>
          <w:rFonts w:hint="eastAsia" w:ascii="仿宋_GB2312" w:eastAsia="仿宋_GB2312"/>
          <w:color w:val="000000"/>
          <w:kern w:val="0"/>
          <w:sz w:val="32"/>
          <w:szCs w:val="32"/>
          <w:highlight w:val="none"/>
          <w:lang w:val="en-US" w:eastAsia="zh-CN"/>
        </w:rPr>
        <w:t>33.8</w:t>
      </w:r>
      <w:r>
        <w:rPr>
          <w:rFonts w:ascii="仿宋_GB2312" w:eastAsia="仿宋_GB2312"/>
          <w:color w:val="000000"/>
          <w:kern w:val="0"/>
          <w:sz w:val="32"/>
          <w:szCs w:val="32"/>
          <w:highlight w:val="none"/>
        </w:rPr>
        <w:t>%</w:t>
      </w:r>
      <w:r>
        <w:rPr>
          <w:rFonts w:hint="eastAsia" w:ascii="仿宋_GB2312" w:eastAsia="仿宋_GB2312"/>
          <w:color w:val="000000"/>
          <w:kern w:val="0"/>
          <w:sz w:val="32"/>
          <w:szCs w:val="32"/>
          <w:highlight w:val="none"/>
        </w:rPr>
        <w:t>、</w:t>
      </w:r>
      <w:r>
        <w:rPr>
          <w:rFonts w:hint="eastAsia" w:ascii="仿宋_GB2312" w:eastAsia="仿宋_GB2312"/>
          <w:color w:val="000000"/>
          <w:kern w:val="0"/>
          <w:sz w:val="32"/>
          <w:szCs w:val="32"/>
          <w:lang w:val="en-US" w:eastAsia="zh-CN"/>
        </w:rPr>
        <w:t>54.07</w:t>
      </w:r>
      <w:r>
        <w:rPr>
          <w:rFonts w:ascii="仿宋_GB2312" w:eastAsia="仿宋_GB2312"/>
          <w:color w:val="000000"/>
          <w:kern w:val="0"/>
          <w:sz w:val="32"/>
          <w:szCs w:val="32"/>
        </w:rPr>
        <w:t>%</w:t>
      </w:r>
      <w:r>
        <w:rPr>
          <w:rFonts w:hint="eastAsia" w:ascii="仿宋_GB2312" w:eastAsia="仿宋_GB2312"/>
          <w:color w:val="000000"/>
          <w:kern w:val="0"/>
          <w:sz w:val="32"/>
          <w:szCs w:val="32"/>
        </w:rPr>
        <w:t>、8</w:t>
      </w:r>
      <w:r>
        <w:rPr>
          <w:rFonts w:hint="eastAsia" w:ascii="仿宋_GB2312" w:eastAsia="仿宋_GB2312"/>
          <w:color w:val="000000"/>
          <w:kern w:val="0"/>
          <w:sz w:val="32"/>
          <w:szCs w:val="32"/>
          <w:lang w:val="en-US" w:eastAsia="zh-CN"/>
        </w:rPr>
        <w:t>1.36</w:t>
      </w:r>
      <w:r>
        <w:rPr>
          <w:rFonts w:ascii="仿宋_GB2312" w:eastAsia="仿宋_GB2312"/>
          <w:color w:val="000000"/>
          <w:kern w:val="0"/>
          <w:sz w:val="32"/>
          <w:szCs w:val="32"/>
        </w:rPr>
        <w:t>%</w:t>
      </w:r>
      <w:r>
        <w:rPr>
          <w:rFonts w:hint="eastAsia" w:ascii="仿宋_GB2312" w:eastAsia="仿宋_GB2312"/>
          <w:color w:val="000000"/>
          <w:kern w:val="0"/>
          <w:sz w:val="32"/>
          <w:szCs w:val="32"/>
        </w:rPr>
        <w:t>、9</w:t>
      </w:r>
      <w:r>
        <w:rPr>
          <w:rFonts w:hint="eastAsia" w:ascii="仿宋_GB2312" w:eastAsia="仿宋_GB2312"/>
          <w:color w:val="000000"/>
          <w:kern w:val="0"/>
          <w:sz w:val="32"/>
          <w:szCs w:val="32"/>
          <w:lang w:val="en-US" w:eastAsia="zh-CN"/>
        </w:rPr>
        <w:t>8.39</w:t>
      </w:r>
      <w:r>
        <w:rPr>
          <w:rFonts w:ascii="仿宋_GB2312" w:eastAsia="仿宋_GB2312"/>
          <w:color w:val="000000"/>
          <w:kern w:val="0"/>
          <w:sz w:val="32"/>
          <w:szCs w:val="32"/>
        </w:rPr>
        <w:t>%</w:t>
      </w:r>
      <w:r>
        <w:rPr>
          <w:rFonts w:hint="eastAsia" w:ascii="仿宋_GB2312" w:eastAsia="仿宋_GB2312"/>
          <w:color w:val="000000"/>
          <w:kern w:val="0"/>
          <w:sz w:val="32"/>
          <w:szCs w:val="32"/>
        </w:rPr>
        <w:t>。总体执行良好。</w:t>
      </w:r>
    </w:p>
    <w:p>
      <w:pPr>
        <w:keepNext w:val="0"/>
        <w:keepLines w:val="0"/>
        <w:pageBreakBefore w:val="0"/>
        <w:widowControl w:val="0"/>
        <w:numPr>
          <w:ilvl w:val="0"/>
          <w:numId w:val="0"/>
        </w:numPr>
        <w:kinsoku/>
        <w:wordWrap/>
        <w:overflowPunct/>
        <w:topLinePunct w:val="0"/>
        <w:bidi w:val="0"/>
        <w:snapToGrid/>
        <w:spacing w:line="240" w:lineRule="auto"/>
        <w:ind w:firstLine="643" w:firstLineChars="200"/>
        <w:textAlignment w:val="auto"/>
        <w:rPr>
          <w:rFonts w:hint="eastAsia" w:ascii="仿宋_GB2312" w:eastAsia="仿宋_GB2312"/>
          <w:b/>
          <w:color w:val="000000"/>
          <w:kern w:val="0"/>
          <w:sz w:val="32"/>
          <w:szCs w:val="32"/>
          <w:highlight w:val="none"/>
        </w:rPr>
      </w:pPr>
      <w:r>
        <w:rPr>
          <w:rFonts w:hint="eastAsia" w:ascii="仿宋_GB2312" w:eastAsia="仿宋_GB2312"/>
          <w:b/>
          <w:color w:val="000000"/>
          <w:kern w:val="0"/>
          <w:sz w:val="32"/>
          <w:szCs w:val="32"/>
          <w:highlight w:val="none"/>
          <w:lang w:val="en-US" w:eastAsia="zh-CN"/>
        </w:rPr>
        <w:t>3.</w:t>
      </w:r>
      <w:r>
        <w:rPr>
          <w:rFonts w:hint="eastAsia" w:ascii="仿宋_GB2312" w:eastAsia="仿宋_GB2312"/>
          <w:b/>
          <w:color w:val="000000"/>
          <w:kern w:val="0"/>
          <w:sz w:val="32"/>
          <w:szCs w:val="32"/>
          <w:highlight w:val="none"/>
        </w:rPr>
        <w:t>效果性</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一是安全维稳卓有成效。主要体现在特区建立40周年、十九届五中全会等重大安保、政治安全及社会治安工作，保障了特区建立40周年</w:t>
      </w:r>
      <w:r>
        <w:rPr>
          <w:rFonts w:hint="eastAsia" w:ascii="仿宋_GB2312" w:eastAsia="仿宋_GB2312" w:cs="Times New Roman"/>
          <w:color w:val="000000"/>
          <w:kern w:val="0"/>
          <w:sz w:val="32"/>
          <w:szCs w:val="32"/>
          <w:lang w:val="en-US" w:eastAsia="zh-CN"/>
        </w:rPr>
        <w:t>庆典</w:t>
      </w:r>
      <w:r>
        <w:rPr>
          <w:rFonts w:hint="eastAsia" w:ascii="仿宋_GB2312" w:hAnsi="Times New Roman" w:eastAsia="仿宋_GB2312" w:cs="Times New Roman"/>
          <w:color w:val="000000"/>
          <w:kern w:val="0"/>
          <w:sz w:val="32"/>
          <w:szCs w:val="32"/>
          <w:lang w:val="en-US" w:eastAsia="zh-CN"/>
        </w:rPr>
        <w:t>和十九届五中全会等重大事项的顺利开展，以及辖区社会治安稳中向好，大力保障了人民群众的生命财产安全。</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二是疫情防控卓有成效。落实陆海两路疫情防控措施，涉疫线索100%落地核查，涉疫警情100%妥善处置，涉疫违法100%打击处理，为全区实现“零输入、零传染”的工作成绩贡献了公安力量，有效遏制辖区疫情蔓延，确保疫情防控期间社会大局平稳。</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三是</w:t>
      </w:r>
      <w:r>
        <w:rPr>
          <w:rFonts w:hint="eastAsia" w:ascii="仿宋_GB2312" w:hAnsi="Times New Roman" w:eastAsia="仿宋_GB2312" w:cs="Times New Roman"/>
          <w:color w:val="000000"/>
          <w:kern w:val="0"/>
          <w:sz w:val="32"/>
          <w:szCs w:val="32"/>
          <w:lang w:val="zh-CN" w:eastAsia="zh-CN"/>
        </w:rPr>
        <w:t>海防打私</w:t>
      </w:r>
      <w:r>
        <w:rPr>
          <w:rFonts w:hint="eastAsia" w:ascii="仿宋_GB2312" w:hAnsi="Times New Roman" w:eastAsia="仿宋_GB2312" w:cs="Times New Roman"/>
          <w:color w:val="000000"/>
          <w:kern w:val="0"/>
          <w:sz w:val="32"/>
          <w:szCs w:val="32"/>
          <w:lang w:val="en-US" w:eastAsia="zh-CN"/>
        </w:rPr>
        <w:t>卓有成效。海防打私体系不断完善，“党政军民警民”联防联控海防新格局初步形成，进一步强化了党对海防打私工作的统一领导，形成齐抓共建合力，新区海防局势平安稳定。</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四是扫黑除恶卓有成效。聚焦严重影响群众安全感和满意度的突出刑事犯罪</w:t>
      </w:r>
      <w:r>
        <w:rPr>
          <w:rFonts w:hint="eastAsia" w:ascii="仿宋_GB2312" w:eastAsia="仿宋_GB2312" w:cs="Times New Roman"/>
          <w:color w:val="000000"/>
          <w:kern w:val="0"/>
          <w:sz w:val="32"/>
          <w:szCs w:val="32"/>
          <w:lang w:val="en-US" w:eastAsia="zh-CN"/>
        </w:rPr>
        <w:t>，</w:t>
      </w:r>
      <w:r>
        <w:rPr>
          <w:rFonts w:hint="eastAsia" w:ascii="仿宋_GB2312" w:hAnsi="Times New Roman" w:eastAsia="仿宋_GB2312" w:cs="Times New Roman"/>
          <w:color w:val="000000"/>
          <w:kern w:val="0"/>
          <w:sz w:val="32"/>
          <w:szCs w:val="32"/>
          <w:lang w:val="en-US" w:eastAsia="zh-CN"/>
        </w:rPr>
        <w:t>始终保持严打高压态势</w:t>
      </w:r>
      <w:r>
        <w:rPr>
          <w:rFonts w:hint="eastAsia" w:ascii="仿宋_GB2312" w:eastAsia="仿宋_GB2312" w:cs="Times New Roman"/>
          <w:color w:val="000000"/>
          <w:kern w:val="0"/>
          <w:sz w:val="32"/>
          <w:szCs w:val="32"/>
          <w:lang w:val="en-US" w:eastAsia="zh-CN"/>
        </w:rPr>
        <w:t>，</w:t>
      </w:r>
      <w:r>
        <w:rPr>
          <w:rFonts w:hint="eastAsia" w:ascii="仿宋_GB2312" w:hAnsi="Times New Roman" w:eastAsia="仿宋_GB2312" w:cs="Times New Roman"/>
          <w:color w:val="000000"/>
          <w:kern w:val="0"/>
          <w:sz w:val="32"/>
          <w:szCs w:val="32"/>
          <w:lang w:val="en-US" w:eastAsia="zh-CN"/>
        </w:rPr>
        <w:t>持续不断开展专项打击整治，涉黑涉恶重点地区、治安乱点得到全面整治，人民群众获得感、幸福感、安全感进一步提升。</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五是打击犯罪卓有成效。始终保持对毒品犯罪、盗抢骗犯罪、新型电信网络诈骗犯罪的高压严打态势，持续推进命案积案攻坚，坚决铲除黄赌等丑恶现象，强化社会安全整治，提高打击犯罪能力，促进全区社会治安大局稳定。</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六是动态预警卓有成效。优化街面巡逻体系，进一步提升路面见警率和管事率；不断创新升级智慧警务，进一步提高平安建设水平；全面强化社会治安管控力。</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七是民警队伍建设卓有成效。把队伍思想政治建设摆在首位，强化民警职工辅警警容风纪养成，强化对民警职工的思想政治教育，夯实忠诚使命的思想根基，增强全局干事创业的氛围，稳步推进民警队伍建设，显著提高我区公安机关战斗力。</w:t>
      </w:r>
    </w:p>
    <w:p>
      <w:pPr>
        <w:keepNext w:val="0"/>
        <w:keepLines w:val="0"/>
        <w:pageBreakBefore w:val="0"/>
        <w:widowControl w:val="0"/>
        <w:kinsoku/>
        <w:wordWrap/>
        <w:overflowPunct/>
        <w:topLinePunct w:val="0"/>
        <w:bidi w:val="0"/>
        <w:snapToGrid/>
        <w:spacing w:line="240" w:lineRule="auto"/>
        <w:ind w:firstLine="643" w:firstLineChars="200"/>
        <w:jc w:val="both"/>
        <w:textAlignment w:val="auto"/>
        <w:rPr>
          <w:rFonts w:ascii="仿宋_GB2312" w:hAnsi="仿宋" w:eastAsia="仿宋_GB2312"/>
          <w:b/>
          <w:sz w:val="32"/>
          <w:szCs w:val="32"/>
        </w:rPr>
      </w:pPr>
      <w:r>
        <w:rPr>
          <w:rFonts w:hint="eastAsia" w:ascii="仿宋_GB2312" w:hAnsi="仿宋" w:eastAsia="仿宋_GB2312"/>
          <w:b/>
          <w:sz w:val="32"/>
          <w:szCs w:val="32"/>
        </w:rPr>
        <w:t>4.公平性</w:t>
      </w:r>
    </w:p>
    <w:p>
      <w:pPr>
        <w:pStyle w:val="3"/>
        <w:keepNext w:val="0"/>
        <w:keepLines w:val="0"/>
        <w:pageBreakBefore w:val="0"/>
        <w:widowControl w:val="0"/>
        <w:kinsoku/>
        <w:wordWrap/>
        <w:overflowPunct/>
        <w:topLinePunct w:val="0"/>
        <w:bidi w:val="0"/>
        <w:snapToGrid/>
        <w:spacing w:line="240" w:lineRule="auto"/>
        <w:ind w:firstLine="640" w:firstLineChars="200"/>
        <w:jc w:val="both"/>
        <w:textAlignment w:val="auto"/>
        <w:rPr>
          <w:rFonts w:ascii="仿宋_GB2312" w:hAnsi="仿宋" w:eastAsia="仿宋_GB2312"/>
          <w:bCs/>
          <w:sz w:val="32"/>
          <w:szCs w:val="32"/>
        </w:rPr>
      </w:pPr>
      <w:r>
        <w:rPr>
          <w:rFonts w:hint="eastAsia" w:ascii="仿宋_GB2312" w:hAnsi="仿宋" w:eastAsia="仿宋_GB2312"/>
          <w:bCs/>
          <w:sz w:val="32"/>
          <w:szCs w:val="32"/>
          <w:lang w:eastAsia="zh-CN"/>
        </w:rPr>
        <w:t>我局</w:t>
      </w:r>
      <w:r>
        <w:rPr>
          <w:rFonts w:hint="eastAsia" w:ascii="仿宋_GB2312" w:hAnsi="仿宋" w:eastAsia="仿宋_GB2312"/>
          <w:bCs/>
          <w:sz w:val="32"/>
          <w:szCs w:val="32"/>
        </w:rPr>
        <w:t>已通过电话热线、信箱等渠道与群众互动交流、建立意见反映渠道以及群众意见办理回复机制，记录群众的各项咨询投诉问题，做好信访回复工作。</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黑体" w:hAnsi="黑体" w:eastAsia="黑体"/>
          <w:bCs/>
          <w:sz w:val="32"/>
          <w:szCs w:val="32"/>
        </w:rPr>
      </w:pPr>
      <w:r>
        <w:rPr>
          <w:rFonts w:hint="eastAsia" w:ascii="黑体" w:hAnsi="黑体" w:eastAsia="黑体"/>
          <w:sz w:val="32"/>
          <w:szCs w:val="32"/>
        </w:rPr>
        <w:t xml:space="preserve"> </w:t>
      </w:r>
      <w:r>
        <w:rPr>
          <w:rFonts w:hint="eastAsia" w:ascii="黑体" w:hAnsi="黑体" w:eastAsia="黑体"/>
          <w:bCs/>
          <w:sz w:val="32"/>
          <w:szCs w:val="32"/>
        </w:rPr>
        <w:t>三、总体评价和整改措施</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楷体" w:hAnsi="楷体" w:eastAsia="楷体"/>
          <w:b/>
          <w:bCs/>
          <w:sz w:val="32"/>
          <w:szCs w:val="32"/>
        </w:rPr>
      </w:pPr>
      <w:r>
        <w:rPr>
          <w:rFonts w:hint="eastAsia" w:ascii="楷体" w:hAnsi="楷体" w:eastAsia="楷体"/>
          <w:b/>
          <w:bCs/>
          <w:sz w:val="32"/>
          <w:szCs w:val="32"/>
        </w:rPr>
        <w:t>（一）预算绩效管理工作主要经验、做法。</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hAnsi="仿宋" w:eastAsia="仿宋_GB2312"/>
          <w:bCs/>
          <w:sz w:val="32"/>
          <w:szCs w:val="32"/>
        </w:rPr>
      </w:pPr>
      <w:r>
        <w:rPr>
          <w:rFonts w:ascii="仿宋_GB2312" w:hAnsi="仿宋" w:eastAsia="仿宋_GB2312"/>
          <w:bCs/>
          <w:sz w:val="32"/>
          <w:szCs w:val="32"/>
        </w:rPr>
        <w:t>1.2020</w:t>
      </w:r>
      <w:r>
        <w:rPr>
          <w:rFonts w:hint="eastAsia" w:ascii="仿宋_GB2312" w:hAnsi="仿宋" w:eastAsia="仿宋_GB2312"/>
          <w:bCs/>
          <w:color w:val="auto"/>
          <w:sz w:val="32"/>
          <w:szCs w:val="32"/>
        </w:rPr>
        <w:t>年度</w:t>
      </w:r>
      <w:r>
        <w:rPr>
          <w:rFonts w:hint="eastAsia" w:ascii="仿宋_GB2312" w:hAnsi="仿宋" w:eastAsia="仿宋_GB2312"/>
          <w:bCs/>
          <w:color w:val="auto"/>
          <w:sz w:val="32"/>
          <w:szCs w:val="32"/>
          <w:lang w:eastAsia="zh-CN"/>
        </w:rPr>
        <w:t>我局</w:t>
      </w:r>
      <w:r>
        <w:rPr>
          <w:rFonts w:hint="eastAsia" w:ascii="仿宋_GB2312" w:hAnsi="仿宋" w:eastAsia="仿宋_GB2312"/>
          <w:bCs/>
          <w:color w:val="auto"/>
          <w:sz w:val="32"/>
          <w:szCs w:val="32"/>
        </w:rPr>
        <w:t>在预算编制中做到结合部门主要履职目标，依据文件要求，详细</w:t>
      </w:r>
      <w:r>
        <w:rPr>
          <w:rFonts w:hint="eastAsia" w:ascii="仿宋_GB2312" w:hAnsi="仿宋" w:eastAsia="仿宋_GB2312"/>
          <w:bCs/>
          <w:color w:val="auto"/>
          <w:sz w:val="32"/>
          <w:szCs w:val="32"/>
          <w:lang w:eastAsia="zh-CN"/>
        </w:rPr>
        <w:t>提</w:t>
      </w:r>
      <w:bookmarkStart w:id="1" w:name="_GoBack"/>
      <w:bookmarkEnd w:id="1"/>
      <w:r>
        <w:rPr>
          <w:rFonts w:hint="eastAsia" w:ascii="仿宋_GB2312" w:hAnsi="仿宋" w:eastAsia="仿宋_GB2312"/>
          <w:bCs/>
          <w:color w:val="auto"/>
          <w:sz w:val="32"/>
          <w:szCs w:val="32"/>
        </w:rPr>
        <w:t>供测算标准，预算项目的执行做到按计划支出，跟进序时进度，预算项目实施规范合理，项目完成接受审计监督，反馈结果及时整改</w:t>
      </w:r>
      <w:r>
        <w:rPr>
          <w:rFonts w:hint="eastAsia" w:ascii="仿宋_GB2312" w:hAnsi="仿宋" w:eastAsia="仿宋_GB2312"/>
          <w:bCs/>
          <w:sz w:val="32"/>
          <w:szCs w:val="32"/>
        </w:rPr>
        <w:t>，实现预算绩效管理与预算编制、执行、监督的有机结合。</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仿宋" w:eastAsia="仿宋_GB2312" w:cs="Times New Roman"/>
          <w:bCs/>
          <w:color w:val="auto"/>
          <w:sz w:val="32"/>
          <w:szCs w:val="32"/>
        </w:rPr>
      </w:pPr>
      <w:r>
        <w:rPr>
          <w:rFonts w:ascii="仿宋_GB2312" w:hAnsi="仿宋" w:eastAsia="仿宋_GB2312"/>
          <w:bCs/>
          <w:sz w:val="32"/>
          <w:szCs w:val="32"/>
        </w:rPr>
        <w:t>2.</w:t>
      </w:r>
      <w:r>
        <w:rPr>
          <w:rFonts w:hint="eastAsia" w:ascii="仿宋_GB2312" w:hAnsi="仿宋" w:eastAsia="仿宋_GB2312"/>
          <w:bCs/>
          <w:sz w:val="32"/>
          <w:szCs w:val="32"/>
        </w:rPr>
        <w:t>依</w:t>
      </w:r>
      <w:r>
        <w:rPr>
          <w:rFonts w:hint="eastAsia" w:ascii="仿宋_GB2312" w:hAnsi="仿宋" w:eastAsia="仿宋_GB2312" w:cs="Times New Roman"/>
          <w:bCs/>
          <w:color w:val="auto"/>
          <w:sz w:val="32"/>
          <w:szCs w:val="32"/>
        </w:rPr>
        <w:t>法依规做好绩效管理的公开工作。年度整体支出绩效评价做到了执行透明和预算支出监督的完整，进一步配合上级要求对部门整体绩效工作的监督工作的力度，</w:t>
      </w:r>
      <w:r>
        <w:rPr>
          <w:rFonts w:hint="eastAsia" w:ascii="仿宋_GB2312" w:hAnsi="仿宋" w:eastAsia="仿宋_GB2312" w:cs="Times New Roman"/>
          <w:bCs/>
          <w:color w:val="auto"/>
          <w:sz w:val="32"/>
          <w:szCs w:val="32"/>
          <w:lang w:eastAsia="zh-CN"/>
        </w:rPr>
        <w:t>我局</w:t>
      </w:r>
      <w:r>
        <w:rPr>
          <w:rFonts w:hint="eastAsia" w:ascii="仿宋_GB2312" w:hAnsi="仿宋" w:eastAsia="仿宋_GB2312" w:cs="Times New Roman"/>
          <w:bCs/>
          <w:color w:val="auto"/>
          <w:sz w:val="32"/>
          <w:szCs w:val="32"/>
        </w:rPr>
        <w:t>按时向社会公开了预决算，保障公民知情权，让财政资金和预算项目置于公众的监督之下，有利于降低行政事业单位廉政风险。</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楷体" w:hAnsi="楷体" w:eastAsia="楷体"/>
          <w:b/>
          <w:bCs/>
          <w:sz w:val="32"/>
          <w:szCs w:val="32"/>
        </w:rPr>
      </w:pPr>
      <w:r>
        <w:rPr>
          <w:rFonts w:hint="eastAsia" w:ascii="楷体" w:hAnsi="楷体" w:eastAsia="楷体"/>
          <w:b/>
          <w:bCs/>
          <w:sz w:val="32"/>
          <w:szCs w:val="32"/>
        </w:rPr>
        <w:t>（二）部门整体支出绩效存在问题及改进措施。</w:t>
      </w:r>
    </w:p>
    <w:p>
      <w:pPr>
        <w:keepNext w:val="0"/>
        <w:keepLines w:val="0"/>
        <w:pageBreakBefore w:val="0"/>
        <w:widowControl w:val="0"/>
        <w:kinsoku/>
        <w:wordWrap/>
        <w:overflowPunct/>
        <w:topLinePunct w:val="0"/>
        <w:bidi w:val="0"/>
        <w:snapToGrid/>
        <w:spacing w:line="240" w:lineRule="auto"/>
        <w:ind w:firstLine="643" w:firstLineChars="200"/>
        <w:textAlignment w:val="auto"/>
        <w:rPr>
          <w:rFonts w:hint="default" w:ascii="仿宋_GB2312" w:hAnsi="仿宋" w:eastAsia="仿宋_GB2312"/>
          <w:b/>
          <w:bCs w:val="0"/>
          <w:sz w:val="32"/>
          <w:szCs w:val="32"/>
          <w:lang w:val="en-US" w:eastAsia="zh-CN"/>
        </w:rPr>
      </w:pPr>
      <w:r>
        <w:rPr>
          <w:rFonts w:hint="eastAsia" w:ascii="仿宋_GB2312" w:hAnsi="仿宋" w:eastAsia="仿宋_GB2312"/>
          <w:b/>
          <w:bCs w:val="0"/>
          <w:sz w:val="32"/>
          <w:szCs w:val="32"/>
          <w:lang w:val="en-US" w:eastAsia="zh-CN"/>
        </w:rPr>
        <w:t>1.存在问题</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仿宋" w:eastAsia="仿宋_GB2312"/>
          <w:bCs/>
          <w:sz w:val="32"/>
          <w:szCs w:val="32"/>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1</w:t>
      </w:r>
      <w:r>
        <w:rPr>
          <w:rFonts w:hint="eastAsia" w:ascii="仿宋_GB2312" w:hAnsi="仿宋" w:eastAsia="仿宋_GB2312"/>
          <w:bCs/>
          <w:sz w:val="32"/>
          <w:szCs w:val="32"/>
          <w:lang w:eastAsia="zh-CN"/>
        </w:rPr>
        <w:t>）</w:t>
      </w:r>
      <w:r>
        <w:rPr>
          <w:rFonts w:hint="eastAsia" w:ascii="仿宋_GB2312" w:hAnsi="仿宋" w:eastAsia="仿宋_GB2312"/>
          <w:bCs/>
          <w:sz w:val="32"/>
          <w:szCs w:val="32"/>
        </w:rPr>
        <w:t>人员绩效理念</w:t>
      </w:r>
      <w:r>
        <w:rPr>
          <w:rFonts w:hint="eastAsia" w:ascii="仿宋_GB2312" w:hAnsi="仿宋" w:eastAsia="仿宋_GB2312"/>
          <w:bCs/>
          <w:sz w:val="32"/>
          <w:szCs w:val="32"/>
          <w:lang w:val="en-US" w:eastAsia="zh-CN"/>
        </w:rPr>
        <w:t>和业务能力</w:t>
      </w:r>
      <w:r>
        <w:rPr>
          <w:rFonts w:hint="eastAsia" w:ascii="仿宋_GB2312" w:hAnsi="仿宋" w:eastAsia="仿宋_GB2312"/>
          <w:bCs/>
          <w:sz w:val="32"/>
          <w:szCs w:val="32"/>
        </w:rPr>
        <w:t>有待加强。部分人员对绩效评价工作的认识还不够深入，工作缺乏指导，存在部门项目绩效目标申报表存在填报内容不规范、绩效指标细化程度不足的情况。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Times New Roman"/>
          <w:bCs/>
          <w:sz w:val="32"/>
          <w:szCs w:val="32"/>
          <w:lang w:val="en-US" w:eastAsia="zh-CN"/>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2</w:t>
      </w:r>
      <w:r>
        <w:rPr>
          <w:rFonts w:hint="eastAsia" w:ascii="仿宋_GB2312" w:hAnsi="仿宋" w:eastAsia="仿宋_GB2312"/>
          <w:bCs/>
          <w:sz w:val="32"/>
          <w:szCs w:val="32"/>
          <w:lang w:eastAsia="zh-CN"/>
        </w:rPr>
        <w:t>）</w:t>
      </w:r>
      <w:r>
        <w:rPr>
          <w:rFonts w:hint="eastAsia" w:ascii="仿宋_GB2312" w:hAnsi="仿宋" w:eastAsia="仿宋_GB2312" w:cs="Times New Roman"/>
          <w:bCs/>
          <w:sz w:val="32"/>
          <w:szCs w:val="32"/>
          <w:lang w:val="en-US" w:eastAsia="zh-CN"/>
        </w:rPr>
        <w:t>我局2020年末在编人数209人，其他人员839人，编外人员控制率80.06%，比率远超10%。</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000000"/>
          <w:kern w:val="0"/>
          <w:sz w:val="32"/>
          <w:szCs w:val="32"/>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3</w:t>
      </w:r>
      <w:r>
        <w:rPr>
          <w:rFonts w:hint="eastAsia" w:ascii="仿宋_GB2312" w:hAnsi="仿宋" w:eastAsia="仿宋_GB2312"/>
          <w:bCs/>
          <w:sz w:val="32"/>
          <w:szCs w:val="32"/>
          <w:lang w:eastAsia="zh-CN"/>
        </w:rPr>
        <w:t>）</w:t>
      </w:r>
      <w:r>
        <w:rPr>
          <w:rFonts w:hint="eastAsia" w:ascii="仿宋_GB2312" w:eastAsia="仿宋_GB2312"/>
          <w:color w:val="000000"/>
          <w:kern w:val="0"/>
          <w:sz w:val="32"/>
          <w:szCs w:val="32"/>
          <w:lang w:eastAsia="zh-CN"/>
        </w:rPr>
        <w:t>我局</w:t>
      </w:r>
      <w:r>
        <w:rPr>
          <w:rFonts w:ascii="仿宋_GB2312" w:eastAsia="仿宋_GB2312"/>
          <w:color w:val="000000"/>
          <w:kern w:val="0"/>
          <w:sz w:val="32"/>
          <w:szCs w:val="32"/>
        </w:rPr>
        <w:t>2020</w:t>
      </w:r>
      <w:r>
        <w:rPr>
          <w:rFonts w:hint="eastAsia" w:ascii="仿宋_GB2312" w:eastAsia="仿宋_GB2312"/>
          <w:color w:val="000000"/>
          <w:kern w:val="0"/>
          <w:sz w:val="32"/>
          <w:szCs w:val="32"/>
        </w:rPr>
        <w:t>年日常公用经费预算数为</w:t>
      </w:r>
      <w:r>
        <w:rPr>
          <w:rFonts w:hint="eastAsia" w:ascii="仿宋_GB2312" w:eastAsia="仿宋_GB2312"/>
          <w:color w:val="000000"/>
          <w:kern w:val="0"/>
          <w:sz w:val="32"/>
          <w:szCs w:val="32"/>
          <w:lang w:val="en-US" w:eastAsia="zh-CN"/>
        </w:rPr>
        <w:t>2,990.03</w:t>
      </w:r>
      <w:r>
        <w:rPr>
          <w:rFonts w:hint="eastAsia" w:ascii="仿宋_GB2312" w:eastAsia="仿宋_GB2312"/>
          <w:color w:val="000000"/>
          <w:kern w:val="0"/>
          <w:sz w:val="32"/>
          <w:szCs w:val="32"/>
        </w:rPr>
        <w:t>万元,调整预算数为</w:t>
      </w:r>
      <w:r>
        <w:rPr>
          <w:rFonts w:hint="eastAsia" w:ascii="仿宋_GB2312" w:eastAsia="仿宋_GB2312"/>
          <w:color w:val="000000"/>
          <w:kern w:val="0"/>
          <w:sz w:val="32"/>
          <w:szCs w:val="32"/>
          <w:lang w:val="en-US" w:eastAsia="zh-CN"/>
        </w:rPr>
        <w:t>2,731.92</w:t>
      </w:r>
      <w:r>
        <w:rPr>
          <w:rFonts w:hint="eastAsia" w:ascii="仿宋_GB2312" w:eastAsia="仿宋_GB2312"/>
          <w:color w:val="000000"/>
          <w:kern w:val="0"/>
          <w:sz w:val="32"/>
          <w:szCs w:val="32"/>
        </w:rPr>
        <w:t>万元，决算数为</w:t>
      </w:r>
      <w:r>
        <w:rPr>
          <w:rFonts w:hint="eastAsia" w:ascii="仿宋_GB2312" w:eastAsia="仿宋_GB2312"/>
          <w:color w:val="000000"/>
          <w:kern w:val="0"/>
          <w:sz w:val="32"/>
          <w:szCs w:val="32"/>
          <w:lang w:val="en-US" w:eastAsia="zh-CN"/>
        </w:rPr>
        <w:t>2,731.52</w:t>
      </w:r>
      <w:r>
        <w:rPr>
          <w:rFonts w:hint="eastAsia" w:ascii="仿宋_GB2312" w:eastAsia="仿宋_GB2312"/>
          <w:color w:val="000000"/>
          <w:kern w:val="0"/>
          <w:sz w:val="32"/>
          <w:szCs w:val="32"/>
        </w:rPr>
        <w:t>万元。日常公用经费控制率为</w:t>
      </w:r>
      <w:r>
        <w:rPr>
          <w:rFonts w:hint="eastAsia" w:ascii="仿宋_GB2312" w:eastAsia="仿宋_GB2312"/>
          <w:color w:val="000000"/>
          <w:kern w:val="0"/>
          <w:sz w:val="32"/>
          <w:szCs w:val="32"/>
          <w:lang w:val="en-US" w:eastAsia="zh-CN"/>
        </w:rPr>
        <w:t>99.99</w:t>
      </w:r>
      <w:r>
        <w:rPr>
          <w:rFonts w:ascii="仿宋_GB2312" w:eastAsia="仿宋_GB2312"/>
          <w:color w:val="000000"/>
          <w:kern w:val="0"/>
          <w:sz w:val="32"/>
          <w:szCs w:val="32"/>
        </w:rPr>
        <w:t>%,</w:t>
      </w:r>
      <w:r>
        <w:rPr>
          <w:rFonts w:hint="eastAsia" w:ascii="仿宋_GB2312" w:eastAsia="仿宋_GB2312"/>
          <w:color w:val="000000"/>
          <w:kern w:val="0"/>
          <w:sz w:val="32"/>
          <w:szCs w:val="32"/>
        </w:rPr>
        <w:t>日常公用经费控制情况良好</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但一般性压减不足</w:t>
      </w:r>
      <w:r>
        <w:rPr>
          <w:rFonts w:hint="eastAsia" w:ascii="仿宋_GB2312" w:eastAsia="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bCs/>
          <w:sz w:val="32"/>
          <w:szCs w:val="32"/>
          <w:lang w:eastAsia="zh-CN"/>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4</w:t>
      </w:r>
      <w:r>
        <w:rPr>
          <w:rFonts w:hint="eastAsia" w:ascii="仿宋_GB2312" w:hAnsi="仿宋" w:eastAsia="仿宋_GB2312"/>
          <w:bCs/>
          <w:sz w:val="32"/>
          <w:szCs w:val="32"/>
          <w:lang w:eastAsia="zh-CN"/>
        </w:rPr>
        <w:t>）</w:t>
      </w:r>
      <w:r>
        <w:rPr>
          <w:rFonts w:hint="eastAsia" w:ascii="仿宋_GB2312" w:hAnsi="仿宋" w:eastAsia="仿宋_GB2312" w:cs="Times New Roman"/>
          <w:bCs/>
          <w:sz w:val="32"/>
          <w:szCs w:val="32"/>
          <w:lang w:val="en-US" w:eastAsia="zh-CN"/>
        </w:rPr>
        <w:t>我局2020年第一、第二、第三、第四季度的预算执行率分别为</w:t>
      </w:r>
      <w:r>
        <w:rPr>
          <w:rFonts w:hint="eastAsia" w:ascii="仿宋_GB2312" w:eastAsia="仿宋_GB2312"/>
          <w:color w:val="000000"/>
          <w:kern w:val="0"/>
          <w:sz w:val="32"/>
          <w:szCs w:val="32"/>
          <w:highlight w:val="none"/>
          <w:lang w:val="en-US" w:eastAsia="zh-CN"/>
        </w:rPr>
        <w:t>33.8</w:t>
      </w:r>
      <w:r>
        <w:rPr>
          <w:rFonts w:ascii="仿宋_GB2312" w:eastAsia="仿宋_GB2312"/>
          <w:color w:val="000000"/>
          <w:kern w:val="0"/>
          <w:sz w:val="32"/>
          <w:szCs w:val="32"/>
          <w:highlight w:val="none"/>
        </w:rPr>
        <w:t>%</w:t>
      </w:r>
      <w:r>
        <w:rPr>
          <w:rFonts w:hint="eastAsia" w:ascii="仿宋_GB2312" w:eastAsia="仿宋_GB2312"/>
          <w:color w:val="000000"/>
          <w:kern w:val="0"/>
          <w:sz w:val="32"/>
          <w:szCs w:val="32"/>
          <w:highlight w:val="none"/>
        </w:rPr>
        <w:t>、</w:t>
      </w:r>
      <w:r>
        <w:rPr>
          <w:rFonts w:hint="eastAsia" w:ascii="仿宋_GB2312" w:eastAsia="仿宋_GB2312"/>
          <w:color w:val="000000"/>
          <w:kern w:val="0"/>
          <w:sz w:val="32"/>
          <w:szCs w:val="32"/>
          <w:lang w:val="en-US" w:eastAsia="zh-CN"/>
        </w:rPr>
        <w:t>54.07</w:t>
      </w:r>
      <w:r>
        <w:rPr>
          <w:rFonts w:ascii="仿宋_GB2312" w:eastAsia="仿宋_GB2312"/>
          <w:color w:val="000000"/>
          <w:kern w:val="0"/>
          <w:sz w:val="32"/>
          <w:szCs w:val="32"/>
        </w:rPr>
        <w:t>%</w:t>
      </w:r>
      <w:r>
        <w:rPr>
          <w:rFonts w:hint="eastAsia" w:ascii="仿宋_GB2312" w:eastAsia="仿宋_GB2312"/>
          <w:color w:val="000000"/>
          <w:kern w:val="0"/>
          <w:sz w:val="32"/>
          <w:szCs w:val="32"/>
        </w:rPr>
        <w:t>、8</w:t>
      </w:r>
      <w:r>
        <w:rPr>
          <w:rFonts w:hint="eastAsia" w:ascii="仿宋_GB2312" w:eastAsia="仿宋_GB2312"/>
          <w:color w:val="000000"/>
          <w:kern w:val="0"/>
          <w:sz w:val="32"/>
          <w:szCs w:val="32"/>
          <w:lang w:val="en-US" w:eastAsia="zh-CN"/>
        </w:rPr>
        <w:t>1.36</w:t>
      </w:r>
      <w:r>
        <w:rPr>
          <w:rFonts w:ascii="仿宋_GB2312" w:eastAsia="仿宋_GB2312"/>
          <w:color w:val="000000"/>
          <w:kern w:val="0"/>
          <w:sz w:val="32"/>
          <w:szCs w:val="32"/>
        </w:rPr>
        <w:t>%</w:t>
      </w:r>
      <w:r>
        <w:rPr>
          <w:rFonts w:hint="eastAsia" w:ascii="仿宋_GB2312" w:eastAsia="仿宋_GB2312"/>
          <w:color w:val="000000"/>
          <w:kern w:val="0"/>
          <w:sz w:val="32"/>
          <w:szCs w:val="32"/>
        </w:rPr>
        <w:t>、9</w:t>
      </w:r>
      <w:r>
        <w:rPr>
          <w:rFonts w:hint="eastAsia" w:ascii="仿宋_GB2312" w:eastAsia="仿宋_GB2312"/>
          <w:color w:val="000000"/>
          <w:kern w:val="0"/>
          <w:sz w:val="32"/>
          <w:szCs w:val="32"/>
          <w:lang w:val="en-US" w:eastAsia="zh-CN"/>
        </w:rPr>
        <w:t>8.39</w:t>
      </w:r>
      <w:r>
        <w:rPr>
          <w:rFonts w:ascii="仿宋_GB2312" w:eastAsia="仿宋_GB2312"/>
          <w:color w:val="000000"/>
          <w:kern w:val="0"/>
          <w:sz w:val="32"/>
          <w:szCs w:val="32"/>
        </w:rPr>
        <w:t>%</w:t>
      </w:r>
      <w:r>
        <w:rPr>
          <w:rFonts w:hint="eastAsia" w:ascii="仿宋_GB2312" w:hAnsi="仿宋" w:eastAsia="仿宋_GB2312" w:cs="Times New Roman"/>
          <w:bCs/>
          <w:sz w:val="32"/>
          <w:szCs w:val="32"/>
          <w:lang w:val="en-US" w:eastAsia="zh-CN"/>
        </w:rPr>
        <w:t>，平均执行率为66.91%，第四季度预算执行率偏低，且全年预算执行不均衡。</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仿宋_GB2312" w:hAnsi="仿宋" w:eastAsia="仿宋_GB2312"/>
          <w:b/>
          <w:bCs/>
          <w:sz w:val="32"/>
          <w:szCs w:val="32"/>
        </w:rPr>
      </w:pPr>
      <w:r>
        <w:rPr>
          <w:rFonts w:ascii="仿宋_GB2312" w:hAnsi="仿宋" w:eastAsia="仿宋_GB2312"/>
          <w:b/>
          <w:bCs/>
          <w:sz w:val="32"/>
          <w:szCs w:val="32"/>
        </w:rPr>
        <w:t>2.</w:t>
      </w:r>
      <w:r>
        <w:rPr>
          <w:rFonts w:hint="eastAsia" w:ascii="仿宋_GB2312" w:hAnsi="仿宋" w:eastAsia="仿宋_GB2312"/>
          <w:b/>
          <w:bCs/>
          <w:sz w:val="32"/>
          <w:szCs w:val="32"/>
        </w:rPr>
        <w:t>改进措施</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仿宋" w:eastAsia="仿宋_GB2312" w:cs="Times New Roman"/>
          <w:bCs/>
          <w:sz w:val="32"/>
          <w:szCs w:val="32"/>
        </w:rPr>
      </w:pPr>
      <w:r>
        <w:rPr>
          <w:rFonts w:hint="eastAsia" w:ascii="仿宋_GB2312" w:hAnsi="仿宋" w:eastAsia="仿宋_GB2312" w:cs="Times New Roman"/>
          <w:bCs/>
          <w:sz w:val="32"/>
          <w:szCs w:val="32"/>
          <w:lang w:eastAsia="zh-CN"/>
        </w:rPr>
        <w:t>（</w:t>
      </w:r>
      <w:r>
        <w:rPr>
          <w:rFonts w:hint="eastAsia" w:ascii="仿宋_GB2312" w:hAnsi="仿宋" w:eastAsia="仿宋_GB2312" w:cs="Times New Roman"/>
          <w:bCs/>
          <w:sz w:val="32"/>
          <w:szCs w:val="32"/>
          <w:lang w:val="en-US" w:eastAsia="zh-CN"/>
        </w:rPr>
        <w:t>1</w:t>
      </w:r>
      <w:r>
        <w:rPr>
          <w:rFonts w:hint="eastAsia" w:ascii="仿宋_GB2312" w:hAnsi="仿宋" w:eastAsia="仿宋_GB2312" w:cs="Times New Roman"/>
          <w:bCs/>
          <w:sz w:val="32"/>
          <w:szCs w:val="32"/>
          <w:lang w:eastAsia="zh-CN"/>
        </w:rPr>
        <w:t>）</w:t>
      </w:r>
      <w:r>
        <w:rPr>
          <w:rFonts w:hint="eastAsia" w:ascii="仿宋_GB2312" w:hAnsi="仿宋" w:eastAsia="仿宋_GB2312" w:cs="Times New Roman"/>
          <w:bCs/>
          <w:sz w:val="32"/>
          <w:szCs w:val="32"/>
        </w:rPr>
        <w:t>加强队伍建设，提升业务素质。由</w:t>
      </w:r>
      <w:r>
        <w:rPr>
          <w:rFonts w:hint="eastAsia" w:ascii="仿宋_GB2312" w:hAnsi="仿宋" w:eastAsia="仿宋_GB2312" w:cs="Times New Roman"/>
          <w:bCs/>
          <w:sz w:val="32"/>
          <w:szCs w:val="32"/>
          <w:lang w:val="en-US" w:eastAsia="zh-CN"/>
        </w:rPr>
        <w:t>综合科</w:t>
      </w:r>
      <w:r>
        <w:rPr>
          <w:rFonts w:hint="eastAsia" w:ascii="仿宋_GB2312" w:hAnsi="仿宋" w:eastAsia="仿宋_GB2312" w:cs="Times New Roman"/>
          <w:bCs/>
          <w:sz w:val="32"/>
          <w:szCs w:val="32"/>
        </w:rPr>
        <w:t>组织多种形式开展多层次的业务培训，培训范围涵盖各部门，利用部门预算部署会，布置绩效目标管理工作的同时，并对资金绩效目标编制进行专门的培训与辅导，促进对绩效管理专业知识的学习，从而提高绩效管理业务工作能力。</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bCs/>
          <w:sz w:val="32"/>
          <w:szCs w:val="32"/>
          <w:lang w:val="en-US" w:eastAsia="zh-CN"/>
        </w:rPr>
      </w:pPr>
      <w:r>
        <w:rPr>
          <w:rFonts w:hint="eastAsia" w:ascii="仿宋_GB2312" w:hAnsi="仿宋" w:eastAsia="仿宋_GB2312" w:cs="Times New Roman"/>
          <w:bCs/>
          <w:sz w:val="32"/>
          <w:szCs w:val="32"/>
          <w:lang w:eastAsia="zh-CN"/>
        </w:rPr>
        <w:t>（</w:t>
      </w:r>
      <w:r>
        <w:rPr>
          <w:rFonts w:hint="eastAsia" w:ascii="仿宋_GB2312" w:hAnsi="仿宋" w:eastAsia="仿宋_GB2312" w:cs="Times New Roman"/>
          <w:bCs/>
          <w:sz w:val="32"/>
          <w:szCs w:val="32"/>
          <w:lang w:val="en-US" w:eastAsia="zh-CN"/>
        </w:rPr>
        <w:t>2</w:t>
      </w:r>
      <w:r>
        <w:rPr>
          <w:rFonts w:hint="eastAsia" w:ascii="仿宋_GB2312" w:hAnsi="仿宋" w:eastAsia="仿宋_GB2312" w:cs="Times New Roman"/>
          <w:bCs/>
          <w:sz w:val="32"/>
          <w:szCs w:val="32"/>
          <w:lang w:eastAsia="zh-CN"/>
        </w:rPr>
        <w:t>）</w:t>
      </w:r>
      <w:r>
        <w:rPr>
          <w:rFonts w:hint="eastAsia" w:ascii="仿宋_GB2312" w:hAnsi="仿宋" w:eastAsia="仿宋_GB2312"/>
          <w:bCs/>
          <w:sz w:val="32"/>
          <w:szCs w:val="32"/>
          <w:lang w:val="en-US" w:eastAsia="zh-CN"/>
        </w:rPr>
        <w:t>进一步加强辅警及其他编外人员的用工管理，规范录用程序，健全管理制度，由专人负责编外人员管理工作事务。各科室聘用编外人员必须提出书面申请，通过局领导会议研究决定，并报区人事局审批同意，按需聘用编外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cs="Times New Roman"/>
          <w:bCs/>
          <w:sz w:val="32"/>
          <w:szCs w:val="32"/>
          <w:lang w:eastAsia="zh-CN"/>
        </w:rPr>
      </w:pPr>
      <w:r>
        <w:rPr>
          <w:rFonts w:hint="eastAsia" w:ascii="仿宋_GB2312" w:hAnsi="仿宋" w:eastAsia="仿宋_GB2312" w:cs="Times New Roman"/>
          <w:bCs/>
          <w:sz w:val="32"/>
          <w:szCs w:val="32"/>
          <w:lang w:val="en-US" w:eastAsia="zh-CN"/>
        </w:rPr>
        <w:t>（3）</w:t>
      </w:r>
      <w:r>
        <w:rPr>
          <w:rFonts w:hint="default" w:ascii="仿宋_GB2312" w:hAnsi="仿宋" w:eastAsia="仿宋_GB2312" w:cs="Times New Roman"/>
          <w:bCs/>
          <w:sz w:val="32"/>
          <w:szCs w:val="32"/>
          <w:lang w:val="en-US" w:eastAsia="zh-CN"/>
        </w:rPr>
        <w:t>坚持以收定支，落实过</w:t>
      </w:r>
      <w:r>
        <w:rPr>
          <w:rFonts w:hint="eastAsia" w:ascii="仿宋_GB2312" w:hAnsi="仿宋" w:eastAsia="仿宋_GB2312" w:cs="Times New Roman"/>
          <w:bCs/>
          <w:sz w:val="32"/>
          <w:szCs w:val="32"/>
          <w:lang w:val="en-US" w:eastAsia="zh-CN"/>
        </w:rPr>
        <w:t>“</w:t>
      </w:r>
      <w:r>
        <w:rPr>
          <w:rFonts w:hint="default" w:ascii="仿宋_GB2312" w:hAnsi="仿宋" w:eastAsia="仿宋_GB2312" w:cs="Times New Roman"/>
          <w:bCs/>
          <w:sz w:val="32"/>
          <w:szCs w:val="32"/>
          <w:lang w:val="en-US" w:eastAsia="zh-CN"/>
        </w:rPr>
        <w:t>紧</w:t>
      </w:r>
      <w:r>
        <w:rPr>
          <w:rFonts w:hint="eastAsia" w:ascii="仿宋_GB2312" w:hAnsi="仿宋" w:eastAsia="仿宋_GB2312" w:cs="Times New Roman"/>
          <w:bCs/>
          <w:sz w:val="32"/>
          <w:szCs w:val="32"/>
          <w:lang w:val="en-US" w:eastAsia="zh-CN"/>
        </w:rPr>
        <w:t>”</w:t>
      </w:r>
      <w:r>
        <w:rPr>
          <w:rFonts w:hint="default" w:ascii="仿宋_GB2312" w:hAnsi="仿宋" w:eastAsia="仿宋_GB2312" w:cs="Times New Roman"/>
          <w:bCs/>
          <w:sz w:val="32"/>
          <w:szCs w:val="32"/>
          <w:lang w:val="en-US" w:eastAsia="zh-CN"/>
        </w:rPr>
        <w:t>日子要求</w:t>
      </w:r>
      <w:r>
        <w:rPr>
          <w:rFonts w:hint="eastAsia" w:ascii="仿宋_GB2312" w:hAnsi="仿宋" w:eastAsia="仿宋_GB2312" w:cs="Times New Roman"/>
          <w:bCs/>
          <w:sz w:val="32"/>
          <w:szCs w:val="32"/>
          <w:lang w:val="en-US" w:eastAsia="zh-CN"/>
        </w:rPr>
        <w:t>。</w:t>
      </w:r>
      <w:r>
        <w:rPr>
          <w:rFonts w:hint="default" w:ascii="仿宋_GB2312" w:hAnsi="仿宋" w:eastAsia="仿宋_GB2312" w:cs="Times New Roman"/>
          <w:bCs/>
          <w:sz w:val="32"/>
          <w:szCs w:val="32"/>
          <w:lang w:val="en-US" w:eastAsia="zh-CN"/>
        </w:rPr>
        <w:t>一是</w:t>
      </w:r>
      <w:r>
        <w:rPr>
          <w:rFonts w:hint="eastAsia" w:ascii="仿宋_GB2312" w:hAnsi="仿宋" w:eastAsia="仿宋_GB2312" w:cs="Times New Roman"/>
          <w:bCs/>
          <w:sz w:val="32"/>
          <w:szCs w:val="32"/>
          <w:lang w:val="en-US" w:eastAsia="zh-CN"/>
        </w:rPr>
        <w:t>坚持以收定支，收入预算实事求是、合理预测，审慎确定收入预期目标，支出预算坚持有多少钱办多少事，根据财政收入严控支出增幅，杜绝超越财力安排支出。二是要进一步压减一般性支出，对于非刚性、非重点项目支出要可压尽压、应压尽压，对于重点支出，也要按照从严从紧、能省则省的原则审核安排。</w:t>
      </w:r>
    </w:p>
    <w:p>
      <w:pPr>
        <w:pStyle w:val="2"/>
        <w:keepNext w:val="0"/>
        <w:keepLines w:val="0"/>
        <w:pageBreakBefore w:val="0"/>
        <w:widowControl w:val="0"/>
        <w:kinsoku/>
        <w:wordWrap/>
        <w:overflowPunct/>
        <w:topLinePunct w:val="0"/>
        <w:bidi w:val="0"/>
        <w:snapToGrid/>
        <w:spacing w:line="240" w:lineRule="auto"/>
        <w:ind w:left="0" w:leftChars="0" w:firstLine="640" w:firstLineChars="200"/>
        <w:jc w:val="both"/>
        <w:textAlignment w:val="auto"/>
        <w:rPr>
          <w:rFonts w:hint="eastAsia" w:ascii="仿宋_GB2312" w:hAnsi="仿宋" w:eastAsia="仿宋_GB2312" w:cs="Times New Roman"/>
          <w:bCs/>
          <w:kern w:val="2"/>
          <w:sz w:val="32"/>
          <w:szCs w:val="32"/>
          <w:lang w:val="en-US" w:eastAsia="zh-CN" w:bidi="ar-SA"/>
        </w:rPr>
      </w:pPr>
      <w:r>
        <w:rPr>
          <w:rFonts w:hint="eastAsia" w:ascii="仿宋_GB2312" w:hAnsi="仿宋" w:eastAsia="仿宋_GB2312" w:cs="Times New Roman"/>
          <w:bCs/>
          <w:kern w:val="2"/>
          <w:sz w:val="32"/>
          <w:szCs w:val="32"/>
          <w:lang w:val="en-US" w:eastAsia="zh-CN" w:bidi="ar-SA"/>
        </w:rPr>
        <w:t>（4）保障资金执行进度。加快项目实施进度的推进，定期做好支出财务分析，及时对资金执行情况进行通报和预警。加强项目开展进度的跟踪，加强对绩效管理工作的跟踪督查，做到绩效管理有依据、按程序、有奖惩，实现绩效管理的规范化、常态化，确保项目绩效目标的完成，发挥资金的使用效益。</w:t>
      </w:r>
    </w:p>
    <w:p>
      <w:pPr>
        <w:keepNext w:val="0"/>
        <w:keepLines w:val="0"/>
        <w:pageBreakBefore w:val="0"/>
        <w:widowControl w:val="0"/>
        <w:kinsoku/>
        <w:wordWrap/>
        <w:overflowPunct/>
        <w:topLinePunct w:val="0"/>
        <w:bidi w:val="0"/>
        <w:snapToGrid/>
        <w:spacing w:line="240" w:lineRule="auto"/>
        <w:ind w:firstLine="643" w:firstLineChars="200"/>
        <w:textAlignment w:val="auto"/>
        <w:rPr>
          <w:rFonts w:ascii="楷体" w:hAnsi="楷体" w:eastAsia="楷体"/>
          <w:b/>
          <w:bCs/>
          <w:sz w:val="32"/>
          <w:szCs w:val="32"/>
        </w:rPr>
      </w:pPr>
      <w:r>
        <w:rPr>
          <w:rFonts w:hint="eastAsia" w:ascii="楷体" w:hAnsi="楷体" w:eastAsia="楷体"/>
          <w:b/>
          <w:bCs/>
          <w:sz w:val="32"/>
          <w:szCs w:val="32"/>
        </w:rPr>
        <w:t>（三）后续工作计划、相关建议等。</w:t>
      </w:r>
    </w:p>
    <w:p>
      <w:pPr>
        <w:pStyle w:val="2"/>
        <w:keepNext w:val="0"/>
        <w:keepLines w:val="0"/>
        <w:pageBreakBefore w:val="0"/>
        <w:widowControl w:val="0"/>
        <w:kinsoku/>
        <w:wordWrap/>
        <w:overflowPunct/>
        <w:topLinePunct w:val="0"/>
        <w:bidi w:val="0"/>
        <w:snapToGrid/>
        <w:spacing w:line="240" w:lineRule="auto"/>
        <w:ind w:left="0" w:leftChars="0" w:firstLine="640" w:firstLineChars="200"/>
        <w:jc w:val="both"/>
        <w:textAlignment w:val="auto"/>
        <w:rPr>
          <w:rFonts w:hint="eastAsia" w:ascii="仿宋_GB2312" w:hAnsi="仿宋" w:eastAsia="仿宋_GB2312" w:cs="Times New Roman"/>
          <w:bCs/>
          <w:kern w:val="2"/>
          <w:sz w:val="32"/>
          <w:szCs w:val="32"/>
          <w:lang w:val="en-US" w:eastAsia="zh-CN" w:bidi="ar-SA"/>
        </w:rPr>
      </w:pPr>
      <w:r>
        <w:rPr>
          <w:rFonts w:hint="eastAsia" w:ascii="仿宋_GB2312" w:hAnsi="仿宋" w:eastAsia="仿宋_GB2312" w:cs="Times New Roman"/>
          <w:bCs/>
          <w:kern w:val="2"/>
          <w:sz w:val="32"/>
          <w:szCs w:val="32"/>
          <w:lang w:val="en-US" w:eastAsia="zh-CN" w:bidi="ar-SA"/>
        </w:rPr>
        <w:t>1.</w:t>
      </w:r>
      <w:r>
        <w:rPr>
          <w:rFonts w:hint="default" w:ascii="仿宋_GB2312" w:hAnsi="仿宋" w:eastAsia="仿宋_GB2312" w:cs="Times New Roman"/>
          <w:bCs/>
          <w:kern w:val="2"/>
          <w:sz w:val="32"/>
          <w:szCs w:val="32"/>
          <w:lang w:val="en-US" w:eastAsia="zh-CN" w:bidi="ar-SA"/>
        </w:rPr>
        <w:t>建议</w:t>
      </w:r>
      <w:r>
        <w:rPr>
          <w:rFonts w:hint="eastAsia" w:ascii="仿宋_GB2312" w:hAnsi="仿宋" w:eastAsia="仿宋_GB2312" w:cs="Times New Roman"/>
          <w:bCs/>
          <w:kern w:val="2"/>
          <w:sz w:val="32"/>
          <w:szCs w:val="32"/>
          <w:lang w:val="en-US" w:eastAsia="zh-CN" w:bidi="ar-SA"/>
        </w:rPr>
        <w:t>新区发展和</w:t>
      </w:r>
      <w:r>
        <w:rPr>
          <w:rFonts w:hint="default" w:ascii="仿宋_GB2312" w:hAnsi="仿宋" w:eastAsia="仿宋_GB2312" w:cs="Times New Roman"/>
          <w:bCs/>
          <w:kern w:val="2"/>
          <w:sz w:val="32"/>
          <w:szCs w:val="32"/>
          <w:lang w:val="en-US" w:eastAsia="zh-CN" w:bidi="ar-SA"/>
        </w:rPr>
        <w:t>财政局加大对我局科技强警等项目的预算保障，以切实支撑项目实现预定目标。</w:t>
      </w:r>
    </w:p>
    <w:p>
      <w:pPr>
        <w:pStyle w:val="2"/>
        <w:keepNext w:val="0"/>
        <w:keepLines w:val="0"/>
        <w:pageBreakBefore w:val="0"/>
        <w:widowControl w:val="0"/>
        <w:kinsoku/>
        <w:wordWrap/>
        <w:overflowPunct/>
        <w:topLinePunct w:val="0"/>
        <w:bidi w:val="0"/>
        <w:snapToGrid/>
        <w:spacing w:line="240" w:lineRule="auto"/>
        <w:ind w:left="0" w:leftChars="0" w:firstLine="640" w:firstLineChars="200"/>
        <w:jc w:val="both"/>
        <w:textAlignment w:val="auto"/>
        <w:rPr>
          <w:rFonts w:hint="default" w:ascii="仿宋_GB2312" w:hAnsi="仿宋" w:eastAsia="仿宋_GB2312" w:cs="Times New Roman"/>
          <w:bCs/>
          <w:kern w:val="2"/>
          <w:sz w:val="32"/>
          <w:szCs w:val="32"/>
          <w:lang w:val="en-US" w:eastAsia="zh-CN" w:bidi="ar-SA"/>
        </w:rPr>
      </w:pPr>
      <w:r>
        <w:rPr>
          <w:rFonts w:hint="eastAsia" w:ascii="仿宋_GB2312" w:hAnsi="仿宋" w:eastAsia="仿宋_GB2312" w:cs="Times New Roman"/>
          <w:bCs/>
          <w:kern w:val="2"/>
          <w:sz w:val="32"/>
          <w:szCs w:val="32"/>
          <w:lang w:val="en-US" w:eastAsia="zh-CN" w:bidi="ar-SA"/>
        </w:rPr>
        <w:t>2.</w:t>
      </w:r>
      <w:r>
        <w:rPr>
          <w:rFonts w:hint="default" w:ascii="仿宋_GB2312" w:hAnsi="仿宋" w:eastAsia="仿宋_GB2312" w:cs="Times New Roman"/>
          <w:bCs/>
          <w:kern w:val="2"/>
          <w:sz w:val="32"/>
          <w:szCs w:val="32"/>
          <w:lang w:val="en-US" w:eastAsia="zh-CN" w:bidi="ar-SA"/>
        </w:rPr>
        <w:t>建议</w:t>
      </w:r>
      <w:r>
        <w:rPr>
          <w:rFonts w:hint="eastAsia" w:ascii="仿宋_GB2312" w:hAnsi="仿宋" w:eastAsia="仿宋_GB2312" w:cs="Times New Roman"/>
          <w:bCs/>
          <w:kern w:val="2"/>
          <w:sz w:val="32"/>
          <w:szCs w:val="32"/>
          <w:lang w:val="en-US" w:eastAsia="zh-CN" w:bidi="ar-SA"/>
        </w:rPr>
        <w:t>新区发展和</w:t>
      </w:r>
      <w:r>
        <w:rPr>
          <w:rFonts w:hint="default" w:ascii="仿宋_GB2312" w:hAnsi="仿宋" w:eastAsia="仿宋_GB2312" w:cs="Times New Roman"/>
          <w:bCs/>
          <w:kern w:val="2"/>
          <w:sz w:val="32"/>
          <w:szCs w:val="32"/>
          <w:lang w:val="en-US" w:eastAsia="zh-CN" w:bidi="ar-SA"/>
        </w:rPr>
        <w:t>财政局在专项经费的拨款上，能根据我</w:t>
      </w:r>
      <w:r>
        <w:rPr>
          <w:rFonts w:hint="eastAsia" w:ascii="仿宋_GB2312" w:hAnsi="仿宋" w:eastAsia="仿宋_GB2312" w:cs="Times New Roman"/>
          <w:bCs/>
          <w:kern w:val="2"/>
          <w:sz w:val="32"/>
          <w:szCs w:val="32"/>
          <w:lang w:val="en-US" w:eastAsia="zh-CN" w:bidi="ar-SA"/>
        </w:rPr>
        <w:t>区</w:t>
      </w:r>
      <w:r>
        <w:rPr>
          <w:rFonts w:hint="default" w:ascii="仿宋_GB2312" w:hAnsi="仿宋" w:eastAsia="仿宋_GB2312" w:cs="Times New Roman"/>
          <w:bCs/>
          <w:kern w:val="2"/>
          <w:sz w:val="32"/>
          <w:szCs w:val="32"/>
          <w:lang w:val="en-US" w:eastAsia="zh-CN" w:bidi="ar-SA"/>
        </w:rPr>
        <w:t>情况及国内形势，逐年有所上升，可适当缓解我局经费压力，使我局更好地履行职责，维护稳定，为创建</w:t>
      </w:r>
      <w:r>
        <w:rPr>
          <w:rFonts w:hint="eastAsia" w:ascii="仿宋_GB2312" w:hAnsi="仿宋" w:eastAsia="仿宋_GB2312" w:cs="Times New Roman"/>
          <w:bCs/>
          <w:kern w:val="2"/>
          <w:sz w:val="32"/>
          <w:szCs w:val="32"/>
          <w:lang w:val="en-US" w:eastAsia="zh-CN" w:bidi="ar-SA"/>
        </w:rPr>
        <w:t>“</w:t>
      </w:r>
      <w:r>
        <w:rPr>
          <w:rFonts w:hint="default" w:ascii="仿宋_GB2312" w:hAnsi="仿宋" w:eastAsia="仿宋_GB2312" w:cs="Times New Roman"/>
          <w:bCs/>
          <w:kern w:val="2"/>
          <w:sz w:val="32"/>
          <w:szCs w:val="32"/>
          <w:lang w:val="en-US" w:eastAsia="zh-CN" w:bidi="ar-SA"/>
        </w:rPr>
        <w:t>平安</w:t>
      </w:r>
      <w:r>
        <w:rPr>
          <w:rFonts w:hint="eastAsia" w:ascii="仿宋_GB2312" w:hAnsi="仿宋" w:eastAsia="仿宋_GB2312" w:cs="Times New Roman"/>
          <w:bCs/>
          <w:kern w:val="2"/>
          <w:sz w:val="32"/>
          <w:szCs w:val="32"/>
          <w:lang w:val="en-US" w:eastAsia="zh-CN" w:bidi="ar-SA"/>
        </w:rPr>
        <w:t>大鹏”</w:t>
      </w:r>
      <w:r>
        <w:rPr>
          <w:rFonts w:hint="default" w:ascii="仿宋_GB2312" w:hAnsi="仿宋" w:eastAsia="仿宋_GB2312" w:cs="Times New Roman"/>
          <w:bCs/>
          <w:kern w:val="2"/>
          <w:sz w:val="32"/>
          <w:szCs w:val="32"/>
          <w:lang w:val="en-US" w:eastAsia="zh-CN" w:bidi="ar-SA"/>
        </w:rPr>
        <w:t>服务。</w:t>
      </w:r>
    </w:p>
    <w:p>
      <w:pPr>
        <w:pStyle w:val="2"/>
        <w:keepNext w:val="0"/>
        <w:keepLines w:val="0"/>
        <w:pageBreakBefore w:val="0"/>
        <w:widowControl w:val="0"/>
        <w:kinsoku/>
        <w:wordWrap/>
        <w:overflowPunct/>
        <w:topLinePunct w:val="0"/>
        <w:bidi w:val="0"/>
        <w:snapToGrid/>
        <w:spacing w:line="240" w:lineRule="auto"/>
        <w:ind w:left="0" w:leftChars="0" w:firstLine="640" w:firstLineChars="200"/>
        <w:jc w:val="both"/>
        <w:textAlignment w:val="auto"/>
        <w:rPr>
          <w:rFonts w:hint="default" w:ascii="仿宋_GB2312" w:hAnsi="仿宋" w:eastAsia="仿宋_GB2312" w:cs="Times New Roman"/>
          <w:bCs/>
          <w:kern w:val="2"/>
          <w:sz w:val="32"/>
          <w:szCs w:val="32"/>
          <w:lang w:val="en-US" w:eastAsia="zh-CN" w:bidi="ar-SA"/>
        </w:rPr>
      </w:pPr>
      <w:r>
        <w:rPr>
          <w:rFonts w:hint="eastAsia" w:ascii="仿宋_GB2312" w:hAnsi="仿宋" w:eastAsia="仿宋_GB2312" w:cs="Times New Roman"/>
          <w:bCs/>
          <w:kern w:val="2"/>
          <w:sz w:val="32"/>
          <w:szCs w:val="32"/>
          <w:lang w:val="en-US" w:eastAsia="zh-CN" w:bidi="ar-SA"/>
        </w:rPr>
        <w:t>3.</w:t>
      </w:r>
      <w:r>
        <w:rPr>
          <w:rFonts w:hint="default" w:ascii="仿宋_GB2312" w:hAnsi="仿宋" w:eastAsia="仿宋_GB2312" w:cs="Times New Roman"/>
          <w:bCs/>
          <w:kern w:val="2"/>
          <w:sz w:val="32"/>
          <w:szCs w:val="32"/>
          <w:lang w:val="en-US" w:eastAsia="zh-CN" w:bidi="ar-SA"/>
        </w:rPr>
        <w:t>建议</w:t>
      </w:r>
      <w:r>
        <w:rPr>
          <w:rFonts w:hint="eastAsia" w:ascii="仿宋_GB2312" w:hAnsi="仿宋" w:eastAsia="仿宋_GB2312" w:cs="Times New Roman"/>
          <w:bCs/>
          <w:kern w:val="2"/>
          <w:sz w:val="32"/>
          <w:szCs w:val="32"/>
          <w:lang w:val="en-US" w:eastAsia="zh-CN" w:bidi="ar-SA"/>
        </w:rPr>
        <w:t>新区发展和</w:t>
      </w:r>
      <w:r>
        <w:rPr>
          <w:rFonts w:hint="default" w:ascii="仿宋_GB2312" w:hAnsi="仿宋" w:eastAsia="仿宋_GB2312" w:cs="Times New Roman"/>
          <w:bCs/>
          <w:kern w:val="2"/>
          <w:sz w:val="32"/>
          <w:szCs w:val="32"/>
          <w:lang w:val="en-US" w:eastAsia="zh-CN" w:bidi="ar-SA"/>
        </w:rPr>
        <w:t>财政局加强对专项资金尤其是重点专项资金的使用监管，切实使绩效管理渗透到资金运用的各个环节，事前干预优于事后检查。</w:t>
      </w:r>
    </w:p>
    <w:p>
      <w:pPr>
        <w:pStyle w:val="2"/>
        <w:keepNext w:val="0"/>
        <w:keepLines w:val="0"/>
        <w:pageBreakBefore w:val="0"/>
        <w:widowControl w:val="0"/>
        <w:kinsoku/>
        <w:wordWrap/>
        <w:overflowPunct/>
        <w:topLinePunct w:val="0"/>
        <w:bidi w:val="0"/>
        <w:snapToGrid/>
        <w:spacing w:line="240" w:lineRule="auto"/>
        <w:ind w:left="0" w:leftChars="0" w:firstLine="640" w:firstLineChars="200"/>
        <w:jc w:val="both"/>
        <w:textAlignment w:val="auto"/>
        <w:rPr>
          <w:rFonts w:hint="default" w:ascii="仿宋_GB2312" w:hAnsi="仿宋" w:eastAsia="仿宋_GB2312" w:cs="Times New Roman"/>
          <w:bCs/>
          <w:kern w:val="2"/>
          <w:sz w:val="32"/>
          <w:szCs w:val="32"/>
          <w:lang w:val="en-US" w:eastAsia="zh-CN" w:bidi="ar-SA"/>
        </w:rPr>
      </w:pPr>
      <w:r>
        <w:rPr>
          <w:rFonts w:hint="eastAsia" w:ascii="仿宋_GB2312" w:hAnsi="仿宋" w:eastAsia="仿宋_GB2312" w:cs="Times New Roman"/>
          <w:bCs/>
          <w:kern w:val="2"/>
          <w:sz w:val="32"/>
          <w:szCs w:val="32"/>
          <w:lang w:val="en-US" w:eastAsia="zh-CN" w:bidi="ar-SA"/>
        </w:rPr>
        <w:t>4.</w:t>
      </w:r>
      <w:r>
        <w:rPr>
          <w:rFonts w:hint="default" w:ascii="仿宋_GB2312" w:hAnsi="仿宋" w:eastAsia="仿宋_GB2312" w:cs="Times New Roman"/>
          <w:bCs/>
          <w:kern w:val="2"/>
          <w:sz w:val="32"/>
          <w:szCs w:val="32"/>
          <w:lang w:val="en-US" w:eastAsia="zh-CN" w:bidi="ar-SA"/>
        </w:rPr>
        <w:t>建议</w:t>
      </w:r>
      <w:r>
        <w:rPr>
          <w:rFonts w:hint="eastAsia" w:ascii="仿宋_GB2312" w:hAnsi="仿宋" w:eastAsia="仿宋_GB2312" w:cs="Times New Roman"/>
          <w:bCs/>
          <w:kern w:val="2"/>
          <w:sz w:val="32"/>
          <w:szCs w:val="32"/>
          <w:lang w:val="en-US" w:eastAsia="zh-CN" w:bidi="ar-SA"/>
        </w:rPr>
        <w:t>新区发展和</w:t>
      </w:r>
      <w:r>
        <w:rPr>
          <w:rFonts w:hint="default" w:ascii="仿宋_GB2312" w:hAnsi="仿宋" w:eastAsia="仿宋_GB2312" w:cs="Times New Roman"/>
          <w:bCs/>
          <w:kern w:val="2"/>
          <w:sz w:val="32"/>
          <w:szCs w:val="32"/>
          <w:lang w:val="en-US" w:eastAsia="zh-CN" w:bidi="ar-SA"/>
        </w:rPr>
        <w:t>财政局组织深入全面的绩效管理培训，提高部门对绩效管理政策的掌握程度，同时利用</w:t>
      </w:r>
      <w:r>
        <w:rPr>
          <w:rFonts w:hint="eastAsia" w:ascii="仿宋_GB2312" w:hAnsi="仿宋" w:eastAsia="仿宋_GB2312" w:cs="Times New Roman"/>
          <w:bCs/>
          <w:kern w:val="2"/>
          <w:sz w:val="32"/>
          <w:szCs w:val="32"/>
          <w:lang w:val="en-US" w:eastAsia="zh-CN" w:bidi="ar-SA"/>
        </w:rPr>
        <w:t>第三方</w:t>
      </w:r>
      <w:r>
        <w:rPr>
          <w:rFonts w:hint="default" w:ascii="仿宋_GB2312" w:hAnsi="仿宋" w:eastAsia="仿宋_GB2312" w:cs="Times New Roman"/>
          <w:bCs/>
          <w:kern w:val="2"/>
          <w:sz w:val="32"/>
          <w:szCs w:val="32"/>
          <w:lang w:val="en-US" w:eastAsia="zh-CN" w:bidi="ar-SA"/>
        </w:rPr>
        <w:t>专业力量，结合各系统业务实际提供政策指导，细化考核要求，真正提升部门绩效管理能力，避免绩效工作流于纸面。</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黑体" w:hAnsi="黑体" w:eastAsia="黑体"/>
          <w:sz w:val="32"/>
          <w:szCs w:val="32"/>
        </w:rPr>
      </w:pPr>
      <w:r>
        <w:rPr>
          <w:rFonts w:hint="eastAsia" w:ascii="黑体" w:hAnsi="黑体" w:eastAsia="黑体"/>
          <w:sz w:val="32"/>
          <w:szCs w:val="32"/>
        </w:rPr>
        <w:t>四、部门整体支出绩效评价指标评分情况</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仿宋_GB2312" w:hAnsi="Calibri" w:eastAsia="仿宋_GB2312"/>
          <w:sz w:val="32"/>
          <w:szCs w:val="32"/>
        </w:rPr>
      </w:pPr>
      <w:r>
        <w:rPr>
          <w:rFonts w:hint="eastAsia" w:ascii="仿宋_GB2312" w:hAnsi="Calibri" w:eastAsia="仿宋_GB2312"/>
          <w:sz w:val="32"/>
          <w:szCs w:val="32"/>
          <w:lang w:eastAsia="zh-CN"/>
        </w:rPr>
        <w:t>我局</w:t>
      </w:r>
      <w:r>
        <w:rPr>
          <w:rFonts w:hint="eastAsia" w:ascii="仿宋_GB2312" w:hAnsi="Calibri" w:eastAsia="仿宋_GB2312"/>
          <w:sz w:val="32"/>
          <w:szCs w:val="32"/>
        </w:rPr>
        <w:t>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年度）》进行自评得分</w:t>
      </w:r>
      <w:r>
        <w:rPr>
          <w:rFonts w:hint="eastAsia" w:ascii="仿宋_GB2312" w:hAnsi="Calibri" w:eastAsia="仿宋_GB2312"/>
          <w:sz w:val="32"/>
          <w:szCs w:val="32"/>
          <w:lang w:val="en-US" w:eastAsia="zh-CN"/>
        </w:rPr>
        <w:t>96.32</w:t>
      </w:r>
      <w:r>
        <w:rPr>
          <w:rFonts w:hint="eastAsia" w:ascii="仿宋_GB2312" w:hAnsi="Calibri" w:eastAsia="仿宋_GB2312"/>
          <w:sz w:val="32"/>
          <w:szCs w:val="32"/>
        </w:rPr>
        <w:t>分，具体得分情况如下。</w:t>
      </w:r>
    </w:p>
    <w:p>
      <w:pPr>
        <w:spacing w:line="540" w:lineRule="exact"/>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11"/>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部门（单位）预算的合理性，即是否符合本部门职责、是否符合区委</w:t>
            </w:r>
            <w:r>
              <w:rPr>
                <w:rFonts w:hint="eastAsia" w:ascii="宋体" w:hAnsi="宋体" w:cs="宋体"/>
                <w:kern w:val="0"/>
                <w:lang w:eastAsia="zh-CN"/>
              </w:rPr>
              <w:t>、</w:t>
            </w:r>
            <w:r>
              <w:rPr>
                <w:rFonts w:hint="eastAsia" w:ascii="宋体" w:hAnsi="宋体" w:cs="宋体"/>
                <w:kern w:val="0"/>
              </w:rPr>
              <w:t>区政府的方针政策和工作要求，资金有无根据项目的轻重缓急进行分配。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部门预算编制、分配符合本部门职责、符合区委</w:t>
            </w:r>
            <w:r>
              <w:rPr>
                <w:rFonts w:hint="eastAsia" w:ascii="宋体" w:hAnsi="宋体" w:cs="宋体"/>
                <w:kern w:val="0"/>
                <w:lang w:eastAsia="zh-CN"/>
              </w:rPr>
              <w:t>、</w:t>
            </w:r>
            <w:r>
              <w:rPr>
                <w:rFonts w:hint="eastAsia" w:ascii="宋体" w:hAnsi="宋体" w:cs="宋体"/>
                <w:kern w:val="0"/>
              </w:rPr>
              <w:t>区政府方针政策和工作要求（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hint="eastAsia" w:ascii="宋体" w:hAnsi="宋体" w:cs="宋体"/>
                <w:kern w:val="0"/>
                <w:lang w:val="en-US" w:eastAsia="zh-CN"/>
              </w:rPr>
            </w:pPr>
            <w:r>
              <w:rPr>
                <w:rFonts w:hint="eastAsia" w:ascii="宋体" w:hAnsi="宋体" w:cs="宋体"/>
                <w:kern w:val="0"/>
                <w:lang w:val="en-US" w:eastAsia="zh-CN"/>
              </w:rPr>
              <w:t>扣分原因：指标设置细化程度不足。</w:t>
            </w:r>
          </w:p>
          <w:p>
            <w:pPr>
              <w:widowControl/>
              <w:spacing w:line="320" w:lineRule="exact"/>
              <w:rPr>
                <w:rFonts w:hint="default" w:ascii="宋体" w:hAnsi="宋体" w:cs="宋体"/>
                <w:kern w:val="0"/>
                <w:lang w:val="en-US" w:eastAsia="zh-CN"/>
              </w:rPr>
            </w:pPr>
            <w:r>
              <w:rPr>
                <w:rFonts w:hint="eastAsia" w:ascii="宋体" w:hAnsi="宋体" w:cs="宋体"/>
                <w:kern w:val="0"/>
                <w:lang w:val="en-US" w:eastAsia="zh-CN"/>
              </w:rPr>
              <w:t>整改措施：</w:t>
            </w:r>
            <w:r>
              <w:rPr>
                <w:rFonts w:hint="eastAsia" w:ascii="宋体" w:hAnsi="宋体" w:eastAsia="宋体" w:cs="宋体"/>
                <w:kern w:val="0"/>
                <w:lang w:val="en-US" w:eastAsia="zh-CN"/>
              </w:rPr>
              <w:t>加强队伍建设，提升业务素质，提高绩效管理业务工作能力，从而提高绩效目标设置质量。</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ascii="宋体" w:hAnsi="宋体" w:cs="宋体"/>
                <w:kern w:val="0"/>
              </w:rPr>
              <w:t xml:space="preserve">    </w:t>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政府采购预算是指采购机关根据事业发展计划和行政任务编制的、并经过规定程序批准的年度政府采购计划。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hint="default" w:ascii="宋体" w:hAnsi="宋体" w:eastAsia="宋体" w:cs="宋体"/>
                <w:kern w:val="0"/>
                <w:lang w:val="en-US" w:eastAsia="zh-CN"/>
              </w:rPr>
            </w:pPr>
            <w:r>
              <w:rPr>
                <w:rFonts w:hint="eastAsia" w:ascii="宋体" w:hAnsi="宋体" w:cs="宋体"/>
                <w:kern w:val="0"/>
                <w:lang w:val="en-US" w:eastAsia="zh-CN"/>
              </w:rPr>
              <w:t>2</w:t>
            </w:r>
          </w:p>
        </w:tc>
        <w:tc>
          <w:tcPr>
            <w:tcW w:w="2297" w:type="dxa"/>
            <w:tcBorders>
              <w:top w:val="single" w:color="auto" w:sz="4" w:space="0"/>
              <w:left w:val="nil"/>
              <w:bottom w:val="single" w:color="auto" w:sz="4" w:space="0"/>
              <w:right w:val="single" w:color="auto" w:sz="4" w:space="0"/>
            </w:tcBorders>
          </w:tcPr>
          <w:p>
            <w:pPr>
              <w:widowControl/>
              <w:spacing w:line="320" w:lineRule="exact"/>
              <w:rPr>
                <w:rFonts w:hint="default" w:ascii="宋体" w:hAnsi="宋体" w:eastAsia="宋体" w:cs="宋体"/>
                <w:kern w:val="0"/>
                <w:lang w:val="en-US" w:eastAsia="zh-CN"/>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ascii="宋体" w:hAnsi="宋体"/>
              </w:rPr>
              <w:t xml:space="preserve">    </w:t>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ascii="宋体" w:hAnsi="宋体"/>
              </w:rPr>
              <w:t xml:space="preserve">    </w:t>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ascii="宋体" w:hAnsi="宋体"/>
              </w:rPr>
              <w:t xml:space="preserve">    </w:t>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ascii="宋体" w:hAnsi="宋体"/>
              </w:rPr>
              <w:t xml:space="preserve">    </w:t>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ascii="宋体" w:hAnsi="宋体"/>
              </w:rPr>
              <w:t xml:space="preserve">    </w:t>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ascii="宋体" w:hAnsi="宋体"/>
              </w:rPr>
              <w:t xml:space="preserve">    </w:t>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hint="eastAsia" w:ascii="宋体" w:hAnsi="宋体" w:cs="宋体"/>
                <w:kern w:val="0"/>
                <w:lang w:eastAsia="zh-CN"/>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hint="default" w:ascii="宋体" w:hAnsi="宋体" w:eastAsia="宋体" w:cs="宋体"/>
                <w:kern w:val="0"/>
                <w:lang w:val="en-US" w:eastAsia="zh-CN"/>
              </w:rPr>
            </w:pPr>
            <w:r>
              <w:rPr>
                <w:rFonts w:hint="eastAsia" w:ascii="宋体" w:hAnsi="宋体" w:cs="宋体"/>
                <w:kern w:val="0"/>
                <w:lang w:val="en-US" w:eastAsia="zh-CN"/>
              </w:rPr>
              <w:t>0</w:t>
            </w:r>
          </w:p>
        </w:tc>
        <w:tc>
          <w:tcPr>
            <w:tcW w:w="2297" w:type="dxa"/>
            <w:tcBorders>
              <w:top w:val="single" w:color="auto" w:sz="4" w:space="0"/>
              <w:left w:val="nil"/>
              <w:bottom w:val="single" w:color="auto" w:sz="4" w:space="0"/>
              <w:right w:val="single" w:color="auto" w:sz="4" w:space="0"/>
            </w:tcBorders>
          </w:tcPr>
          <w:p>
            <w:pPr>
              <w:widowControl/>
              <w:spacing w:line="300" w:lineRule="exact"/>
              <w:rPr>
                <w:rFonts w:hint="eastAsia" w:ascii="宋体" w:hAnsi="宋体" w:eastAsia="宋体" w:cs="宋体"/>
                <w:kern w:val="0"/>
                <w:lang w:val="en-US" w:eastAsia="zh-CN"/>
              </w:rPr>
            </w:pPr>
            <w:r>
              <w:rPr>
                <w:rFonts w:hint="eastAsia" w:ascii="宋体" w:hAnsi="宋体" w:eastAsia="宋体" w:cs="宋体"/>
                <w:kern w:val="0"/>
                <w:lang w:val="en-US" w:eastAsia="zh-CN"/>
              </w:rPr>
              <w:t>扣分原因：实有在编人数209人，年末其他人员839人，编外人员控制率80.06%。</w:t>
            </w:r>
          </w:p>
          <w:p>
            <w:pPr>
              <w:widowControl/>
              <w:spacing w:line="300" w:lineRule="exact"/>
              <w:rPr>
                <w:rFonts w:hint="default" w:ascii="宋体" w:hAnsi="宋体" w:eastAsia="宋体" w:cs="宋体"/>
                <w:kern w:val="0"/>
                <w:lang w:val="en-US" w:eastAsia="zh-CN"/>
              </w:rPr>
            </w:pPr>
            <w:r>
              <w:rPr>
                <w:rFonts w:hint="eastAsia" w:ascii="宋体" w:hAnsi="宋体" w:eastAsia="宋体" w:cs="宋体"/>
                <w:kern w:val="0"/>
                <w:lang w:val="en-US" w:eastAsia="zh-CN"/>
              </w:rPr>
              <w:t>整改措施：</w:t>
            </w:r>
            <w:r>
              <w:rPr>
                <w:rFonts w:hint="eastAsia" w:ascii="宋体" w:hAnsi="宋体" w:cs="宋体"/>
                <w:kern w:val="0"/>
                <w:lang w:val="en-US" w:eastAsia="zh-CN"/>
              </w:rPr>
              <w:t>加强编外人员的用工管理和录用程序。</w:t>
            </w: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hint="eastAsia" w:ascii="宋体" w:hAnsi="宋体" w:eastAsia="宋体" w:cs="宋体"/>
                <w:kern w:val="0"/>
                <w:lang w:val="en-US" w:eastAsia="zh-CN"/>
              </w:rPr>
            </w:pPr>
            <w:r>
              <w:rPr>
                <w:rFonts w:hint="eastAsia" w:ascii="宋体" w:hAnsi="宋体" w:cs="宋体"/>
                <w:kern w:val="0"/>
                <w:lang w:val="en-US" w:eastAsia="zh-CN"/>
              </w:rPr>
              <w:t>5</w:t>
            </w:r>
          </w:p>
        </w:tc>
        <w:tc>
          <w:tcPr>
            <w:tcW w:w="2297" w:type="dxa"/>
            <w:tcBorders>
              <w:top w:val="nil"/>
              <w:left w:val="nil"/>
              <w:bottom w:val="single" w:color="auto" w:sz="4" w:space="0"/>
              <w:right w:val="single" w:color="auto" w:sz="4" w:space="0"/>
            </w:tcBorders>
          </w:tcPr>
          <w:p>
            <w:pPr>
              <w:widowControl/>
              <w:spacing w:line="320" w:lineRule="exac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扣分原因：日常公用经费调整预算数为2731.92万元，决算数为2731.52万元。日常公用经费控制率为99.99%。</w:t>
            </w:r>
          </w:p>
          <w:p>
            <w:pPr>
              <w:widowControl/>
              <w:spacing w:line="320" w:lineRule="exac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整改措施：落实“过紧日子”，强化零基预算管理，进一步压减一般性支出。</w:t>
            </w: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hint="default" w:ascii="宋体" w:hAnsi="宋体" w:eastAsia="宋体" w:cs="宋体"/>
                <w:kern w:val="0"/>
                <w:lang w:val="en-US" w:eastAsia="zh-CN"/>
              </w:rPr>
            </w:pPr>
            <w:r>
              <w:rPr>
                <w:rFonts w:hint="eastAsia" w:ascii="宋体" w:hAnsi="宋体" w:cs="宋体"/>
                <w:kern w:val="0"/>
                <w:lang w:val="en-US" w:eastAsia="zh-CN"/>
              </w:rPr>
              <w:t>5.32</w:t>
            </w:r>
          </w:p>
        </w:tc>
        <w:tc>
          <w:tcPr>
            <w:tcW w:w="2297" w:type="dxa"/>
            <w:tcBorders>
              <w:top w:val="nil"/>
              <w:left w:val="nil"/>
              <w:bottom w:val="single" w:color="auto" w:sz="4" w:space="0"/>
              <w:right w:val="single" w:color="auto" w:sz="4" w:space="0"/>
            </w:tcBorders>
          </w:tcPr>
          <w:p>
            <w:pPr>
              <w:widowControl/>
              <w:spacing w:line="320" w:lineRule="exact"/>
              <w:rPr>
                <w:rFonts w:hint="eastAsia"/>
                <w:lang w:val="en-US" w:eastAsia="zh-CN"/>
              </w:rPr>
            </w:pPr>
            <w:r>
              <w:rPr>
                <w:rFonts w:hint="eastAsia"/>
                <w:lang w:val="en-US" w:eastAsia="zh-CN"/>
              </w:rPr>
              <w:t>扣分原因：</w:t>
            </w:r>
            <w:r>
              <w:rPr>
                <w:rFonts w:hint="eastAsia"/>
              </w:rPr>
              <w:t>第一、第二、第三、第四季度的预算执行率分别为</w:t>
            </w:r>
            <w:r>
              <w:rPr>
                <w:rFonts w:hint="eastAsia"/>
                <w:lang w:val="en-US" w:eastAsia="zh-CN"/>
              </w:rPr>
              <w:t>33.8</w:t>
            </w:r>
            <w:r>
              <w:rPr>
                <w:rFonts w:hint="eastAsia"/>
              </w:rPr>
              <w:t>%、</w:t>
            </w:r>
            <w:r>
              <w:rPr>
                <w:rFonts w:hint="eastAsia"/>
                <w:lang w:val="en-US" w:eastAsia="zh-CN"/>
              </w:rPr>
              <w:t>54.07</w:t>
            </w:r>
            <w:r>
              <w:rPr>
                <w:rFonts w:hint="eastAsia"/>
              </w:rPr>
              <w:t>%、8</w:t>
            </w:r>
            <w:r>
              <w:rPr>
                <w:rFonts w:hint="eastAsia"/>
                <w:lang w:val="en-US" w:eastAsia="zh-CN"/>
              </w:rPr>
              <w:t>1.36</w:t>
            </w:r>
            <w:r>
              <w:rPr>
                <w:rFonts w:hint="eastAsia"/>
              </w:rPr>
              <w:t>%、9</w:t>
            </w:r>
            <w:r>
              <w:rPr>
                <w:rFonts w:hint="eastAsia"/>
                <w:lang w:val="en-US" w:eastAsia="zh-CN"/>
              </w:rPr>
              <w:t>8.39</w:t>
            </w:r>
            <w:r>
              <w:rPr>
                <w:rFonts w:hint="eastAsia"/>
              </w:rPr>
              <w:t>%</w:t>
            </w:r>
            <w:r>
              <w:rPr>
                <w:rFonts w:hint="eastAsia"/>
                <w:lang w:eastAsia="zh-CN"/>
              </w:rPr>
              <w:t>，</w:t>
            </w:r>
            <w:r>
              <w:rPr>
                <w:rFonts w:hint="eastAsia"/>
              </w:rPr>
              <w:t>全年平均执行率</w:t>
            </w:r>
            <w:r>
              <w:rPr>
                <w:rFonts w:hint="eastAsia"/>
                <w:lang w:val="en-US" w:eastAsia="zh-CN"/>
              </w:rPr>
              <w:t>66.91%。</w:t>
            </w:r>
          </w:p>
          <w:p>
            <w:pPr>
              <w:pStyle w:val="2"/>
              <w:ind w:left="0" w:leftChars="0" w:firstLine="0" w:firstLineChars="0"/>
              <w:jc w:val="both"/>
              <w:rPr>
                <w:rFonts w:hint="default"/>
                <w:lang w:val="en-US" w:eastAsia="zh-CN"/>
              </w:rPr>
            </w:pPr>
            <w:r>
              <w:rPr>
                <w:rFonts w:hint="eastAsia" w:ascii="Times New Roman" w:hAnsi="Times New Roman" w:eastAsia="宋体" w:cs="Times New Roman"/>
                <w:kern w:val="2"/>
                <w:sz w:val="21"/>
                <w:szCs w:val="24"/>
                <w:lang w:val="en-US" w:eastAsia="zh-CN" w:bidi="ar-SA"/>
              </w:rPr>
              <w:t>整改措施：加快项目实施进度的推进，定期做好支出财务分析，及时对资金执行情况进行通报和预警。加强项目开展进度的跟踪，加强对绩效管理工作的跟踪督查，确保项目绩效目标的完成。</w:t>
            </w: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部门（单位）完成党委、政府、人大和上级部门下达或交办的重要事项或工作的完成情况，反映部门对重点工作的办理落实程度。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重点工作是指中央和省、市相关部门、区委</w:t>
            </w:r>
            <w:r>
              <w:rPr>
                <w:rFonts w:hint="eastAsia" w:ascii="宋体" w:hAnsi="宋体" w:cs="宋体"/>
                <w:kern w:val="0"/>
                <w:lang w:eastAsia="zh-CN"/>
              </w:rPr>
              <w:t>、</w:t>
            </w:r>
            <w:r>
              <w:rPr>
                <w:rFonts w:hint="eastAsia" w:ascii="宋体" w:hAnsi="宋体" w:cs="宋体"/>
                <w:kern w:val="0"/>
              </w:rPr>
              <w:t>区政府、区人大交办或下达的工作任务。全部按期保质保量完成得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注：重点工作完成情况可以参考区委</w:t>
            </w:r>
            <w:r>
              <w:rPr>
                <w:rFonts w:hint="eastAsia" w:ascii="宋体" w:hAnsi="宋体" w:cs="宋体"/>
                <w:kern w:val="0"/>
                <w:lang w:eastAsia="zh-CN"/>
              </w:rPr>
              <w:t>、</w:t>
            </w:r>
            <w:r>
              <w:rPr>
                <w:rFonts w:hint="eastAsia" w:ascii="宋体" w:hAnsi="宋体" w:cs="宋体"/>
                <w:kern w:val="0"/>
              </w:rPr>
              <w:t>区政府督查部门或其他权威部门的统计数据（如有）。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w:t>
            </w:r>
            <w:r>
              <w:rPr>
                <w:rFonts w:hint="eastAsia" w:ascii="宋体" w:hAnsi="宋体" w:cs="宋体"/>
                <w:kern w:val="0"/>
                <w:lang w:eastAsia="zh-CN"/>
              </w:rPr>
              <w:t>，</w:t>
            </w:r>
            <w:r>
              <w:rPr>
                <w:rFonts w:hint="eastAsia" w:ascii="宋体" w:hAnsi="宋体" w:cs="宋体"/>
                <w:kern w:val="0"/>
              </w:rPr>
              <w:t>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根据部门（单位）职责，结合部门整体支出绩效目标，合理设置个性化绩效指标，通过绩效指标完成情况与目标值对比分析进行评分，未实现绩效目标的酌情扣分。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根据部门（部门）履职内容和性质，从社会效益、经济效益、生态效益、可持续影响等方面，至少选择三个方面对工作实效和效益进行评价。</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1.安全维稳卓有成效，保障了特区建立40周年庆和十九届五中全会等重大事项的顺利开展，以及辖区社会治安稳中向好，大力保障了人民群众的生命财产安全（3分）；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2.落实陆海两路疫情防控措施，为全区实现“零输入、零传染”的工作成绩贡献了公安力量，有效遏制辖区疫情蔓延，确保疫情防控期间社会大局平稳（3分）；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3.不断完善海防打私体系，初步形成“党政军民警民”联防联控海防新格局，进一步强化了党对海防打私工作的统一领导，形成齐抓共建合力，新区海防局势平安稳定（3分）；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4.持续不断开展扫黑除恶专项打击整治，涉黑涉恶重点地区、治安乱点得到全面整治，人民群众获得感、幸福感、安全感进一步提升（3分）；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5.保持对毒品犯罪、盗抢骗犯罪、新型电信网络诈骗犯罪的高压严打态势，持续推进命案积案攻坚，坚决铲除黄赌等丑恶现象，强化社会安全整治，提高打击犯罪能力，促进全区社会治安大局稳定（3分）；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6.优化街面巡逻体系，进一步提升路面见警率和管事率；不断创新升级智慧警务，进一步提高平安建设水平；全面强化社会治安管控力（3分）；</w:t>
            </w:r>
          </w:p>
          <w:p>
            <w:pPr>
              <w:keepNext w:val="0"/>
              <w:keepLines w:val="0"/>
              <w:pageBreakBefore w:val="0"/>
              <w:widowControl w:val="0"/>
              <w:kinsoku/>
              <w:wordWrap/>
              <w:overflowPunct/>
              <w:topLinePunct w:val="0"/>
              <w:bidi w:val="0"/>
              <w:snapToGrid/>
              <w:spacing w:line="24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7.强化民警职工辅警警容风纪，强化对民警职工的思想政治教育，夯实忠诚使命的思想根基，增强全局干事创业的氛围，稳步推进民警队伍建设，显著提高我区公安机关战斗力（2分）。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hint="default" w:ascii="宋体" w:hAnsi="宋体" w:eastAsia="宋体" w:cs="宋体"/>
                <w:kern w:val="0"/>
                <w:lang w:val="en-US" w:eastAsia="zh-CN"/>
              </w:rPr>
            </w:pPr>
            <w:r>
              <w:rPr>
                <w:rFonts w:hint="eastAsia" w:ascii="宋体" w:hAnsi="宋体" w:cs="宋体"/>
                <w:kern w:val="0"/>
                <w:lang w:val="en-US" w:eastAsia="zh-CN"/>
              </w:rPr>
              <w:t>20</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hint="default" w:ascii="宋体" w:hAnsi="宋体" w:eastAsia="宋体" w:cs="宋体"/>
                <w:kern w:val="0"/>
                <w:lang w:val="en-US" w:eastAsia="zh-CN"/>
              </w:rPr>
            </w:pPr>
            <w:r>
              <w:rPr>
                <w:rFonts w:hint="eastAsia" w:ascii="宋体" w:hAnsi="宋体" w:cs="宋体"/>
                <w:kern w:val="0"/>
                <w:lang w:val="en-US" w:eastAsia="zh-CN"/>
              </w:rPr>
              <w:t>96.32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1CE32F-572E-4FC8-84B4-B98EDACE78E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瀹嬩綋">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2" w:fontKey="{10F395FE-97C8-4FB3-A7BB-9DDF13CA9D7D}"/>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RhZGIxNzZlMmY0NGMxMmExYmE1YTI1MmUwYmNjNjMifQ=="/>
  </w:docVars>
  <w:rsids>
    <w:rsidRoot w:val="007C6A8D"/>
    <w:rsid w:val="0000021D"/>
    <w:rsid w:val="0001508B"/>
    <w:rsid w:val="00015287"/>
    <w:rsid w:val="00030032"/>
    <w:rsid w:val="0003488E"/>
    <w:rsid w:val="00060F08"/>
    <w:rsid w:val="0006427C"/>
    <w:rsid w:val="000757DF"/>
    <w:rsid w:val="000949DA"/>
    <w:rsid w:val="00095231"/>
    <w:rsid w:val="00096A12"/>
    <w:rsid w:val="000C1693"/>
    <w:rsid w:val="000C7F39"/>
    <w:rsid w:val="000D311F"/>
    <w:rsid w:val="000D5ECC"/>
    <w:rsid w:val="000E1445"/>
    <w:rsid w:val="000E18C3"/>
    <w:rsid w:val="000E37D0"/>
    <w:rsid w:val="001030DE"/>
    <w:rsid w:val="00107641"/>
    <w:rsid w:val="0011023B"/>
    <w:rsid w:val="001404CB"/>
    <w:rsid w:val="00150867"/>
    <w:rsid w:val="00156F7B"/>
    <w:rsid w:val="0015721B"/>
    <w:rsid w:val="00157B50"/>
    <w:rsid w:val="001720CA"/>
    <w:rsid w:val="00176C84"/>
    <w:rsid w:val="00186083"/>
    <w:rsid w:val="00186AD9"/>
    <w:rsid w:val="001A4FCA"/>
    <w:rsid w:val="001B1562"/>
    <w:rsid w:val="001D282A"/>
    <w:rsid w:val="001D2C27"/>
    <w:rsid w:val="001E1A5E"/>
    <w:rsid w:val="001E702E"/>
    <w:rsid w:val="001F5AA4"/>
    <w:rsid w:val="00200398"/>
    <w:rsid w:val="002060CA"/>
    <w:rsid w:val="00211308"/>
    <w:rsid w:val="00214DFC"/>
    <w:rsid w:val="00215CE2"/>
    <w:rsid w:val="00230A29"/>
    <w:rsid w:val="00235966"/>
    <w:rsid w:val="0024063A"/>
    <w:rsid w:val="0024228D"/>
    <w:rsid w:val="00246660"/>
    <w:rsid w:val="002656F4"/>
    <w:rsid w:val="0027677C"/>
    <w:rsid w:val="002856B3"/>
    <w:rsid w:val="002910E6"/>
    <w:rsid w:val="002A7700"/>
    <w:rsid w:val="002D2A14"/>
    <w:rsid w:val="002D6BC9"/>
    <w:rsid w:val="002E0FBC"/>
    <w:rsid w:val="00301F1E"/>
    <w:rsid w:val="00303233"/>
    <w:rsid w:val="00314E08"/>
    <w:rsid w:val="00321CA0"/>
    <w:rsid w:val="00323B8D"/>
    <w:rsid w:val="0033552A"/>
    <w:rsid w:val="0034451F"/>
    <w:rsid w:val="003577C2"/>
    <w:rsid w:val="00382649"/>
    <w:rsid w:val="00392CF9"/>
    <w:rsid w:val="00394B68"/>
    <w:rsid w:val="003A0F34"/>
    <w:rsid w:val="003A3AB8"/>
    <w:rsid w:val="003B1900"/>
    <w:rsid w:val="003B732D"/>
    <w:rsid w:val="003D0481"/>
    <w:rsid w:val="003D2DDA"/>
    <w:rsid w:val="003D5362"/>
    <w:rsid w:val="003E2490"/>
    <w:rsid w:val="003F3BCB"/>
    <w:rsid w:val="003F4059"/>
    <w:rsid w:val="004063FF"/>
    <w:rsid w:val="00415ED0"/>
    <w:rsid w:val="00433F78"/>
    <w:rsid w:val="00441673"/>
    <w:rsid w:val="00447BDD"/>
    <w:rsid w:val="00450535"/>
    <w:rsid w:val="00456A6D"/>
    <w:rsid w:val="00471023"/>
    <w:rsid w:val="004749E5"/>
    <w:rsid w:val="00477101"/>
    <w:rsid w:val="004805CE"/>
    <w:rsid w:val="004A3245"/>
    <w:rsid w:val="004A3334"/>
    <w:rsid w:val="004B47F6"/>
    <w:rsid w:val="004C3CA5"/>
    <w:rsid w:val="004D4B5F"/>
    <w:rsid w:val="004D70DA"/>
    <w:rsid w:val="00504CEC"/>
    <w:rsid w:val="0051517E"/>
    <w:rsid w:val="00557C63"/>
    <w:rsid w:val="00567EEA"/>
    <w:rsid w:val="00571E87"/>
    <w:rsid w:val="00574B4A"/>
    <w:rsid w:val="00581B3E"/>
    <w:rsid w:val="0058344B"/>
    <w:rsid w:val="005914C2"/>
    <w:rsid w:val="005A561A"/>
    <w:rsid w:val="005A7B7C"/>
    <w:rsid w:val="005C1A5C"/>
    <w:rsid w:val="005C793D"/>
    <w:rsid w:val="005D190A"/>
    <w:rsid w:val="005D6FD8"/>
    <w:rsid w:val="005D7EA1"/>
    <w:rsid w:val="005F0C07"/>
    <w:rsid w:val="005F5204"/>
    <w:rsid w:val="005F7406"/>
    <w:rsid w:val="00615072"/>
    <w:rsid w:val="006507E9"/>
    <w:rsid w:val="0065716A"/>
    <w:rsid w:val="006668F7"/>
    <w:rsid w:val="00670E00"/>
    <w:rsid w:val="00673267"/>
    <w:rsid w:val="00676402"/>
    <w:rsid w:val="0069041F"/>
    <w:rsid w:val="0069621C"/>
    <w:rsid w:val="006A08E5"/>
    <w:rsid w:val="006A0B18"/>
    <w:rsid w:val="006C7D2D"/>
    <w:rsid w:val="006D0D0B"/>
    <w:rsid w:val="006D1890"/>
    <w:rsid w:val="006E2C6E"/>
    <w:rsid w:val="006F0724"/>
    <w:rsid w:val="00730AAB"/>
    <w:rsid w:val="00745E30"/>
    <w:rsid w:val="00752D49"/>
    <w:rsid w:val="00775B6F"/>
    <w:rsid w:val="007A6DBF"/>
    <w:rsid w:val="007B1093"/>
    <w:rsid w:val="007C6A8D"/>
    <w:rsid w:val="007C77C0"/>
    <w:rsid w:val="007E03B1"/>
    <w:rsid w:val="007E16C0"/>
    <w:rsid w:val="007E3B55"/>
    <w:rsid w:val="007F11FC"/>
    <w:rsid w:val="0080464B"/>
    <w:rsid w:val="00811217"/>
    <w:rsid w:val="0082004C"/>
    <w:rsid w:val="0082636C"/>
    <w:rsid w:val="008274B1"/>
    <w:rsid w:val="00832FD6"/>
    <w:rsid w:val="00833D97"/>
    <w:rsid w:val="00850128"/>
    <w:rsid w:val="00851088"/>
    <w:rsid w:val="0085384E"/>
    <w:rsid w:val="00862580"/>
    <w:rsid w:val="00866D4F"/>
    <w:rsid w:val="0087079B"/>
    <w:rsid w:val="00881C08"/>
    <w:rsid w:val="00886EBB"/>
    <w:rsid w:val="00895FED"/>
    <w:rsid w:val="008A5EE3"/>
    <w:rsid w:val="008A7573"/>
    <w:rsid w:val="008C01DD"/>
    <w:rsid w:val="008C5E9F"/>
    <w:rsid w:val="008D07E4"/>
    <w:rsid w:val="008D3C34"/>
    <w:rsid w:val="008E1E8B"/>
    <w:rsid w:val="008E68C9"/>
    <w:rsid w:val="00904D8B"/>
    <w:rsid w:val="00907B9F"/>
    <w:rsid w:val="0091667E"/>
    <w:rsid w:val="009173A7"/>
    <w:rsid w:val="00923FD1"/>
    <w:rsid w:val="009254A3"/>
    <w:rsid w:val="00931C47"/>
    <w:rsid w:val="009374E9"/>
    <w:rsid w:val="0094704A"/>
    <w:rsid w:val="009476AD"/>
    <w:rsid w:val="00962AD4"/>
    <w:rsid w:val="00980307"/>
    <w:rsid w:val="009803FA"/>
    <w:rsid w:val="00997B8D"/>
    <w:rsid w:val="009B3A5F"/>
    <w:rsid w:val="009B6BB4"/>
    <w:rsid w:val="009D59C9"/>
    <w:rsid w:val="009E4CDE"/>
    <w:rsid w:val="00A04291"/>
    <w:rsid w:val="00A22783"/>
    <w:rsid w:val="00A24D63"/>
    <w:rsid w:val="00A2585A"/>
    <w:rsid w:val="00A327AA"/>
    <w:rsid w:val="00A365EC"/>
    <w:rsid w:val="00A62C1B"/>
    <w:rsid w:val="00A81088"/>
    <w:rsid w:val="00A91F43"/>
    <w:rsid w:val="00AA3BBF"/>
    <w:rsid w:val="00AA5338"/>
    <w:rsid w:val="00AC140F"/>
    <w:rsid w:val="00AC3ADE"/>
    <w:rsid w:val="00AD1911"/>
    <w:rsid w:val="00AD4C3B"/>
    <w:rsid w:val="00AD7537"/>
    <w:rsid w:val="00AE1055"/>
    <w:rsid w:val="00B012E2"/>
    <w:rsid w:val="00B0400E"/>
    <w:rsid w:val="00B16374"/>
    <w:rsid w:val="00B2050B"/>
    <w:rsid w:val="00B21797"/>
    <w:rsid w:val="00B34F10"/>
    <w:rsid w:val="00B47F3A"/>
    <w:rsid w:val="00B6768F"/>
    <w:rsid w:val="00B77891"/>
    <w:rsid w:val="00B83B3F"/>
    <w:rsid w:val="00B86726"/>
    <w:rsid w:val="00B9050E"/>
    <w:rsid w:val="00BB7A05"/>
    <w:rsid w:val="00BC2D88"/>
    <w:rsid w:val="00BC6F6B"/>
    <w:rsid w:val="00BD192D"/>
    <w:rsid w:val="00BD6342"/>
    <w:rsid w:val="00BF4CA2"/>
    <w:rsid w:val="00C00DBD"/>
    <w:rsid w:val="00C14F54"/>
    <w:rsid w:val="00C2157C"/>
    <w:rsid w:val="00C300F9"/>
    <w:rsid w:val="00C31F30"/>
    <w:rsid w:val="00C409C6"/>
    <w:rsid w:val="00C702B8"/>
    <w:rsid w:val="00C90564"/>
    <w:rsid w:val="00C922A8"/>
    <w:rsid w:val="00CA5F3D"/>
    <w:rsid w:val="00CA7D0F"/>
    <w:rsid w:val="00CB3DD2"/>
    <w:rsid w:val="00CB56DB"/>
    <w:rsid w:val="00CB6C81"/>
    <w:rsid w:val="00CB7FE9"/>
    <w:rsid w:val="00CC0E1B"/>
    <w:rsid w:val="00CC3765"/>
    <w:rsid w:val="00CC41B1"/>
    <w:rsid w:val="00CC7C71"/>
    <w:rsid w:val="00CD00CD"/>
    <w:rsid w:val="00CD69A4"/>
    <w:rsid w:val="00CE636F"/>
    <w:rsid w:val="00D02D95"/>
    <w:rsid w:val="00D07C3D"/>
    <w:rsid w:val="00D24842"/>
    <w:rsid w:val="00D46E14"/>
    <w:rsid w:val="00D4778F"/>
    <w:rsid w:val="00D50E3A"/>
    <w:rsid w:val="00D74103"/>
    <w:rsid w:val="00D86FE6"/>
    <w:rsid w:val="00DC002F"/>
    <w:rsid w:val="00DD1293"/>
    <w:rsid w:val="00DF6BC6"/>
    <w:rsid w:val="00E32187"/>
    <w:rsid w:val="00E32FC9"/>
    <w:rsid w:val="00E34FCB"/>
    <w:rsid w:val="00E35476"/>
    <w:rsid w:val="00E431CC"/>
    <w:rsid w:val="00E475F9"/>
    <w:rsid w:val="00E61598"/>
    <w:rsid w:val="00E61B07"/>
    <w:rsid w:val="00E707B4"/>
    <w:rsid w:val="00E8740B"/>
    <w:rsid w:val="00E97131"/>
    <w:rsid w:val="00E975EF"/>
    <w:rsid w:val="00EA1345"/>
    <w:rsid w:val="00EB2116"/>
    <w:rsid w:val="00EC6DF6"/>
    <w:rsid w:val="00EE2AFD"/>
    <w:rsid w:val="00EF319E"/>
    <w:rsid w:val="00F05CC5"/>
    <w:rsid w:val="00F34DD9"/>
    <w:rsid w:val="00F44866"/>
    <w:rsid w:val="00F57AFD"/>
    <w:rsid w:val="00F76790"/>
    <w:rsid w:val="00F7783B"/>
    <w:rsid w:val="00F778F1"/>
    <w:rsid w:val="00F813DD"/>
    <w:rsid w:val="00F85BCF"/>
    <w:rsid w:val="00FA35BB"/>
    <w:rsid w:val="00FA625B"/>
    <w:rsid w:val="00FA665A"/>
    <w:rsid w:val="00FB06FD"/>
    <w:rsid w:val="016D5FE8"/>
    <w:rsid w:val="01A41499"/>
    <w:rsid w:val="027C7F93"/>
    <w:rsid w:val="02CB30DE"/>
    <w:rsid w:val="032A5E9C"/>
    <w:rsid w:val="03670EFC"/>
    <w:rsid w:val="04D36906"/>
    <w:rsid w:val="0508065D"/>
    <w:rsid w:val="05575919"/>
    <w:rsid w:val="05B10962"/>
    <w:rsid w:val="05D6415D"/>
    <w:rsid w:val="06411C66"/>
    <w:rsid w:val="06AB720D"/>
    <w:rsid w:val="06AC705A"/>
    <w:rsid w:val="071044D5"/>
    <w:rsid w:val="083034C8"/>
    <w:rsid w:val="09534524"/>
    <w:rsid w:val="09765F09"/>
    <w:rsid w:val="0A307FA7"/>
    <w:rsid w:val="0A7F472A"/>
    <w:rsid w:val="0B125137"/>
    <w:rsid w:val="0B553D55"/>
    <w:rsid w:val="0F146A90"/>
    <w:rsid w:val="0FA41C88"/>
    <w:rsid w:val="107A2FB1"/>
    <w:rsid w:val="109239BB"/>
    <w:rsid w:val="10AC1C79"/>
    <w:rsid w:val="10B77D45"/>
    <w:rsid w:val="11AE1EAA"/>
    <w:rsid w:val="11E63810"/>
    <w:rsid w:val="126E5221"/>
    <w:rsid w:val="13096AD4"/>
    <w:rsid w:val="131A3780"/>
    <w:rsid w:val="143762E1"/>
    <w:rsid w:val="14D00ADB"/>
    <w:rsid w:val="15404D44"/>
    <w:rsid w:val="15F93DB2"/>
    <w:rsid w:val="163E3902"/>
    <w:rsid w:val="169E5CFD"/>
    <w:rsid w:val="17244620"/>
    <w:rsid w:val="18587142"/>
    <w:rsid w:val="18660C9C"/>
    <w:rsid w:val="19357B0E"/>
    <w:rsid w:val="19C5395C"/>
    <w:rsid w:val="19E3007E"/>
    <w:rsid w:val="1A70518A"/>
    <w:rsid w:val="1C5C1ED3"/>
    <w:rsid w:val="1E5B6E95"/>
    <w:rsid w:val="1EB35E75"/>
    <w:rsid w:val="1F0A538C"/>
    <w:rsid w:val="1F9442E4"/>
    <w:rsid w:val="1FC13327"/>
    <w:rsid w:val="1FD41C29"/>
    <w:rsid w:val="20634370"/>
    <w:rsid w:val="20CA2B2C"/>
    <w:rsid w:val="218017F2"/>
    <w:rsid w:val="21A07DC8"/>
    <w:rsid w:val="25253C9E"/>
    <w:rsid w:val="252E5E95"/>
    <w:rsid w:val="25F67F1B"/>
    <w:rsid w:val="265566AA"/>
    <w:rsid w:val="265B217A"/>
    <w:rsid w:val="275402D3"/>
    <w:rsid w:val="288C2941"/>
    <w:rsid w:val="28CD6DE5"/>
    <w:rsid w:val="28E723E3"/>
    <w:rsid w:val="29360F79"/>
    <w:rsid w:val="29D178A7"/>
    <w:rsid w:val="2AB23808"/>
    <w:rsid w:val="2ACE34E8"/>
    <w:rsid w:val="2B7A1166"/>
    <w:rsid w:val="2B7F2F31"/>
    <w:rsid w:val="2E21532C"/>
    <w:rsid w:val="2E454AEF"/>
    <w:rsid w:val="2F3160BA"/>
    <w:rsid w:val="30001160"/>
    <w:rsid w:val="30074784"/>
    <w:rsid w:val="30D11419"/>
    <w:rsid w:val="31744122"/>
    <w:rsid w:val="31B21F09"/>
    <w:rsid w:val="3208037F"/>
    <w:rsid w:val="33C22138"/>
    <w:rsid w:val="35371E02"/>
    <w:rsid w:val="358F10B2"/>
    <w:rsid w:val="36AF0C5C"/>
    <w:rsid w:val="36AF0EA3"/>
    <w:rsid w:val="36CB66DD"/>
    <w:rsid w:val="387B7C5E"/>
    <w:rsid w:val="3B7F6CE0"/>
    <w:rsid w:val="3C527199"/>
    <w:rsid w:val="3E844C97"/>
    <w:rsid w:val="3F6F0C40"/>
    <w:rsid w:val="3F8578AD"/>
    <w:rsid w:val="42D32B80"/>
    <w:rsid w:val="434F5DA9"/>
    <w:rsid w:val="44050D28"/>
    <w:rsid w:val="445256BD"/>
    <w:rsid w:val="44BE3FB0"/>
    <w:rsid w:val="45145E31"/>
    <w:rsid w:val="457C7304"/>
    <w:rsid w:val="45B62576"/>
    <w:rsid w:val="461C1DEA"/>
    <w:rsid w:val="47170491"/>
    <w:rsid w:val="484E282A"/>
    <w:rsid w:val="49405AD4"/>
    <w:rsid w:val="4B094089"/>
    <w:rsid w:val="4BD5382C"/>
    <w:rsid w:val="4BED71EA"/>
    <w:rsid w:val="4C72225F"/>
    <w:rsid w:val="4C9D021D"/>
    <w:rsid w:val="4E235840"/>
    <w:rsid w:val="4F106B5E"/>
    <w:rsid w:val="4F393332"/>
    <w:rsid w:val="50001109"/>
    <w:rsid w:val="50097510"/>
    <w:rsid w:val="50D46978"/>
    <w:rsid w:val="522E4DDF"/>
    <w:rsid w:val="53522849"/>
    <w:rsid w:val="539570D5"/>
    <w:rsid w:val="547B2671"/>
    <w:rsid w:val="555D43B0"/>
    <w:rsid w:val="55A67BDE"/>
    <w:rsid w:val="562F6363"/>
    <w:rsid w:val="5708696F"/>
    <w:rsid w:val="570C4D83"/>
    <w:rsid w:val="58441203"/>
    <w:rsid w:val="586819D8"/>
    <w:rsid w:val="58B479F2"/>
    <w:rsid w:val="58BD5A65"/>
    <w:rsid w:val="5ACD55D7"/>
    <w:rsid w:val="5B366F35"/>
    <w:rsid w:val="5B574885"/>
    <w:rsid w:val="5C3F56E8"/>
    <w:rsid w:val="5CF20D06"/>
    <w:rsid w:val="5CF2323A"/>
    <w:rsid w:val="5D814826"/>
    <w:rsid w:val="5E0D1ABF"/>
    <w:rsid w:val="5F3C1D11"/>
    <w:rsid w:val="5F8F39C8"/>
    <w:rsid w:val="5FE540F3"/>
    <w:rsid w:val="61250D8D"/>
    <w:rsid w:val="61F6682F"/>
    <w:rsid w:val="633729F5"/>
    <w:rsid w:val="634021B8"/>
    <w:rsid w:val="63AD7631"/>
    <w:rsid w:val="63EB02A2"/>
    <w:rsid w:val="63F12A8D"/>
    <w:rsid w:val="64343CF9"/>
    <w:rsid w:val="651517E9"/>
    <w:rsid w:val="6657192C"/>
    <w:rsid w:val="67DB08E8"/>
    <w:rsid w:val="67E85239"/>
    <w:rsid w:val="685B0309"/>
    <w:rsid w:val="68840445"/>
    <w:rsid w:val="68877080"/>
    <w:rsid w:val="6A2B4E29"/>
    <w:rsid w:val="6A337B67"/>
    <w:rsid w:val="6A9406FC"/>
    <w:rsid w:val="6CC10ED1"/>
    <w:rsid w:val="6CE91929"/>
    <w:rsid w:val="6E4D4CF4"/>
    <w:rsid w:val="6E731F57"/>
    <w:rsid w:val="6E8A3003"/>
    <w:rsid w:val="6F7816FB"/>
    <w:rsid w:val="7064672E"/>
    <w:rsid w:val="70DE089D"/>
    <w:rsid w:val="71732993"/>
    <w:rsid w:val="71C158DA"/>
    <w:rsid w:val="71DC4214"/>
    <w:rsid w:val="720C4B28"/>
    <w:rsid w:val="74E50C49"/>
    <w:rsid w:val="75642AB8"/>
    <w:rsid w:val="75E95016"/>
    <w:rsid w:val="789E50AB"/>
    <w:rsid w:val="795275C7"/>
    <w:rsid w:val="79FA6054"/>
    <w:rsid w:val="7CD470B1"/>
    <w:rsid w:val="7D422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5">
    <w:name w:val="heading 3"/>
    <w:basedOn w:val="1"/>
    <w:next w:val="1"/>
    <w:semiHidden/>
    <w:unhideWhenUsed/>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bCs/>
      <w:kern w:val="0"/>
      <w:sz w:val="21"/>
      <w:szCs w:val="21"/>
      <w:lang w:val="en-US" w:eastAsia="zh-CN" w:bidi="ar"/>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sz w:val="20"/>
      <w:szCs w:val="20"/>
    </w:rPr>
  </w:style>
  <w:style w:type="paragraph" w:styleId="3">
    <w:name w:val="Body Text"/>
    <w:basedOn w:val="1"/>
    <w:link w:val="23"/>
    <w:unhideWhenUsed/>
    <w:qFormat/>
    <w:uiPriority w:val="99"/>
    <w:pPr>
      <w:jc w:val="center"/>
    </w:pPr>
    <w:rPr>
      <w:rFonts w:asciiTheme="minorHAnsi" w:hAnsiTheme="minorHAnsi" w:eastAsiaTheme="minorEastAsia" w:cstheme="minorBidi"/>
    </w:rPr>
  </w:style>
  <w:style w:type="paragraph" w:styleId="6">
    <w:name w:val="endnote text"/>
    <w:basedOn w:val="1"/>
    <w:link w:val="21"/>
    <w:semiHidden/>
    <w:unhideWhenUsed/>
    <w:qFormat/>
    <w:uiPriority w:val="99"/>
    <w:pPr>
      <w:snapToGrid w:val="0"/>
      <w:jc w:val="left"/>
    </w:pPr>
  </w:style>
  <w:style w:type="paragraph" w:styleId="7">
    <w:name w:val="Balloon Text"/>
    <w:basedOn w:val="1"/>
    <w:link w:val="18"/>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3">
    <w:name w:val="Strong"/>
    <w:basedOn w:val="12"/>
    <w:qFormat/>
    <w:uiPriority w:val="22"/>
    <w:rPr>
      <w:b/>
    </w:rPr>
  </w:style>
  <w:style w:type="character" w:styleId="14">
    <w:name w:val="endnote reference"/>
    <w:basedOn w:val="12"/>
    <w:semiHidden/>
    <w:unhideWhenUsed/>
    <w:qFormat/>
    <w:uiPriority w:val="99"/>
    <w:rPr>
      <w:vertAlign w:val="superscript"/>
    </w:rPr>
  </w:style>
  <w:style w:type="character" w:styleId="15">
    <w:name w:val="page number"/>
    <w:basedOn w:val="12"/>
    <w:qFormat/>
    <w:uiPriority w:val="99"/>
  </w:style>
  <w:style w:type="character" w:styleId="16">
    <w:name w:val="FollowedHyperlink"/>
    <w:basedOn w:val="12"/>
    <w:semiHidden/>
    <w:unhideWhenUsed/>
    <w:qFormat/>
    <w:uiPriority w:val="99"/>
    <w:rPr>
      <w:color w:val="333333"/>
      <w:u w:val="none"/>
    </w:rPr>
  </w:style>
  <w:style w:type="character" w:styleId="17">
    <w:name w:val="Hyperlink"/>
    <w:basedOn w:val="12"/>
    <w:unhideWhenUsed/>
    <w:qFormat/>
    <w:uiPriority w:val="99"/>
    <w:rPr>
      <w:color w:val="333333"/>
      <w:u w:val="none"/>
    </w:rPr>
  </w:style>
  <w:style w:type="character" w:customStyle="1" w:styleId="18">
    <w:name w:val="批注框文本 Char"/>
    <w:basedOn w:val="12"/>
    <w:link w:val="7"/>
    <w:semiHidden/>
    <w:qFormat/>
    <w:uiPriority w:val="99"/>
    <w:rPr>
      <w:rFonts w:ascii="Times New Roman" w:hAnsi="Times New Roman" w:eastAsia="宋体" w:cs="Times New Roman"/>
      <w:sz w:val="18"/>
      <w:szCs w:val="18"/>
    </w:rPr>
  </w:style>
  <w:style w:type="character" w:customStyle="1" w:styleId="19">
    <w:name w:val="页眉 Char"/>
    <w:basedOn w:val="12"/>
    <w:link w:val="9"/>
    <w:qFormat/>
    <w:uiPriority w:val="99"/>
    <w:rPr>
      <w:rFonts w:ascii="Times New Roman" w:hAnsi="Times New Roman" w:eastAsia="宋体" w:cs="Times New Roman"/>
      <w:sz w:val="18"/>
      <w:szCs w:val="18"/>
    </w:rPr>
  </w:style>
  <w:style w:type="character" w:customStyle="1" w:styleId="20">
    <w:name w:val="页脚 Char"/>
    <w:basedOn w:val="12"/>
    <w:link w:val="8"/>
    <w:qFormat/>
    <w:uiPriority w:val="99"/>
    <w:rPr>
      <w:rFonts w:ascii="Times New Roman" w:hAnsi="Times New Roman" w:eastAsia="宋体" w:cs="Times New Roman"/>
      <w:sz w:val="18"/>
      <w:szCs w:val="18"/>
    </w:rPr>
  </w:style>
  <w:style w:type="character" w:customStyle="1" w:styleId="21">
    <w:name w:val="尾注文本 Char"/>
    <w:basedOn w:val="12"/>
    <w:link w:val="6"/>
    <w:semiHidden/>
    <w:qFormat/>
    <w:uiPriority w:val="99"/>
    <w:rPr>
      <w:rFonts w:ascii="Times New Roman" w:hAnsi="Times New Roman" w:eastAsia="宋体" w:cs="Times New Roman"/>
      <w:szCs w:val="24"/>
    </w:rPr>
  </w:style>
  <w:style w:type="character" w:customStyle="1" w:styleId="22">
    <w:name w:val="正文文本 Char"/>
    <w:basedOn w:val="12"/>
    <w:link w:val="3"/>
    <w:qFormat/>
    <w:uiPriority w:val="99"/>
    <w:rPr>
      <w:kern w:val="2"/>
      <w:sz w:val="21"/>
      <w:szCs w:val="24"/>
    </w:rPr>
  </w:style>
  <w:style w:type="character" w:customStyle="1" w:styleId="23">
    <w:name w:val="正文文本 Char1"/>
    <w:basedOn w:val="12"/>
    <w:link w:val="3"/>
    <w:semiHidden/>
    <w:qFormat/>
    <w:uiPriority w:val="99"/>
    <w:rPr>
      <w:rFonts w:ascii="Times New Roman" w:hAnsi="Times New Roman" w:eastAsia="宋体" w:cs="Times New Roman"/>
      <w:kern w:val="2"/>
      <w:sz w:val="21"/>
      <w:szCs w:val="24"/>
    </w:rPr>
  </w:style>
  <w:style w:type="paragraph" w:styleId="24">
    <w:name w:val="List Paragraph"/>
    <w:basedOn w:val="1"/>
    <w:unhideWhenUsed/>
    <w:qFormat/>
    <w:uiPriority w:val="99"/>
    <w:pPr>
      <w:ind w:firstLine="420" w:firstLineChars="200"/>
    </w:pPr>
  </w:style>
  <w:style w:type="character" w:customStyle="1" w:styleId="25">
    <w:name w:val="fontstyle01"/>
    <w:qFormat/>
    <w:uiPriority w:val="0"/>
    <w:rPr>
      <w:rFonts w:hint="eastAsia" w:ascii="仿宋_GB2312" w:hAnsi="Calibri" w:eastAsia="仿宋_GB2312" w:cs="Times New Roman"/>
      <w:color w:val="000000"/>
      <w:sz w:val="32"/>
      <w:szCs w:val="32"/>
    </w:rPr>
  </w:style>
  <w:style w:type="paragraph" w:customStyle="1" w:styleId="26">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27">
    <w:name w:val="标题 1 Char"/>
    <w:basedOn w:val="12"/>
    <w:link w:val="4"/>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F8057-B914-4647-ADBE-DC3B4CEBECD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15597</Words>
  <Characters>16431</Characters>
  <Lines>77</Lines>
  <Paragraphs>21</Paragraphs>
  <TotalTime>13</TotalTime>
  <ScaleCrop>false</ScaleCrop>
  <LinksUpToDate>false</LinksUpToDate>
  <CharactersWithSpaces>16743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2021-05-01T08:46:00Z</dcterms:created>
  <dc:creator>桂鑫</dc:creator>
  <cp:lastModifiedBy>晓丽</cp:lastModifiedBy>
  <dcterms:modified xsi:type="dcterms:W3CDTF">2023-06-27T06:08:18Z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7F39CE9C0325425C9FE03BE32E0AC86F</vt:lpwstr>
  </property>
</Properties>
</file>