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jc w:val="left"/>
        <w:textAlignment w:val="auto"/>
        <w:rPr>
          <w:rFonts w:ascii="黑体" w:hAnsi="黑体" w:eastAsia="黑体" w:cs="宋体"/>
          <w:color w:val="auto"/>
          <w:spacing w:val="-3"/>
          <w:kern w:val="21"/>
          <w:sz w:val="32"/>
          <w:szCs w:val="32"/>
          <w:highlight w:val="none"/>
        </w:rPr>
      </w:pPr>
      <w:r>
        <w:rPr>
          <w:rFonts w:hint="eastAsia" w:ascii="黑体" w:hAnsi="黑体" w:eastAsia="黑体" w:cs="宋体"/>
          <w:color w:val="auto"/>
          <w:spacing w:val="-3"/>
          <w:kern w:val="21"/>
          <w:sz w:val="32"/>
          <w:szCs w:val="32"/>
          <w:highlight w:val="none"/>
        </w:rPr>
        <w:t>附件</w:t>
      </w:r>
      <w:r>
        <w:rPr>
          <w:rFonts w:hint="default" w:ascii="黑体" w:hAnsi="黑体" w:eastAsia="黑体" w:cs="宋体"/>
          <w:color w:val="auto"/>
          <w:spacing w:val="-3"/>
          <w:kern w:val="21"/>
          <w:sz w:val="32"/>
          <w:szCs w:val="32"/>
          <w:highlight w:val="none"/>
        </w:rPr>
        <w:t>1</w:t>
      </w:r>
    </w:p>
    <w:p>
      <w:pPr>
        <w:keepNext w:val="0"/>
        <w:keepLines w:val="0"/>
        <w:pageBreakBefore w:val="0"/>
        <w:kinsoku/>
        <w:wordWrap/>
        <w:overflowPunct/>
        <w:topLinePunct w:val="0"/>
        <w:bidi w:val="0"/>
        <w:adjustRightInd/>
        <w:snapToGrid/>
        <w:spacing w:line="560" w:lineRule="exact"/>
        <w:jc w:val="left"/>
        <w:textAlignment w:val="auto"/>
        <w:rPr>
          <w:rFonts w:ascii="仿宋_GB2312" w:hAnsi="宋体" w:eastAsia="仿宋_GB2312" w:cs="宋体"/>
          <w:color w:val="auto"/>
          <w:spacing w:val="-3"/>
          <w:kern w:val="21"/>
          <w:sz w:val="32"/>
          <w:szCs w:val="32"/>
          <w:highlight w:val="none"/>
        </w:rPr>
      </w:pPr>
    </w:p>
    <w:p>
      <w:pPr>
        <w:keepNext w:val="0"/>
        <w:keepLines w:val="0"/>
        <w:pageBreakBefore w:val="0"/>
        <w:kinsoku/>
        <w:wordWrap/>
        <w:overflowPunct/>
        <w:topLinePunct w:val="0"/>
        <w:bidi w:val="0"/>
        <w:adjustRightInd/>
        <w:snapToGrid/>
        <w:spacing w:line="560" w:lineRule="exact"/>
        <w:jc w:val="center"/>
        <w:textAlignment w:val="auto"/>
        <w:rPr>
          <w:rFonts w:ascii="方正小标宋简体" w:hAnsi="宋体" w:eastAsia="方正小标宋简体" w:cs="宋体"/>
          <w:color w:val="auto"/>
          <w:spacing w:val="-3"/>
          <w:kern w:val="21"/>
          <w:sz w:val="44"/>
          <w:szCs w:val="44"/>
          <w:highlight w:val="none"/>
        </w:rPr>
      </w:pPr>
      <w:r>
        <w:rPr>
          <w:rFonts w:hint="default" w:ascii="方正小标宋简体" w:hAnsi="宋体" w:eastAsia="方正小标宋简体" w:cs="宋体"/>
          <w:color w:val="auto"/>
          <w:spacing w:val="-3"/>
          <w:kern w:val="21"/>
          <w:sz w:val="44"/>
          <w:szCs w:val="44"/>
          <w:highlight w:val="none"/>
        </w:rPr>
        <w:t>深圳市</w:t>
      </w:r>
      <w:r>
        <w:rPr>
          <w:rFonts w:hint="eastAsia" w:ascii="方正小标宋简体" w:hAnsi="宋体" w:eastAsia="方正小标宋简体" w:cs="宋体"/>
          <w:color w:val="auto"/>
          <w:spacing w:val="-3"/>
          <w:kern w:val="21"/>
          <w:sz w:val="44"/>
          <w:szCs w:val="44"/>
          <w:highlight w:val="none"/>
        </w:rPr>
        <w:t>大鹏新区202</w:t>
      </w:r>
      <w:r>
        <w:rPr>
          <w:rFonts w:hint="default" w:ascii="方正小标宋简体" w:hAnsi="宋体" w:eastAsia="方正小标宋简体" w:cs="宋体"/>
          <w:color w:val="auto"/>
          <w:spacing w:val="-3"/>
          <w:kern w:val="21"/>
          <w:sz w:val="44"/>
          <w:szCs w:val="44"/>
          <w:highlight w:val="none"/>
          <w:lang w:eastAsia="zh-CN"/>
        </w:rPr>
        <w:t>3</w:t>
      </w:r>
      <w:r>
        <w:rPr>
          <w:rFonts w:hint="eastAsia" w:ascii="方正小标宋简体" w:hAnsi="宋体" w:eastAsia="方正小标宋简体" w:cs="宋体"/>
          <w:color w:val="auto"/>
          <w:spacing w:val="-3"/>
          <w:kern w:val="21"/>
          <w:sz w:val="44"/>
          <w:szCs w:val="44"/>
          <w:highlight w:val="none"/>
        </w:rPr>
        <w:t>年预算调整方案</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宋体" w:eastAsia="仿宋_GB2312" w:cs="宋体"/>
          <w:color w:val="auto"/>
          <w:spacing w:val="-3"/>
          <w:kern w:val="21"/>
          <w:sz w:val="32"/>
          <w:szCs w:val="32"/>
          <w:highlight w:val="none"/>
        </w:rPr>
      </w:pPr>
    </w:p>
    <w:p>
      <w:pPr>
        <w:keepNext w:val="0"/>
        <w:keepLines w:val="0"/>
        <w:pageBreakBefore w:val="0"/>
        <w:kinsoku/>
        <w:wordWrap/>
        <w:overflowPunct/>
        <w:topLinePunct w:val="0"/>
        <w:bidi w:val="0"/>
        <w:adjustRightInd/>
        <w:snapToGrid/>
        <w:spacing w:line="560" w:lineRule="exact"/>
        <w:ind w:firstLine="628" w:firstLineChars="200"/>
        <w:textAlignment w:val="auto"/>
        <w:rPr>
          <w:rFonts w:ascii="仿宋_GB2312" w:hAnsi="Times New Roman" w:eastAsia="仿宋_GB2312" w:cs="宋体"/>
          <w:color w:val="auto"/>
          <w:spacing w:val="-3"/>
          <w:kern w:val="21"/>
          <w:sz w:val="32"/>
          <w:szCs w:val="32"/>
          <w:highlight w:val="none"/>
        </w:rPr>
      </w:pPr>
      <w:r>
        <w:rPr>
          <w:rFonts w:hint="eastAsia" w:ascii="仿宋_GB2312" w:hAnsi="Times New Roman" w:eastAsia="仿宋_GB2312" w:cs="宋体"/>
          <w:color w:val="auto"/>
          <w:spacing w:val="-3"/>
          <w:kern w:val="21"/>
          <w:sz w:val="32"/>
          <w:szCs w:val="32"/>
          <w:highlight w:val="none"/>
          <w:lang w:val="en-US" w:eastAsia="zh-CN"/>
        </w:rPr>
        <w:t>为切实</w:t>
      </w:r>
      <w:r>
        <w:rPr>
          <w:rFonts w:hint="eastAsia" w:ascii="仿宋_GB2312" w:hAnsi="Times New Roman" w:eastAsia="仿宋_GB2312" w:cs="宋体"/>
          <w:color w:val="auto"/>
          <w:spacing w:val="-3"/>
          <w:kern w:val="21"/>
          <w:sz w:val="32"/>
          <w:szCs w:val="32"/>
          <w:highlight w:val="none"/>
        </w:rPr>
        <w:t>做好202</w:t>
      </w:r>
      <w:r>
        <w:rPr>
          <w:rFonts w:hint="default" w:ascii="仿宋_GB2312" w:hAnsi="Times New Roman" w:eastAsia="仿宋_GB2312" w:cs="宋体"/>
          <w:color w:val="auto"/>
          <w:spacing w:val="-3"/>
          <w:kern w:val="21"/>
          <w:sz w:val="32"/>
          <w:szCs w:val="32"/>
          <w:highlight w:val="none"/>
          <w:lang w:eastAsia="zh-CN"/>
        </w:rPr>
        <w:t>3</w:t>
      </w:r>
      <w:r>
        <w:rPr>
          <w:rFonts w:hint="eastAsia" w:ascii="仿宋_GB2312" w:hAnsi="Times New Roman" w:eastAsia="仿宋_GB2312" w:cs="宋体"/>
          <w:color w:val="auto"/>
          <w:spacing w:val="-3"/>
          <w:kern w:val="21"/>
          <w:sz w:val="32"/>
          <w:szCs w:val="32"/>
          <w:highlight w:val="none"/>
        </w:rPr>
        <w:t>年大鹏新区地方政府债券发行及使用工作，</w:t>
      </w:r>
      <w:r>
        <w:rPr>
          <w:rFonts w:hint="eastAsia" w:ascii="仿宋_GB2312" w:hAnsi="Times New Roman" w:eastAsia="仿宋_GB2312" w:cs="宋体"/>
          <w:color w:val="auto"/>
          <w:spacing w:val="-3"/>
          <w:kern w:val="21"/>
          <w:sz w:val="32"/>
          <w:szCs w:val="32"/>
          <w:highlight w:val="none"/>
          <w:lang w:val="en-US" w:eastAsia="zh-CN"/>
        </w:rPr>
        <w:t>有力</w:t>
      </w:r>
      <w:r>
        <w:rPr>
          <w:rFonts w:hint="eastAsia" w:ascii="仿宋_GB2312" w:hAnsi="Times New Roman" w:eastAsia="仿宋_GB2312" w:cs="宋体"/>
          <w:color w:val="auto"/>
          <w:spacing w:val="-3"/>
          <w:kern w:val="21"/>
          <w:sz w:val="32"/>
          <w:szCs w:val="32"/>
          <w:highlight w:val="none"/>
        </w:rPr>
        <w:t>保障新区</w:t>
      </w:r>
      <w:bookmarkStart w:id="0" w:name="_GoBack"/>
      <w:bookmarkEnd w:id="0"/>
      <w:r>
        <w:rPr>
          <w:rFonts w:hint="eastAsia" w:ascii="仿宋_GB2312" w:hAnsi="Times New Roman" w:eastAsia="仿宋_GB2312" w:cs="宋体"/>
          <w:color w:val="auto"/>
          <w:spacing w:val="-3"/>
          <w:kern w:val="21"/>
          <w:sz w:val="32"/>
          <w:szCs w:val="32"/>
          <w:highlight w:val="none"/>
        </w:rPr>
        <w:t>公共基础设施建设、民生事业发展等需求，根据《</w:t>
      </w:r>
      <w:r>
        <w:rPr>
          <w:rFonts w:hint="default" w:ascii="仿宋_GB2312" w:hAnsi="Times New Roman" w:eastAsia="仿宋_GB2312" w:cs="宋体"/>
          <w:color w:val="auto"/>
          <w:spacing w:val="-3"/>
          <w:kern w:val="21"/>
          <w:sz w:val="32"/>
          <w:szCs w:val="32"/>
          <w:highlight w:val="none"/>
        </w:rPr>
        <w:t>中华人民共和国</w:t>
      </w:r>
      <w:r>
        <w:rPr>
          <w:rFonts w:hint="eastAsia" w:ascii="仿宋_GB2312" w:hAnsi="Times New Roman" w:eastAsia="仿宋_GB2312" w:cs="宋体"/>
          <w:color w:val="auto"/>
          <w:spacing w:val="-3"/>
          <w:kern w:val="21"/>
          <w:sz w:val="32"/>
          <w:szCs w:val="32"/>
          <w:highlight w:val="none"/>
        </w:rPr>
        <w:t>预算法》等有关规定，拟制了大鹏新区202</w:t>
      </w:r>
      <w:r>
        <w:rPr>
          <w:rFonts w:hint="default" w:ascii="仿宋_GB2312" w:hAnsi="Times New Roman" w:eastAsia="仿宋_GB2312" w:cs="宋体"/>
          <w:color w:val="auto"/>
          <w:spacing w:val="-3"/>
          <w:kern w:val="21"/>
          <w:sz w:val="32"/>
          <w:szCs w:val="32"/>
          <w:highlight w:val="none"/>
          <w:lang w:eastAsia="zh-CN"/>
        </w:rPr>
        <w:t>3</w:t>
      </w:r>
      <w:r>
        <w:rPr>
          <w:rFonts w:hint="eastAsia" w:ascii="仿宋_GB2312" w:hAnsi="Times New Roman" w:eastAsia="仿宋_GB2312" w:cs="宋体"/>
          <w:color w:val="auto"/>
          <w:spacing w:val="-3"/>
          <w:kern w:val="21"/>
          <w:sz w:val="32"/>
          <w:szCs w:val="32"/>
          <w:highlight w:val="none"/>
        </w:rPr>
        <w:t>年预算调整方案，具体情况如下：</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一、调整原因</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default" w:ascii="仿宋_GB2312" w:eastAsia="仿宋_GB2312"/>
          <w:strike w:val="0"/>
          <w:dstrike w:val="0"/>
          <w:color w:val="auto"/>
          <w:sz w:val="32"/>
          <w:szCs w:val="32"/>
          <w:highlight w:val="none"/>
          <w:lang w:eastAsia="zh-CN"/>
        </w:rPr>
        <w:t>根据深圳市地方政府债券发行工作安排，</w:t>
      </w:r>
      <w:r>
        <w:rPr>
          <w:rFonts w:hint="default" w:ascii="仿宋_GB2312" w:eastAsia="仿宋_GB2312"/>
          <w:color w:val="auto"/>
          <w:sz w:val="32"/>
          <w:szCs w:val="32"/>
          <w:highlight w:val="none"/>
          <w:lang w:eastAsia="zh-CN"/>
        </w:rPr>
        <w:t>本次增加</w:t>
      </w:r>
      <w:r>
        <w:rPr>
          <w:rFonts w:hint="eastAsia" w:ascii="仿宋_GB2312" w:eastAsia="仿宋_GB2312"/>
          <w:color w:val="auto"/>
          <w:sz w:val="32"/>
          <w:szCs w:val="32"/>
          <w:highlight w:val="none"/>
          <w:lang w:val="en-US" w:eastAsia="zh-CN"/>
        </w:rPr>
        <w:t>安排</w:t>
      </w:r>
      <w:r>
        <w:rPr>
          <w:rFonts w:hint="eastAsia" w:ascii="仿宋_GB2312" w:eastAsia="仿宋_GB2312"/>
          <w:color w:val="auto"/>
          <w:sz w:val="32"/>
          <w:szCs w:val="32"/>
          <w:highlight w:val="none"/>
        </w:rPr>
        <w:t>大鹏新区202</w:t>
      </w:r>
      <w:r>
        <w:rPr>
          <w:rFonts w:hint="default" w:ascii="仿宋_GB2312" w:eastAsia="仿宋_GB2312"/>
          <w:color w:val="auto"/>
          <w:sz w:val="32"/>
          <w:szCs w:val="32"/>
          <w:highlight w:val="none"/>
          <w:lang w:eastAsia="zh-CN"/>
        </w:rPr>
        <w:t>3</w:t>
      </w:r>
      <w:r>
        <w:rPr>
          <w:rFonts w:hint="eastAsia" w:ascii="仿宋_GB2312" w:eastAsia="仿宋_GB2312"/>
          <w:color w:val="auto"/>
          <w:sz w:val="32"/>
          <w:szCs w:val="32"/>
          <w:highlight w:val="none"/>
        </w:rPr>
        <w:t>年地方政府</w:t>
      </w:r>
      <w:r>
        <w:rPr>
          <w:rFonts w:hint="default" w:ascii="仿宋_GB2312" w:eastAsia="仿宋_GB2312"/>
          <w:color w:val="auto"/>
          <w:sz w:val="32"/>
          <w:szCs w:val="32"/>
          <w:highlight w:val="none"/>
        </w:rPr>
        <w:t>一般</w:t>
      </w:r>
      <w:r>
        <w:rPr>
          <w:rFonts w:hint="eastAsia" w:ascii="仿宋_GB2312" w:eastAsia="仿宋_GB2312"/>
          <w:color w:val="auto"/>
          <w:sz w:val="32"/>
          <w:szCs w:val="32"/>
          <w:highlight w:val="none"/>
        </w:rPr>
        <w:t>债券发行额度</w:t>
      </w:r>
      <w:r>
        <w:rPr>
          <w:rFonts w:hint="default" w:ascii="仿宋_GB2312" w:eastAsia="仿宋_GB2312"/>
          <w:color w:val="auto"/>
          <w:sz w:val="32"/>
          <w:szCs w:val="32"/>
          <w:highlight w:val="none"/>
          <w:lang w:eastAsia="zh-CN"/>
        </w:rPr>
        <w:t>1</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根据《</w:t>
      </w:r>
      <w:r>
        <w:rPr>
          <w:rFonts w:hint="default" w:ascii="仿宋_GB2312" w:eastAsia="仿宋_GB2312"/>
          <w:color w:val="auto"/>
          <w:sz w:val="32"/>
          <w:szCs w:val="32"/>
          <w:highlight w:val="none"/>
        </w:rPr>
        <w:t>中华人民共和国</w:t>
      </w:r>
      <w:r>
        <w:rPr>
          <w:rFonts w:hint="eastAsia" w:ascii="仿宋_GB2312" w:eastAsia="仿宋_GB2312"/>
          <w:color w:val="auto"/>
          <w:sz w:val="32"/>
          <w:szCs w:val="32"/>
          <w:highlight w:val="none"/>
        </w:rPr>
        <w:t>预算法》第六十七条关于预算在执行中需要增加举借债务数额的应当进行预算调整的规定，以及《地方政府</w:t>
      </w:r>
      <w:r>
        <w:rPr>
          <w:rFonts w:hint="default" w:ascii="仿宋_GB2312" w:eastAsia="仿宋_GB2312"/>
          <w:color w:val="auto"/>
          <w:sz w:val="32"/>
          <w:szCs w:val="32"/>
          <w:highlight w:val="none"/>
        </w:rPr>
        <w:t>一般</w:t>
      </w:r>
      <w:r>
        <w:rPr>
          <w:rFonts w:hint="eastAsia" w:ascii="仿宋_GB2312" w:eastAsia="仿宋_GB2312"/>
          <w:color w:val="auto"/>
          <w:sz w:val="32"/>
          <w:szCs w:val="32"/>
          <w:highlight w:val="none"/>
        </w:rPr>
        <w:t>债务预算管理办法》第十三条关于市县级政府从上级政府转贷的</w:t>
      </w:r>
      <w:r>
        <w:rPr>
          <w:rFonts w:hint="default" w:ascii="仿宋_GB2312" w:eastAsia="仿宋_GB2312"/>
          <w:color w:val="auto"/>
          <w:sz w:val="32"/>
          <w:szCs w:val="32"/>
          <w:highlight w:val="none"/>
        </w:rPr>
        <w:t>一般</w:t>
      </w:r>
      <w:r>
        <w:rPr>
          <w:rFonts w:hint="eastAsia" w:ascii="仿宋_GB2312" w:eastAsia="仿宋_GB2312"/>
          <w:color w:val="auto"/>
          <w:sz w:val="32"/>
          <w:szCs w:val="32"/>
          <w:highlight w:val="none"/>
        </w:rPr>
        <w:t>债务收入应当列入预算调整方案的规定，应当进行预算调整。</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本次预算调整根据政府收支分类科目要求，一般债券转贷收入</w:t>
      </w:r>
      <w:r>
        <w:rPr>
          <w:rFonts w:hint="eastAsia" w:ascii="仿宋_GB2312" w:eastAsia="仿宋_GB2312"/>
          <w:color w:val="auto"/>
          <w:sz w:val="32"/>
          <w:szCs w:val="32"/>
          <w:highlight w:val="none"/>
        </w:rPr>
        <w:t>、</w:t>
      </w:r>
      <w:r>
        <w:rPr>
          <w:rFonts w:ascii="仿宋_GB2312" w:eastAsia="仿宋_GB2312"/>
          <w:color w:val="auto"/>
          <w:sz w:val="32"/>
          <w:szCs w:val="32"/>
          <w:highlight w:val="none"/>
        </w:rPr>
        <w:t>支出均列入一般公共预算，因此本次预算调整只涉及一般公共预算及相应项目调整。</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ascii="黑体" w:hAnsi="Times New Roman" w:eastAsia="黑体"/>
          <w:color w:val="auto"/>
          <w:spacing w:val="-3"/>
          <w:kern w:val="21"/>
          <w:sz w:val="32"/>
          <w:szCs w:val="32"/>
          <w:highlight w:val="none"/>
        </w:rPr>
      </w:pPr>
      <w:r>
        <w:rPr>
          <w:rFonts w:hint="eastAsia" w:ascii="黑体" w:hAnsi="黑体" w:eastAsia="黑体" w:cs="黑体"/>
          <w:color w:val="auto"/>
          <w:sz w:val="32"/>
          <w:szCs w:val="32"/>
          <w:highlight w:val="none"/>
        </w:rPr>
        <w:t>二、</w:t>
      </w:r>
      <w:r>
        <w:rPr>
          <w:rFonts w:ascii="黑体" w:hAnsi="Times New Roman" w:eastAsia="黑体"/>
          <w:color w:val="auto"/>
          <w:spacing w:val="-3"/>
          <w:kern w:val="21"/>
          <w:sz w:val="32"/>
          <w:szCs w:val="32"/>
          <w:highlight w:val="none"/>
        </w:rPr>
        <w:t>202</w:t>
      </w:r>
      <w:r>
        <w:rPr>
          <w:rFonts w:hint="default" w:ascii="黑体" w:hAnsi="Times New Roman" w:eastAsia="黑体"/>
          <w:color w:val="auto"/>
          <w:spacing w:val="-3"/>
          <w:kern w:val="21"/>
          <w:sz w:val="32"/>
          <w:szCs w:val="32"/>
          <w:highlight w:val="none"/>
          <w:lang w:eastAsia="zh-CN"/>
        </w:rPr>
        <w:t>3</w:t>
      </w:r>
      <w:r>
        <w:rPr>
          <w:rFonts w:ascii="黑体" w:hAnsi="Times New Roman" w:eastAsia="黑体"/>
          <w:color w:val="auto"/>
          <w:spacing w:val="-3"/>
          <w:kern w:val="21"/>
          <w:sz w:val="32"/>
          <w:szCs w:val="32"/>
          <w:highlight w:val="none"/>
        </w:rPr>
        <w:t>年一般公共预算调整事项</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Times New Roman" w:eastAsia="仿宋_GB2312" w:cs="宋体"/>
          <w:color w:val="auto"/>
          <w:spacing w:val="-3"/>
          <w:kern w:val="21"/>
          <w:sz w:val="32"/>
          <w:szCs w:val="32"/>
          <w:highlight w:val="none"/>
        </w:rPr>
      </w:pPr>
      <w:r>
        <w:rPr>
          <w:rFonts w:hint="eastAsia" w:ascii="仿宋_GB2312" w:hAnsi="宋体" w:eastAsia="仿宋_GB2312" w:cs="宋体"/>
          <w:color w:val="auto"/>
          <w:kern w:val="0"/>
          <w:sz w:val="32"/>
          <w:szCs w:val="32"/>
          <w:highlight w:val="none"/>
        </w:rPr>
        <w:t>202</w:t>
      </w:r>
      <w:r>
        <w:rPr>
          <w:rFonts w:hint="default" w:ascii="仿宋_GB2312" w:hAnsi="宋体" w:eastAsia="仿宋_GB2312" w:cs="宋体"/>
          <w:color w:val="auto"/>
          <w:kern w:val="0"/>
          <w:sz w:val="32"/>
          <w:szCs w:val="32"/>
          <w:highlight w:val="none"/>
          <w:lang w:eastAsia="zh-CN"/>
        </w:rPr>
        <w:t>3</w:t>
      </w:r>
      <w:r>
        <w:rPr>
          <w:rFonts w:hint="eastAsia" w:ascii="仿宋_GB2312" w:hAnsi="宋体" w:eastAsia="仿宋_GB2312" w:cs="宋体"/>
          <w:color w:val="auto"/>
          <w:kern w:val="0"/>
          <w:sz w:val="32"/>
          <w:szCs w:val="32"/>
          <w:highlight w:val="none"/>
        </w:rPr>
        <w:t>年新区</w:t>
      </w:r>
      <w:r>
        <w:rPr>
          <w:rFonts w:hint="default" w:ascii="仿宋_GB2312" w:hAnsi="宋体" w:eastAsia="仿宋_GB2312" w:cs="宋体"/>
          <w:color w:val="auto"/>
          <w:kern w:val="0"/>
          <w:sz w:val="32"/>
          <w:szCs w:val="32"/>
          <w:highlight w:val="none"/>
        </w:rPr>
        <w:t>一般公共预算</w:t>
      </w:r>
      <w:r>
        <w:rPr>
          <w:rFonts w:hint="eastAsia" w:ascii="仿宋_GB2312" w:hAnsi="宋体" w:eastAsia="仿宋_GB2312" w:cs="宋体"/>
          <w:color w:val="auto"/>
          <w:kern w:val="0"/>
          <w:sz w:val="32"/>
          <w:szCs w:val="32"/>
          <w:highlight w:val="none"/>
        </w:rPr>
        <w:t>年初安排预算收入</w:t>
      </w:r>
      <w:r>
        <w:rPr>
          <w:rFonts w:hint="default" w:ascii="仿宋_GB2312" w:hAnsi="Times New Roman" w:eastAsia="仿宋_GB2312" w:cs="宋体"/>
          <w:color w:val="auto"/>
          <w:spacing w:val="-3"/>
          <w:kern w:val="21"/>
          <w:sz w:val="32"/>
          <w:szCs w:val="32"/>
          <w:highlight w:val="none"/>
          <w:lang w:eastAsia="zh-CN"/>
        </w:rPr>
        <w:t>63.4</w:t>
      </w:r>
      <w:r>
        <w:rPr>
          <w:rFonts w:ascii="仿宋_GB2312" w:hAnsi="Times New Roman" w:eastAsia="仿宋_GB2312" w:cs="宋体"/>
          <w:color w:val="auto"/>
          <w:spacing w:val="-3"/>
          <w:kern w:val="21"/>
          <w:sz w:val="32"/>
          <w:szCs w:val="32"/>
          <w:highlight w:val="none"/>
        </w:rPr>
        <w:t>亿元</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相应安排</w:t>
      </w:r>
      <w:r>
        <w:rPr>
          <w:rFonts w:hint="eastAsia" w:ascii="仿宋_GB2312" w:hAnsi="宋体" w:eastAsia="仿宋_GB2312" w:cs="宋体"/>
          <w:color w:val="auto"/>
          <w:kern w:val="0"/>
          <w:sz w:val="32"/>
          <w:szCs w:val="32"/>
          <w:highlight w:val="none"/>
        </w:rPr>
        <w:t>预算支出</w:t>
      </w:r>
      <w:r>
        <w:rPr>
          <w:rFonts w:hint="default" w:ascii="仿宋_GB2312" w:hAnsi="宋体" w:eastAsia="仿宋_GB2312" w:cs="宋体"/>
          <w:color w:val="auto"/>
          <w:kern w:val="0"/>
          <w:sz w:val="32"/>
          <w:szCs w:val="32"/>
          <w:highlight w:val="none"/>
        </w:rPr>
        <w:t>63.4</w:t>
      </w:r>
      <w:r>
        <w:rPr>
          <w:rFonts w:ascii="仿宋_GB2312" w:hAnsi="Times New Roman" w:eastAsia="仿宋_GB2312" w:cs="宋体"/>
          <w:color w:val="auto"/>
          <w:spacing w:val="-3"/>
          <w:kern w:val="21"/>
          <w:sz w:val="32"/>
          <w:szCs w:val="32"/>
          <w:highlight w:val="none"/>
        </w:rPr>
        <w:t>亿元</w:t>
      </w:r>
      <w:r>
        <w:rPr>
          <w:rFonts w:hint="eastAsia" w:ascii="仿宋_GB2312" w:hAnsi="Times New Roman" w:eastAsia="仿宋_GB2312" w:cs="宋体"/>
          <w:color w:val="auto"/>
          <w:spacing w:val="-3"/>
          <w:kern w:val="21"/>
          <w:sz w:val="32"/>
          <w:szCs w:val="32"/>
          <w:highlight w:val="none"/>
          <w:lang w:eastAsia="zh-CN"/>
        </w:rPr>
        <w:t>。</w:t>
      </w:r>
      <w:r>
        <w:rPr>
          <w:rFonts w:hint="eastAsia" w:ascii="仿宋_GB2312" w:hAnsi="Times New Roman" w:eastAsia="仿宋_GB2312" w:cs="宋体"/>
          <w:color w:val="auto"/>
          <w:spacing w:val="-3"/>
          <w:kern w:val="21"/>
          <w:sz w:val="32"/>
          <w:szCs w:val="32"/>
          <w:highlight w:val="none"/>
          <w:lang w:val="en-US" w:eastAsia="zh-CN"/>
        </w:rPr>
        <w:t>由于本次</w:t>
      </w:r>
      <w:r>
        <w:rPr>
          <w:rFonts w:hint="default" w:ascii="仿宋_GB2312" w:hAnsi="Times New Roman" w:eastAsia="仿宋_GB2312" w:cs="宋体"/>
          <w:color w:val="auto"/>
          <w:spacing w:val="-3"/>
          <w:kern w:val="21"/>
          <w:sz w:val="32"/>
          <w:szCs w:val="32"/>
          <w:highlight w:val="none"/>
          <w:lang w:eastAsia="zh-CN"/>
        </w:rPr>
        <w:t>市财政局</w:t>
      </w:r>
      <w:r>
        <w:rPr>
          <w:rFonts w:hint="eastAsia" w:ascii="仿宋_GB2312" w:hAnsi="Times New Roman" w:eastAsia="仿宋_GB2312" w:cs="宋体"/>
          <w:color w:val="auto"/>
          <w:spacing w:val="-3"/>
          <w:kern w:val="21"/>
          <w:sz w:val="32"/>
          <w:szCs w:val="32"/>
          <w:highlight w:val="none"/>
          <w:lang w:val="en-US" w:eastAsia="zh-CN"/>
        </w:rPr>
        <w:t>拟</w:t>
      </w:r>
      <w:r>
        <w:rPr>
          <w:rFonts w:hint="default" w:ascii="仿宋_GB2312" w:hAnsi="Times New Roman" w:eastAsia="仿宋_GB2312" w:cs="宋体"/>
          <w:color w:val="auto"/>
          <w:spacing w:val="-3"/>
          <w:kern w:val="21"/>
          <w:sz w:val="32"/>
          <w:szCs w:val="32"/>
          <w:highlight w:val="none"/>
          <w:lang w:eastAsia="zh-CN"/>
        </w:rPr>
        <w:t>下达大鹏新区</w:t>
      </w:r>
      <w:r>
        <w:rPr>
          <w:rFonts w:hint="eastAsia" w:ascii="仿宋_GB2312" w:hAnsi="Times New Roman" w:eastAsia="仿宋_GB2312" w:cs="宋体"/>
          <w:color w:val="auto"/>
          <w:spacing w:val="-3"/>
          <w:kern w:val="21"/>
          <w:sz w:val="32"/>
          <w:szCs w:val="32"/>
          <w:highlight w:val="none"/>
          <w:lang w:val="en-US" w:eastAsia="zh-CN"/>
        </w:rPr>
        <w:t>地方政府</w:t>
      </w:r>
      <w:r>
        <w:rPr>
          <w:rFonts w:hint="default" w:ascii="仿宋_GB2312" w:hAnsi="Times New Roman" w:eastAsia="仿宋_GB2312" w:cs="宋体"/>
          <w:color w:val="auto"/>
          <w:spacing w:val="-3"/>
          <w:kern w:val="21"/>
          <w:sz w:val="32"/>
          <w:szCs w:val="32"/>
          <w:highlight w:val="none"/>
          <w:lang w:eastAsia="zh-CN"/>
        </w:rPr>
        <w:t>一般</w:t>
      </w:r>
      <w:r>
        <w:rPr>
          <w:rFonts w:hint="eastAsia" w:ascii="仿宋_GB2312" w:hAnsi="Times New Roman" w:eastAsia="仿宋_GB2312" w:cs="宋体"/>
          <w:color w:val="auto"/>
          <w:spacing w:val="-3"/>
          <w:kern w:val="21"/>
          <w:sz w:val="32"/>
          <w:szCs w:val="32"/>
          <w:highlight w:val="none"/>
          <w:lang w:val="en-US" w:eastAsia="zh-CN"/>
        </w:rPr>
        <w:t>债券</w:t>
      </w:r>
      <w:r>
        <w:rPr>
          <w:rFonts w:hint="default" w:ascii="仿宋_GB2312" w:hAnsi="Times New Roman" w:eastAsia="仿宋_GB2312" w:cs="宋体"/>
          <w:color w:val="auto"/>
          <w:spacing w:val="-3"/>
          <w:kern w:val="21"/>
          <w:sz w:val="32"/>
          <w:szCs w:val="32"/>
          <w:highlight w:val="none"/>
          <w:lang w:eastAsia="zh-CN"/>
        </w:rPr>
        <w:t>1</w:t>
      </w:r>
      <w:r>
        <w:rPr>
          <w:rFonts w:hint="eastAsia" w:ascii="仿宋_GB2312" w:hAnsi="Times New Roman" w:eastAsia="仿宋_GB2312" w:cs="宋体"/>
          <w:color w:val="auto"/>
          <w:spacing w:val="-3"/>
          <w:kern w:val="21"/>
          <w:sz w:val="32"/>
          <w:szCs w:val="32"/>
          <w:highlight w:val="none"/>
          <w:lang w:val="en-US" w:eastAsia="zh-CN"/>
        </w:rPr>
        <w:t>亿元，</w:t>
      </w:r>
      <w:r>
        <w:rPr>
          <w:rFonts w:hint="eastAsia" w:ascii="仿宋_GB2312" w:hAnsi="Times New Roman" w:eastAsia="仿宋_GB2312" w:cs="宋体"/>
          <w:color w:val="auto"/>
          <w:spacing w:val="-3"/>
          <w:kern w:val="21"/>
          <w:sz w:val="32"/>
          <w:szCs w:val="32"/>
          <w:highlight w:val="none"/>
        </w:rPr>
        <w:t>根据《</w:t>
      </w:r>
      <w:r>
        <w:rPr>
          <w:rFonts w:hint="default" w:ascii="仿宋_GB2312" w:hAnsi="Times New Roman" w:eastAsia="仿宋_GB2312" w:cs="宋体"/>
          <w:color w:val="auto"/>
          <w:spacing w:val="-3"/>
          <w:kern w:val="21"/>
          <w:sz w:val="32"/>
          <w:szCs w:val="32"/>
          <w:highlight w:val="none"/>
        </w:rPr>
        <w:t>中华人民共和国</w:t>
      </w:r>
      <w:r>
        <w:rPr>
          <w:rFonts w:hint="eastAsia" w:ascii="仿宋_GB2312" w:hAnsi="Times New Roman" w:eastAsia="仿宋_GB2312" w:cs="宋体"/>
          <w:color w:val="auto"/>
          <w:spacing w:val="-3"/>
          <w:kern w:val="21"/>
          <w:sz w:val="32"/>
          <w:szCs w:val="32"/>
          <w:highlight w:val="none"/>
        </w:rPr>
        <w:t>预算法》《地方政府</w:t>
      </w:r>
      <w:r>
        <w:rPr>
          <w:rFonts w:hint="default" w:ascii="仿宋_GB2312" w:hAnsi="Times New Roman" w:eastAsia="仿宋_GB2312" w:cs="宋体"/>
          <w:color w:val="auto"/>
          <w:spacing w:val="-3"/>
          <w:kern w:val="21"/>
          <w:sz w:val="32"/>
          <w:szCs w:val="32"/>
          <w:highlight w:val="none"/>
        </w:rPr>
        <w:t>一般</w:t>
      </w:r>
      <w:r>
        <w:rPr>
          <w:rFonts w:hint="eastAsia" w:ascii="仿宋_GB2312" w:hAnsi="Times New Roman" w:eastAsia="仿宋_GB2312" w:cs="宋体"/>
          <w:color w:val="auto"/>
          <w:spacing w:val="-3"/>
          <w:kern w:val="21"/>
          <w:sz w:val="32"/>
          <w:szCs w:val="32"/>
          <w:highlight w:val="none"/>
        </w:rPr>
        <w:t>债务预算管理办法》及《202</w:t>
      </w:r>
      <w:r>
        <w:rPr>
          <w:rFonts w:hint="default" w:ascii="仿宋_GB2312" w:hAnsi="Times New Roman" w:eastAsia="仿宋_GB2312" w:cs="宋体"/>
          <w:color w:val="auto"/>
          <w:spacing w:val="-3"/>
          <w:kern w:val="21"/>
          <w:sz w:val="32"/>
          <w:szCs w:val="32"/>
          <w:highlight w:val="none"/>
          <w:lang w:eastAsia="zh-CN"/>
        </w:rPr>
        <w:t>3</w:t>
      </w:r>
      <w:r>
        <w:rPr>
          <w:rFonts w:hint="eastAsia" w:ascii="仿宋_GB2312" w:hAnsi="Times New Roman" w:eastAsia="仿宋_GB2312" w:cs="宋体"/>
          <w:color w:val="auto"/>
          <w:spacing w:val="-3"/>
          <w:kern w:val="21"/>
          <w:sz w:val="32"/>
          <w:szCs w:val="32"/>
          <w:highlight w:val="none"/>
        </w:rPr>
        <w:t>年政府收支分类科目》规定，对新区</w:t>
      </w:r>
      <w:r>
        <w:rPr>
          <w:rFonts w:hint="default" w:ascii="仿宋_GB2312" w:hAnsi="Times New Roman" w:eastAsia="仿宋_GB2312" w:cs="宋体"/>
          <w:color w:val="auto"/>
          <w:spacing w:val="-3"/>
          <w:kern w:val="21"/>
          <w:sz w:val="32"/>
          <w:szCs w:val="32"/>
          <w:highlight w:val="none"/>
        </w:rPr>
        <w:t>一般公共</w:t>
      </w:r>
      <w:r>
        <w:rPr>
          <w:rFonts w:hint="eastAsia" w:ascii="仿宋_GB2312" w:hAnsi="Times New Roman" w:eastAsia="仿宋_GB2312" w:cs="宋体"/>
          <w:color w:val="auto"/>
          <w:spacing w:val="-3"/>
          <w:kern w:val="21"/>
          <w:sz w:val="32"/>
          <w:szCs w:val="32"/>
          <w:highlight w:val="none"/>
        </w:rPr>
        <w:t>预算作如下调整：</w:t>
      </w:r>
    </w:p>
    <w:p>
      <w:pPr>
        <w:keepNext w:val="0"/>
        <w:keepLines w:val="0"/>
        <w:pageBreakBefore w:val="0"/>
        <w:kinsoku/>
        <w:wordWrap/>
        <w:overflowPunct/>
        <w:topLinePunct w:val="0"/>
        <w:bidi w:val="0"/>
        <w:adjustRightInd/>
        <w:snapToGrid/>
        <w:spacing w:line="560" w:lineRule="exact"/>
        <w:ind w:firstLine="628" w:firstLineChars="200"/>
        <w:jc w:val="both"/>
        <w:textAlignment w:val="auto"/>
        <w:rPr>
          <w:rFonts w:hint="eastAsia" w:ascii="楷体_GB2312" w:hAnsi="楷体_GB2312" w:eastAsia="楷体_GB2312" w:cs="楷体_GB2312"/>
          <w:color w:val="auto"/>
          <w:spacing w:val="-3"/>
          <w:kern w:val="21"/>
          <w:sz w:val="32"/>
          <w:szCs w:val="32"/>
          <w:highlight w:val="none"/>
        </w:rPr>
      </w:pPr>
      <w:r>
        <w:rPr>
          <w:rFonts w:hint="eastAsia" w:ascii="楷体_GB2312" w:hAnsi="楷体_GB2312" w:eastAsia="楷体_GB2312" w:cs="楷体_GB2312"/>
          <w:color w:val="auto"/>
          <w:spacing w:val="-3"/>
          <w:kern w:val="21"/>
          <w:sz w:val="32"/>
          <w:szCs w:val="32"/>
          <w:highlight w:val="none"/>
        </w:rPr>
        <w:t>（一）一般公共预算收入</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Times New Roman" w:eastAsia="仿宋_GB2312" w:cs="宋体"/>
          <w:color w:val="auto"/>
          <w:spacing w:val="-3"/>
          <w:kern w:val="21"/>
          <w:sz w:val="32"/>
          <w:szCs w:val="32"/>
          <w:highlight w:val="none"/>
        </w:rPr>
      </w:pPr>
      <w:r>
        <w:rPr>
          <w:rFonts w:hint="default" w:ascii="仿宋_GB2312" w:eastAsia="仿宋_GB2312"/>
          <w:color w:val="auto"/>
          <w:sz w:val="32"/>
          <w:szCs w:val="32"/>
          <w:highlight w:val="none"/>
        </w:rPr>
        <w:t>根据新增分配的</w:t>
      </w:r>
      <w:r>
        <w:rPr>
          <w:rFonts w:hint="eastAsia" w:ascii="仿宋_GB2312" w:eastAsia="仿宋_GB2312"/>
          <w:color w:val="auto"/>
          <w:sz w:val="32"/>
          <w:szCs w:val="32"/>
          <w:highlight w:val="none"/>
        </w:rPr>
        <w:t>大鹏新区202</w:t>
      </w:r>
      <w:r>
        <w:rPr>
          <w:rFonts w:hint="default" w:ascii="仿宋_GB2312" w:eastAsia="仿宋_GB2312"/>
          <w:color w:val="auto"/>
          <w:sz w:val="32"/>
          <w:szCs w:val="32"/>
          <w:highlight w:val="none"/>
          <w:lang w:eastAsia="zh-CN"/>
        </w:rPr>
        <w:t>3</w:t>
      </w:r>
      <w:r>
        <w:rPr>
          <w:rFonts w:hint="eastAsia" w:ascii="仿宋_GB2312" w:eastAsia="仿宋_GB2312"/>
          <w:color w:val="auto"/>
          <w:sz w:val="32"/>
          <w:szCs w:val="32"/>
          <w:highlight w:val="none"/>
        </w:rPr>
        <w:t>年地方政府</w:t>
      </w:r>
      <w:r>
        <w:rPr>
          <w:rFonts w:hint="default" w:ascii="仿宋_GB2312" w:eastAsia="仿宋_GB2312"/>
          <w:color w:val="auto"/>
          <w:sz w:val="32"/>
          <w:szCs w:val="32"/>
          <w:highlight w:val="none"/>
        </w:rPr>
        <w:t>一般</w:t>
      </w:r>
      <w:r>
        <w:rPr>
          <w:rFonts w:hint="eastAsia" w:ascii="仿宋_GB2312" w:eastAsia="仿宋_GB2312"/>
          <w:color w:val="auto"/>
          <w:sz w:val="32"/>
          <w:szCs w:val="32"/>
          <w:highlight w:val="none"/>
        </w:rPr>
        <w:t>债券发行额度</w:t>
      </w:r>
      <w:r>
        <w:rPr>
          <w:rFonts w:hint="default" w:ascii="仿宋_GB2312" w:eastAsia="仿宋_GB2312"/>
          <w:color w:val="auto"/>
          <w:sz w:val="32"/>
          <w:szCs w:val="32"/>
          <w:highlight w:val="none"/>
        </w:rPr>
        <w:t>，增加安排</w:t>
      </w:r>
      <w:r>
        <w:rPr>
          <w:rFonts w:hint="eastAsia" w:ascii="仿宋_GB2312" w:hAnsi="Times New Roman" w:eastAsia="仿宋_GB2312" w:cs="宋体"/>
          <w:color w:val="auto"/>
          <w:spacing w:val="-3"/>
          <w:kern w:val="21"/>
          <w:sz w:val="32"/>
          <w:szCs w:val="32"/>
          <w:highlight w:val="none"/>
        </w:rPr>
        <w:t>“转移性收入”类下的“地方政府</w:t>
      </w:r>
      <w:r>
        <w:rPr>
          <w:rFonts w:hint="default" w:ascii="仿宋_GB2312" w:hAnsi="Times New Roman" w:eastAsia="仿宋_GB2312" w:cs="宋体"/>
          <w:color w:val="auto"/>
          <w:spacing w:val="-3"/>
          <w:kern w:val="21"/>
          <w:sz w:val="32"/>
          <w:szCs w:val="32"/>
          <w:highlight w:val="none"/>
        </w:rPr>
        <w:t>一般</w:t>
      </w:r>
      <w:r>
        <w:rPr>
          <w:rFonts w:hint="eastAsia" w:ascii="仿宋_GB2312" w:hAnsi="Times New Roman" w:eastAsia="仿宋_GB2312" w:cs="宋体"/>
          <w:color w:val="auto"/>
          <w:spacing w:val="-3"/>
          <w:kern w:val="21"/>
          <w:sz w:val="32"/>
          <w:szCs w:val="32"/>
          <w:highlight w:val="none"/>
        </w:rPr>
        <w:t>债务转贷收入”</w:t>
      </w:r>
      <w:r>
        <w:rPr>
          <w:rFonts w:hint="default" w:ascii="仿宋_GB2312" w:hAnsi="Times New Roman" w:eastAsia="仿宋_GB2312" w:cs="宋体"/>
          <w:color w:val="auto"/>
          <w:spacing w:val="-3"/>
          <w:kern w:val="21"/>
          <w:sz w:val="32"/>
          <w:szCs w:val="32"/>
          <w:highlight w:val="none"/>
        </w:rPr>
        <w:t>1亿元</w:t>
      </w:r>
      <w:r>
        <w:rPr>
          <w:rFonts w:hint="eastAsia" w:ascii="仿宋_GB2312" w:hAnsi="Times New Roman" w:eastAsia="仿宋_GB2312" w:cs="宋体"/>
          <w:color w:val="auto"/>
          <w:spacing w:val="-3"/>
          <w:kern w:val="21"/>
          <w:sz w:val="32"/>
          <w:szCs w:val="32"/>
          <w:highlight w:val="none"/>
        </w:rPr>
        <w:t>，其余</w:t>
      </w:r>
      <w:r>
        <w:rPr>
          <w:rFonts w:hint="default" w:ascii="仿宋_GB2312" w:hAnsi="Times New Roman" w:eastAsia="仿宋_GB2312" w:cs="宋体"/>
          <w:color w:val="auto"/>
          <w:spacing w:val="-3"/>
          <w:kern w:val="21"/>
          <w:sz w:val="32"/>
          <w:szCs w:val="32"/>
          <w:highlight w:val="none"/>
        </w:rPr>
        <w:t>一般公共</w:t>
      </w:r>
      <w:r>
        <w:rPr>
          <w:rFonts w:hint="eastAsia" w:ascii="仿宋_GB2312" w:hAnsi="Times New Roman" w:eastAsia="仿宋_GB2312" w:cs="宋体"/>
          <w:color w:val="auto"/>
          <w:spacing w:val="-3"/>
          <w:kern w:val="21"/>
          <w:sz w:val="32"/>
          <w:szCs w:val="32"/>
          <w:highlight w:val="none"/>
        </w:rPr>
        <w:t>预算收入项目金额不变。</w:t>
      </w:r>
    </w:p>
    <w:p>
      <w:pPr>
        <w:keepNext w:val="0"/>
        <w:keepLines w:val="0"/>
        <w:pageBreakBefore w:val="0"/>
        <w:kinsoku/>
        <w:wordWrap/>
        <w:overflowPunct/>
        <w:topLinePunct w:val="0"/>
        <w:bidi w:val="0"/>
        <w:adjustRightInd/>
        <w:snapToGrid/>
        <w:spacing w:line="560" w:lineRule="exact"/>
        <w:ind w:firstLine="628" w:firstLineChars="200"/>
        <w:jc w:val="both"/>
        <w:textAlignment w:val="auto"/>
        <w:rPr>
          <w:rFonts w:hint="eastAsia" w:ascii="楷体_GB2312" w:hAnsi="楷体_GB2312" w:eastAsia="楷体_GB2312" w:cs="楷体_GB2312"/>
          <w:color w:val="auto"/>
          <w:spacing w:val="-3"/>
          <w:kern w:val="21"/>
          <w:sz w:val="32"/>
          <w:szCs w:val="32"/>
          <w:highlight w:val="none"/>
        </w:rPr>
      </w:pPr>
      <w:r>
        <w:rPr>
          <w:rFonts w:hint="eastAsia" w:ascii="楷体_GB2312" w:hAnsi="楷体_GB2312" w:eastAsia="楷体_GB2312" w:cs="楷体_GB2312"/>
          <w:color w:val="auto"/>
          <w:spacing w:val="-3"/>
          <w:kern w:val="21"/>
          <w:sz w:val="32"/>
          <w:szCs w:val="32"/>
          <w:highlight w:val="none"/>
        </w:rPr>
        <w:t>（二）一般公共预算支出</w:t>
      </w:r>
    </w:p>
    <w:p>
      <w:pPr>
        <w:keepNext w:val="0"/>
        <w:keepLines w:val="0"/>
        <w:pageBreakBefore w:val="0"/>
        <w:widowControl/>
        <w:kinsoku/>
        <w:wordWrap/>
        <w:overflowPunct/>
        <w:topLinePunct w:val="0"/>
        <w:bidi w:val="0"/>
        <w:adjustRightInd/>
        <w:snapToGrid/>
        <w:spacing w:line="560" w:lineRule="exact"/>
        <w:ind w:firstLine="628" w:firstLineChars="200"/>
        <w:jc w:val="both"/>
        <w:textAlignment w:val="auto"/>
        <w:rPr>
          <w:rFonts w:hint="eastAsia" w:ascii="仿宋_GB2312" w:hAnsi="Times New Roman" w:eastAsia="仿宋_GB2312" w:cs="宋体"/>
          <w:color w:val="auto"/>
          <w:spacing w:val="-3"/>
          <w:kern w:val="21"/>
          <w:sz w:val="32"/>
          <w:szCs w:val="32"/>
          <w:highlight w:val="none"/>
        </w:rPr>
      </w:pPr>
      <w:r>
        <w:rPr>
          <w:rFonts w:hint="eastAsia" w:ascii="仿宋_GB2312" w:hAnsi="Times New Roman" w:eastAsia="仿宋_GB2312" w:cs="宋体"/>
          <w:color w:val="auto"/>
          <w:spacing w:val="-3"/>
          <w:kern w:val="21"/>
          <w:sz w:val="32"/>
          <w:szCs w:val="32"/>
          <w:highlight w:val="none"/>
        </w:rPr>
        <w:t>根据收支平衡原则，相应增加一般公共预算支出1亿元，主要是大鹏新区档案馆·方志馆建设工程、大鹏08-13地块配套九年一贯制学校、白石岗城市更新配套学校等项目。同时，相关项目已先行安排指标的部分，统筹收回至“预留基层政权建设及社会民生事业发展支出（含存量资金对应的项目支出）”</w:t>
      </w:r>
      <w:r>
        <w:rPr>
          <w:rFonts w:hint="default" w:ascii="仿宋_GB2312" w:hAnsi="Times New Roman" w:eastAsia="仿宋_GB2312" w:cs="宋体"/>
          <w:color w:val="auto"/>
          <w:spacing w:val="-3"/>
          <w:kern w:val="21"/>
          <w:sz w:val="32"/>
          <w:szCs w:val="32"/>
          <w:highlight w:val="none"/>
        </w:rPr>
        <w:t>。</w:t>
      </w:r>
      <w:r>
        <w:rPr>
          <w:rFonts w:hint="eastAsia" w:ascii="仿宋_GB2312" w:hAnsi="Times New Roman" w:eastAsia="仿宋_GB2312" w:cs="宋体"/>
          <w:color w:val="auto"/>
          <w:spacing w:val="-3"/>
          <w:kern w:val="21"/>
          <w:sz w:val="32"/>
          <w:szCs w:val="32"/>
          <w:highlight w:val="none"/>
        </w:rPr>
        <w:t>具体指标调整如下：</w:t>
      </w:r>
    </w:p>
    <w:p>
      <w:pPr>
        <w:keepNext w:val="0"/>
        <w:keepLines w:val="0"/>
        <w:pageBreakBefore w:val="0"/>
        <w:widowControl/>
        <w:kinsoku/>
        <w:wordWrap/>
        <w:overflowPunct/>
        <w:topLinePunct w:val="0"/>
        <w:bidi w:val="0"/>
        <w:adjustRightInd/>
        <w:snapToGrid/>
        <w:spacing w:line="560" w:lineRule="exact"/>
        <w:ind w:firstLine="628" w:firstLineChars="200"/>
        <w:jc w:val="both"/>
        <w:textAlignment w:val="auto"/>
        <w:rPr>
          <w:rFonts w:hint="eastAsia" w:ascii="仿宋_GB2312" w:hAnsi="Times New Roman" w:eastAsia="仿宋_GB2312" w:cs="宋体"/>
          <w:color w:val="auto"/>
          <w:spacing w:val="-3"/>
          <w:kern w:val="21"/>
          <w:sz w:val="32"/>
          <w:szCs w:val="32"/>
          <w:highlight w:val="none"/>
        </w:rPr>
      </w:pPr>
      <w:r>
        <w:rPr>
          <w:rFonts w:hint="eastAsia" w:ascii="仿宋_GB2312" w:hAnsi="Times New Roman" w:eastAsia="仿宋_GB2312" w:cs="宋体"/>
          <w:color w:val="auto"/>
          <w:spacing w:val="-3"/>
          <w:kern w:val="21"/>
          <w:sz w:val="32"/>
          <w:szCs w:val="32"/>
          <w:highlight w:val="none"/>
        </w:rPr>
        <w:t>1</w:t>
      </w:r>
      <w:r>
        <w:rPr>
          <w:rFonts w:hint="default" w:ascii="仿宋_GB2312" w:hAnsi="Times New Roman" w:eastAsia="仿宋_GB2312" w:cs="宋体"/>
          <w:color w:val="auto"/>
          <w:spacing w:val="-3"/>
          <w:kern w:val="21"/>
          <w:sz w:val="32"/>
          <w:szCs w:val="32"/>
          <w:highlight w:val="none"/>
        </w:rPr>
        <w:t>.</w:t>
      </w:r>
      <w:r>
        <w:rPr>
          <w:rFonts w:hint="eastAsia" w:ascii="仿宋_GB2312" w:hAnsi="Times New Roman" w:eastAsia="仿宋_GB2312" w:cs="宋体"/>
          <w:color w:val="auto"/>
          <w:spacing w:val="-3"/>
          <w:kern w:val="21"/>
          <w:sz w:val="32"/>
          <w:szCs w:val="32"/>
          <w:highlight w:val="none"/>
        </w:rPr>
        <w:t>增加安排“</w:t>
      </w:r>
      <w:r>
        <w:rPr>
          <w:rFonts w:hint="default" w:ascii="仿宋_GB2312" w:hAnsi="Times New Roman" w:eastAsia="仿宋_GB2312" w:cs="宋体"/>
          <w:color w:val="auto"/>
          <w:spacing w:val="-3"/>
          <w:kern w:val="21"/>
          <w:sz w:val="32"/>
          <w:szCs w:val="32"/>
          <w:highlight w:val="none"/>
        </w:rPr>
        <w:t>教育</w:t>
      </w:r>
      <w:r>
        <w:rPr>
          <w:rFonts w:hint="eastAsia" w:ascii="仿宋_GB2312" w:hAnsi="Times New Roman" w:eastAsia="仿宋_GB2312" w:cs="宋体"/>
          <w:color w:val="auto"/>
          <w:spacing w:val="-3"/>
          <w:kern w:val="21"/>
          <w:sz w:val="32"/>
          <w:szCs w:val="32"/>
          <w:highlight w:val="none"/>
        </w:rPr>
        <w:t>支出”</w:t>
      </w:r>
      <w:r>
        <w:rPr>
          <w:rFonts w:hint="default" w:ascii="仿宋_GB2312" w:hAnsi="Times New Roman" w:eastAsia="仿宋_GB2312" w:cs="宋体"/>
          <w:color w:val="auto"/>
          <w:spacing w:val="-3"/>
          <w:kern w:val="21"/>
          <w:sz w:val="32"/>
          <w:szCs w:val="32"/>
          <w:highlight w:val="none"/>
        </w:rPr>
        <w:t>0.65</w:t>
      </w:r>
      <w:r>
        <w:rPr>
          <w:rFonts w:hint="eastAsia" w:ascii="仿宋_GB2312" w:hAnsi="Times New Roman" w:eastAsia="仿宋_GB2312" w:cs="宋体"/>
          <w:color w:val="auto"/>
          <w:spacing w:val="-3"/>
          <w:kern w:val="21"/>
          <w:sz w:val="32"/>
          <w:szCs w:val="32"/>
          <w:highlight w:val="none"/>
          <w:lang w:val="en-US" w:eastAsia="zh-CN"/>
        </w:rPr>
        <w:t>亿元</w:t>
      </w:r>
      <w:r>
        <w:rPr>
          <w:rFonts w:hint="eastAsia" w:ascii="仿宋_GB2312" w:hAnsi="Times New Roman" w:eastAsia="仿宋_GB2312" w:cs="宋体"/>
          <w:color w:val="auto"/>
          <w:spacing w:val="-3"/>
          <w:kern w:val="21"/>
          <w:sz w:val="32"/>
          <w:szCs w:val="32"/>
          <w:highlight w:val="none"/>
        </w:rPr>
        <w:t>。</w:t>
      </w:r>
    </w:p>
    <w:p>
      <w:pPr>
        <w:keepNext w:val="0"/>
        <w:keepLines w:val="0"/>
        <w:pageBreakBefore w:val="0"/>
        <w:widowControl/>
        <w:kinsoku/>
        <w:wordWrap/>
        <w:overflowPunct/>
        <w:topLinePunct w:val="0"/>
        <w:bidi w:val="0"/>
        <w:adjustRightInd/>
        <w:snapToGrid/>
        <w:spacing w:line="560" w:lineRule="exact"/>
        <w:ind w:firstLine="628" w:firstLineChars="200"/>
        <w:jc w:val="both"/>
        <w:textAlignment w:val="auto"/>
        <w:rPr>
          <w:rFonts w:hint="default" w:ascii="仿宋_GB2312" w:hAnsi="Times New Roman" w:eastAsia="仿宋_GB2312" w:cs="宋体"/>
          <w:color w:val="auto"/>
          <w:spacing w:val="-3"/>
          <w:kern w:val="21"/>
          <w:sz w:val="32"/>
          <w:szCs w:val="32"/>
          <w:highlight w:val="none"/>
          <w:lang w:eastAsia="zh-CN"/>
        </w:rPr>
      </w:pPr>
      <w:r>
        <w:rPr>
          <w:rFonts w:hint="eastAsia" w:ascii="仿宋_GB2312" w:hAnsi="Times New Roman" w:eastAsia="仿宋_GB2312" w:cs="宋体"/>
          <w:color w:val="auto"/>
          <w:spacing w:val="-3"/>
          <w:kern w:val="21"/>
          <w:sz w:val="32"/>
          <w:szCs w:val="32"/>
          <w:highlight w:val="none"/>
          <w:lang w:val="en-US" w:eastAsia="zh-CN"/>
        </w:rPr>
        <w:t>2</w:t>
      </w:r>
      <w:r>
        <w:rPr>
          <w:rFonts w:hint="default" w:ascii="仿宋_GB2312" w:hAnsi="Times New Roman" w:eastAsia="仿宋_GB2312" w:cs="宋体"/>
          <w:color w:val="auto"/>
          <w:spacing w:val="-3"/>
          <w:kern w:val="21"/>
          <w:sz w:val="32"/>
          <w:szCs w:val="32"/>
          <w:highlight w:val="none"/>
          <w:lang w:eastAsia="zh-CN"/>
        </w:rPr>
        <w:t>.</w:t>
      </w:r>
      <w:r>
        <w:rPr>
          <w:rFonts w:hint="eastAsia" w:ascii="仿宋_GB2312" w:hAnsi="Times New Roman" w:eastAsia="仿宋_GB2312" w:cs="宋体"/>
          <w:color w:val="auto"/>
          <w:spacing w:val="-3"/>
          <w:kern w:val="21"/>
          <w:sz w:val="32"/>
          <w:szCs w:val="32"/>
          <w:highlight w:val="none"/>
        </w:rPr>
        <w:t>增加安排</w:t>
      </w:r>
      <w:r>
        <w:rPr>
          <w:rFonts w:hint="eastAsia" w:ascii="仿宋_GB2312" w:hAnsi="Times New Roman" w:eastAsia="仿宋_GB2312" w:cs="宋体"/>
          <w:color w:val="auto"/>
          <w:spacing w:val="-3"/>
          <w:kern w:val="21"/>
          <w:sz w:val="32"/>
          <w:szCs w:val="32"/>
          <w:highlight w:val="none"/>
          <w:lang w:eastAsia="zh-CN"/>
        </w:rPr>
        <w:t>“</w:t>
      </w:r>
      <w:r>
        <w:rPr>
          <w:rFonts w:hint="default" w:ascii="仿宋_GB2312" w:hAnsi="Times New Roman" w:eastAsia="仿宋_GB2312" w:cs="宋体"/>
          <w:color w:val="auto"/>
          <w:spacing w:val="-3"/>
          <w:kern w:val="21"/>
          <w:sz w:val="32"/>
          <w:szCs w:val="32"/>
          <w:highlight w:val="none"/>
          <w:lang w:eastAsia="zh-CN"/>
        </w:rPr>
        <w:t>城乡社区</w:t>
      </w:r>
      <w:r>
        <w:rPr>
          <w:rFonts w:hint="eastAsia" w:ascii="仿宋_GB2312" w:hAnsi="Times New Roman" w:eastAsia="仿宋_GB2312" w:cs="宋体"/>
          <w:color w:val="auto"/>
          <w:spacing w:val="-3"/>
          <w:kern w:val="21"/>
          <w:sz w:val="32"/>
          <w:szCs w:val="32"/>
          <w:highlight w:val="none"/>
          <w:lang w:eastAsia="zh-CN"/>
        </w:rPr>
        <w:t>支出”</w:t>
      </w:r>
      <w:r>
        <w:rPr>
          <w:rFonts w:hint="default" w:ascii="仿宋_GB2312" w:hAnsi="Times New Roman" w:eastAsia="仿宋_GB2312" w:cs="宋体"/>
          <w:color w:val="auto"/>
          <w:spacing w:val="-3"/>
          <w:kern w:val="21"/>
          <w:sz w:val="32"/>
          <w:szCs w:val="32"/>
          <w:highlight w:val="none"/>
        </w:rPr>
        <w:t>0.35</w:t>
      </w:r>
      <w:r>
        <w:rPr>
          <w:rFonts w:hint="eastAsia" w:ascii="仿宋_GB2312" w:hAnsi="Times New Roman" w:eastAsia="仿宋_GB2312" w:cs="宋体"/>
          <w:color w:val="auto"/>
          <w:spacing w:val="-3"/>
          <w:kern w:val="21"/>
          <w:sz w:val="32"/>
          <w:szCs w:val="32"/>
          <w:highlight w:val="none"/>
          <w:lang w:val="en-US" w:eastAsia="zh-CN"/>
        </w:rPr>
        <w:t>亿元。</w:t>
      </w:r>
    </w:p>
    <w:p>
      <w:pPr>
        <w:keepNext w:val="0"/>
        <w:keepLines w:val="0"/>
        <w:pageBreakBefore w:val="0"/>
        <w:widowControl/>
        <w:kinsoku/>
        <w:wordWrap/>
        <w:overflowPunct/>
        <w:topLinePunct w:val="0"/>
        <w:bidi w:val="0"/>
        <w:adjustRightInd/>
        <w:snapToGrid/>
        <w:spacing w:line="560" w:lineRule="exact"/>
        <w:ind w:firstLine="628" w:firstLineChars="200"/>
        <w:jc w:val="both"/>
        <w:textAlignment w:val="auto"/>
        <w:rPr>
          <w:rFonts w:ascii="仿宋_GB2312" w:hAnsi="Times New Roman" w:eastAsia="仿宋_GB2312" w:cs="宋体"/>
          <w:color w:val="auto"/>
          <w:spacing w:val="-3"/>
          <w:kern w:val="21"/>
          <w:sz w:val="32"/>
          <w:szCs w:val="32"/>
          <w:highlight w:val="none"/>
        </w:rPr>
      </w:pPr>
      <w:r>
        <w:rPr>
          <w:rFonts w:hint="eastAsia" w:ascii="仿宋_GB2312" w:hAnsi="Times New Roman" w:eastAsia="仿宋_GB2312" w:cs="宋体"/>
          <w:color w:val="auto"/>
          <w:spacing w:val="-3"/>
          <w:kern w:val="21"/>
          <w:sz w:val="32"/>
          <w:szCs w:val="32"/>
          <w:highlight w:val="none"/>
        </w:rPr>
        <w:t>进行上述调整后，新区202</w:t>
      </w:r>
      <w:r>
        <w:rPr>
          <w:rFonts w:hint="default" w:ascii="仿宋_GB2312" w:hAnsi="Times New Roman" w:eastAsia="仿宋_GB2312" w:cs="宋体"/>
          <w:color w:val="auto"/>
          <w:spacing w:val="-3"/>
          <w:kern w:val="21"/>
          <w:sz w:val="32"/>
          <w:szCs w:val="32"/>
          <w:highlight w:val="none"/>
          <w:lang w:eastAsia="zh-CN"/>
        </w:rPr>
        <w:t>3</w:t>
      </w:r>
      <w:r>
        <w:rPr>
          <w:rFonts w:hint="eastAsia" w:ascii="仿宋_GB2312" w:hAnsi="Times New Roman" w:eastAsia="仿宋_GB2312" w:cs="宋体"/>
          <w:color w:val="auto"/>
          <w:spacing w:val="-3"/>
          <w:kern w:val="21"/>
          <w:sz w:val="32"/>
          <w:szCs w:val="32"/>
          <w:highlight w:val="none"/>
        </w:rPr>
        <w:t>年</w:t>
      </w:r>
      <w:r>
        <w:rPr>
          <w:rFonts w:hint="default" w:ascii="仿宋_GB2312" w:hAnsi="Times New Roman" w:eastAsia="仿宋_GB2312" w:cs="宋体"/>
          <w:color w:val="auto"/>
          <w:spacing w:val="-3"/>
          <w:kern w:val="21"/>
          <w:sz w:val="32"/>
          <w:szCs w:val="32"/>
          <w:highlight w:val="none"/>
        </w:rPr>
        <w:t>一般公共</w:t>
      </w:r>
      <w:r>
        <w:rPr>
          <w:rFonts w:hint="eastAsia" w:ascii="仿宋_GB2312" w:hAnsi="Times New Roman" w:eastAsia="仿宋_GB2312" w:cs="宋体"/>
          <w:color w:val="auto"/>
          <w:spacing w:val="-3"/>
          <w:kern w:val="21"/>
          <w:sz w:val="32"/>
          <w:szCs w:val="32"/>
          <w:highlight w:val="none"/>
        </w:rPr>
        <w:t>预算</w:t>
      </w:r>
      <w:r>
        <w:rPr>
          <w:rFonts w:hint="default" w:ascii="仿宋_GB2312" w:hAnsi="Times New Roman" w:eastAsia="仿宋_GB2312" w:cs="宋体"/>
          <w:color w:val="auto"/>
          <w:spacing w:val="-3"/>
          <w:kern w:val="21"/>
          <w:sz w:val="32"/>
          <w:szCs w:val="32"/>
          <w:highlight w:val="none"/>
        </w:rPr>
        <w:t>总</w:t>
      </w:r>
      <w:r>
        <w:rPr>
          <w:rFonts w:hint="eastAsia" w:ascii="仿宋_GB2312" w:hAnsi="Times New Roman" w:eastAsia="仿宋_GB2312" w:cs="宋体"/>
          <w:color w:val="auto"/>
          <w:spacing w:val="-3"/>
          <w:kern w:val="21"/>
          <w:sz w:val="32"/>
          <w:szCs w:val="32"/>
          <w:highlight w:val="none"/>
        </w:rPr>
        <w:t>收</w:t>
      </w:r>
      <w:r>
        <w:rPr>
          <w:rFonts w:hint="default" w:ascii="仿宋_GB2312" w:hAnsi="Times New Roman" w:eastAsia="仿宋_GB2312" w:cs="宋体"/>
          <w:color w:val="auto"/>
          <w:spacing w:val="-3"/>
          <w:kern w:val="21"/>
          <w:sz w:val="32"/>
          <w:szCs w:val="32"/>
          <w:highlight w:val="none"/>
        </w:rPr>
        <w:t>支规模由63.4亿元调整为64.4</w:t>
      </w:r>
      <w:r>
        <w:rPr>
          <w:rFonts w:hint="eastAsia" w:ascii="仿宋_GB2312" w:hAnsi="Times New Roman" w:eastAsia="仿宋_GB2312" w:cs="宋体"/>
          <w:color w:val="auto"/>
          <w:spacing w:val="-3"/>
          <w:kern w:val="21"/>
          <w:sz w:val="32"/>
          <w:szCs w:val="32"/>
          <w:highlight w:val="none"/>
          <w:lang w:val="en-US" w:eastAsia="zh-CN"/>
        </w:rPr>
        <w:t>亿</w:t>
      </w:r>
      <w:r>
        <w:rPr>
          <w:rFonts w:hint="eastAsia" w:ascii="仿宋_GB2312" w:hAnsi="Times New Roman" w:eastAsia="仿宋_GB2312" w:cs="宋体"/>
          <w:color w:val="auto"/>
          <w:spacing w:val="-3"/>
          <w:kern w:val="21"/>
          <w:sz w:val="32"/>
          <w:szCs w:val="32"/>
          <w:highlight w:val="none"/>
        </w:rPr>
        <w:t>元。</w:t>
      </w:r>
    </w:p>
    <w:p>
      <w:pPr>
        <w:keepNext w:val="0"/>
        <w:keepLines w:val="0"/>
        <w:pageBreakBefore w:val="0"/>
        <w:kinsoku/>
        <w:wordWrap/>
        <w:overflowPunct/>
        <w:topLinePunct w:val="0"/>
        <w:bidi w:val="0"/>
        <w:adjustRightInd/>
        <w:snapToGrid/>
        <w:spacing w:line="560" w:lineRule="exact"/>
        <w:ind w:firstLine="628" w:firstLineChars="200"/>
        <w:textAlignment w:val="auto"/>
        <w:rPr>
          <w:rFonts w:ascii="仿宋_GB2312" w:hAnsi="Times New Roman" w:eastAsia="仿宋_GB2312" w:cs="宋体"/>
          <w:color w:val="auto"/>
          <w:spacing w:val="-3"/>
          <w:kern w:val="21"/>
          <w:sz w:val="32"/>
          <w:szCs w:val="32"/>
          <w:highlight w:val="none"/>
        </w:rPr>
      </w:pPr>
    </w:p>
    <w:p>
      <w:pPr>
        <w:keepNext w:val="0"/>
        <w:keepLines w:val="0"/>
        <w:pageBreakBefore w:val="0"/>
        <w:kinsoku/>
        <w:wordWrap/>
        <w:overflowPunct/>
        <w:topLinePunct w:val="0"/>
        <w:bidi w:val="0"/>
        <w:adjustRightInd/>
        <w:snapToGrid/>
        <w:spacing w:line="560" w:lineRule="exact"/>
        <w:ind w:left="2078" w:leftChars="304" w:hanging="1440" w:hangingChars="450"/>
        <w:textAlignment w:val="auto"/>
        <w:rPr>
          <w:rFonts w:hint="eastAsia" w:ascii="黑体" w:hAnsi="黑体" w:eastAsia="黑体" w:cs="宋体"/>
          <w:color w:val="auto"/>
          <w:spacing w:val="-3"/>
          <w:kern w:val="21"/>
          <w:sz w:val="32"/>
          <w:szCs w:val="32"/>
          <w:highlight w:val="none"/>
        </w:rPr>
      </w:pPr>
      <w:r>
        <w:rPr>
          <w:rFonts w:hint="eastAsia" w:ascii="仿宋_GB2312" w:eastAsia="仿宋_GB2312"/>
          <w:color w:val="auto"/>
          <w:sz w:val="32"/>
          <w:szCs w:val="32"/>
          <w:highlight w:val="none"/>
        </w:rPr>
        <w:t>附件</w:t>
      </w:r>
      <w:r>
        <w:rPr>
          <w:rFonts w:hint="default" w:ascii="仿宋_GB2312" w:eastAsia="仿宋_GB2312"/>
          <w:color w:val="auto"/>
          <w:sz w:val="32"/>
          <w:szCs w:val="32"/>
          <w:highlight w:val="none"/>
        </w:rPr>
        <w:t>：深圳市</w:t>
      </w:r>
      <w:r>
        <w:rPr>
          <w:rFonts w:hint="default" w:ascii="仿宋_GB2312" w:eastAsia="仿宋_GB2312"/>
          <w:color w:val="auto"/>
          <w:sz w:val="32"/>
          <w:szCs w:val="32"/>
          <w:highlight w:val="none"/>
          <w:lang w:eastAsia="zh-CN"/>
        </w:rPr>
        <w:t>大鹏新区</w:t>
      </w:r>
      <w:r>
        <w:rPr>
          <w:rFonts w:hint="eastAsia" w:ascii="仿宋_GB2312" w:eastAsia="仿宋_GB2312"/>
          <w:color w:val="auto"/>
          <w:sz w:val="32"/>
          <w:szCs w:val="32"/>
          <w:highlight w:val="none"/>
          <w:lang w:val="en-US" w:eastAsia="zh-CN"/>
        </w:rPr>
        <w:t>202</w:t>
      </w:r>
      <w:r>
        <w:rPr>
          <w:rFonts w:hint="default" w:ascii="仿宋_GB2312" w:eastAsia="仿宋_GB2312"/>
          <w:color w:val="auto"/>
          <w:sz w:val="32"/>
          <w:szCs w:val="32"/>
          <w:highlight w:val="none"/>
          <w:lang w:eastAsia="zh-CN"/>
        </w:rPr>
        <w:t>3</w:t>
      </w:r>
      <w:r>
        <w:rPr>
          <w:rFonts w:hint="eastAsia" w:ascii="仿宋_GB2312" w:eastAsia="仿宋_GB2312"/>
          <w:color w:val="auto"/>
          <w:sz w:val="32"/>
          <w:szCs w:val="32"/>
          <w:highlight w:val="none"/>
          <w:lang w:val="en-US" w:eastAsia="zh-CN"/>
        </w:rPr>
        <w:t>年</w:t>
      </w:r>
      <w:r>
        <w:rPr>
          <w:rFonts w:hint="default" w:ascii="仿宋_GB2312" w:eastAsia="仿宋_GB2312"/>
          <w:color w:val="auto"/>
          <w:sz w:val="32"/>
          <w:szCs w:val="32"/>
          <w:highlight w:val="none"/>
        </w:rPr>
        <w:t>一般公共</w:t>
      </w:r>
      <w:r>
        <w:rPr>
          <w:rFonts w:hint="eastAsia" w:ascii="仿宋_GB2312" w:eastAsia="仿宋_GB2312"/>
          <w:color w:val="auto"/>
          <w:sz w:val="32"/>
          <w:szCs w:val="32"/>
          <w:highlight w:val="none"/>
          <w:lang w:val="en-US" w:eastAsia="zh-CN"/>
        </w:rPr>
        <w:t>预算</w:t>
      </w:r>
      <w:r>
        <w:rPr>
          <w:rFonts w:hint="default" w:ascii="仿宋_GB2312" w:eastAsia="仿宋_GB2312"/>
          <w:color w:val="auto"/>
          <w:sz w:val="32"/>
          <w:szCs w:val="32"/>
          <w:highlight w:val="none"/>
          <w:lang w:eastAsia="zh-CN"/>
        </w:rPr>
        <w:t>调整</w:t>
      </w:r>
      <w:r>
        <w:rPr>
          <w:rFonts w:hint="eastAsia" w:ascii="仿宋_GB2312" w:eastAsia="仿宋_GB2312"/>
          <w:color w:val="auto"/>
          <w:sz w:val="32"/>
          <w:szCs w:val="32"/>
          <w:highlight w:val="none"/>
        </w:rPr>
        <w:t>表</w:t>
      </w:r>
    </w:p>
    <w:p>
      <w:pPr>
        <w:keepNext w:val="0"/>
        <w:keepLines w:val="0"/>
        <w:pageBreakBefore w:val="0"/>
        <w:widowControl/>
        <w:kinsoku/>
        <w:wordWrap/>
        <w:overflowPunct/>
        <w:topLinePunct w:val="0"/>
        <w:bidi w:val="0"/>
        <w:adjustRightInd/>
        <w:snapToGrid/>
        <w:spacing w:line="560" w:lineRule="exact"/>
        <w:jc w:val="left"/>
        <w:textAlignment w:val="auto"/>
        <w:rPr>
          <w:rFonts w:ascii="仿宋_GB2312" w:eastAsia="仿宋_GB2312"/>
          <w:color w:val="auto"/>
          <w:sz w:val="32"/>
          <w:szCs w:val="32"/>
          <w:highlight w:val="yellow"/>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37"/>
    <w:rsid w:val="00016E14"/>
    <w:rsid w:val="000205C7"/>
    <w:rsid w:val="000435E5"/>
    <w:rsid w:val="00043FC0"/>
    <w:rsid w:val="0004410E"/>
    <w:rsid w:val="00055FEB"/>
    <w:rsid w:val="0006200C"/>
    <w:rsid w:val="0006620E"/>
    <w:rsid w:val="000717DA"/>
    <w:rsid w:val="00075505"/>
    <w:rsid w:val="000871A3"/>
    <w:rsid w:val="000A6ECC"/>
    <w:rsid w:val="000C1F9D"/>
    <w:rsid w:val="000D1E10"/>
    <w:rsid w:val="0010234E"/>
    <w:rsid w:val="001058F1"/>
    <w:rsid w:val="00107861"/>
    <w:rsid w:val="0011034F"/>
    <w:rsid w:val="001367DA"/>
    <w:rsid w:val="00184A60"/>
    <w:rsid w:val="00187ADD"/>
    <w:rsid w:val="00190783"/>
    <w:rsid w:val="00196209"/>
    <w:rsid w:val="001D78D4"/>
    <w:rsid w:val="00200307"/>
    <w:rsid w:val="00203367"/>
    <w:rsid w:val="00210821"/>
    <w:rsid w:val="00222898"/>
    <w:rsid w:val="00257B37"/>
    <w:rsid w:val="00263E78"/>
    <w:rsid w:val="00287208"/>
    <w:rsid w:val="002A0566"/>
    <w:rsid w:val="002B34DB"/>
    <w:rsid w:val="00303FAC"/>
    <w:rsid w:val="00324BCB"/>
    <w:rsid w:val="00327F3F"/>
    <w:rsid w:val="003312FF"/>
    <w:rsid w:val="00336BCF"/>
    <w:rsid w:val="00385DBB"/>
    <w:rsid w:val="003B5FAF"/>
    <w:rsid w:val="003B65B1"/>
    <w:rsid w:val="003B776E"/>
    <w:rsid w:val="00424186"/>
    <w:rsid w:val="004274E8"/>
    <w:rsid w:val="004472DB"/>
    <w:rsid w:val="00451FA5"/>
    <w:rsid w:val="0047471C"/>
    <w:rsid w:val="00496041"/>
    <w:rsid w:val="004A5819"/>
    <w:rsid w:val="004C7032"/>
    <w:rsid w:val="004C7CAF"/>
    <w:rsid w:val="004D191E"/>
    <w:rsid w:val="004D77BF"/>
    <w:rsid w:val="004E7E6E"/>
    <w:rsid w:val="004F0D2E"/>
    <w:rsid w:val="004F290B"/>
    <w:rsid w:val="00503E63"/>
    <w:rsid w:val="00524249"/>
    <w:rsid w:val="005717B1"/>
    <w:rsid w:val="0059220F"/>
    <w:rsid w:val="005A23FC"/>
    <w:rsid w:val="005A4D6A"/>
    <w:rsid w:val="005C28B0"/>
    <w:rsid w:val="005C3F02"/>
    <w:rsid w:val="005D7DBE"/>
    <w:rsid w:val="005E0476"/>
    <w:rsid w:val="005F421C"/>
    <w:rsid w:val="0061507B"/>
    <w:rsid w:val="00633CC5"/>
    <w:rsid w:val="00665BEF"/>
    <w:rsid w:val="00676610"/>
    <w:rsid w:val="006A383B"/>
    <w:rsid w:val="006D5C76"/>
    <w:rsid w:val="00745DD8"/>
    <w:rsid w:val="007513E7"/>
    <w:rsid w:val="00764D6E"/>
    <w:rsid w:val="00765D4E"/>
    <w:rsid w:val="00770239"/>
    <w:rsid w:val="00777779"/>
    <w:rsid w:val="007B29D6"/>
    <w:rsid w:val="007B6D67"/>
    <w:rsid w:val="007C6BDA"/>
    <w:rsid w:val="007D30AC"/>
    <w:rsid w:val="007D4ED0"/>
    <w:rsid w:val="007F74EE"/>
    <w:rsid w:val="0084317E"/>
    <w:rsid w:val="00843895"/>
    <w:rsid w:val="00860BAB"/>
    <w:rsid w:val="00881A6E"/>
    <w:rsid w:val="008A06A9"/>
    <w:rsid w:val="008B4D54"/>
    <w:rsid w:val="008D66DE"/>
    <w:rsid w:val="00943EDA"/>
    <w:rsid w:val="00956191"/>
    <w:rsid w:val="00963DCF"/>
    <w:rsid w:val="00973095"/>
    <w:rsid w:val="00981107"/>
    <w:rsid w:val="009B69F0"/>
    <w:rsid w:val="009D76B7"/>
    <w:rsid w:val="009E03D2"/>
    <w:rsid w:val="009E4183"/>
    <w:rsid w:val="00A45282"/>
    <w:rsid w:val="00A66F69"/>
    <w:rsid w:val="00A73219"/>
    <w:rsid w:val="00A823D1"/>
    <w:rsid w:val="00A83EF5"/>
    <w:rsid w:val="00A95FEC"/>
    <w:rsid w:val="00AA571F"/>
    <w:rsid w:val="00AB1072"/>
    <w:rsid w:val="00AC0F36"/>
    <w:rsid w:val="00AD2B36"/>
    <w:rsid w:val="00AF72BF"/>
    <w:rsid w:val="00B2042E"/>
    <w:rsid w:val="00B260AA"/>
    <w:rsid w:val="00B61E46"/>
    <w:rsid w:val="00B732FE"/>
    <w:rsid w:val="00BA417D"/>
    <w:rsid w:val="00BB2715"/>
    <w:rsid w:val="00BC5FE1"/>
    <w:rsid w:val="00BC68AA"/>
    <w:rsid w:val="00BD23F4"/>
    <w:rsid w:val="00BD39B5"/>
    <w:rsid w:val="00BF75D8"/>
    <w:rsid w:val="00C42242"/>
    <w:rsid w:val="00C42E28"/>
    <w:rsid w:val="00C940FB"/>
    <w:rsid w:val="00CA0223"/>
    <w:rsid w:val="00CA42E6"/>
    <w:rsid w:val="00CB44B3"/>
    <w:rsid w:val="00CC0F75"/>
    <w:rsid w:val="00CE02E7"/>
    <w:rsid w:val="00CE2CEA"/>
    <w:rsid w:val="00CE797F"/>
    <w:rsid w:val="00D11855"/>
    <w:rsid w:val="00D16319"/>
    <w:rsid w:val="00D27D10"/>
    <w:rsid w:val="00D54823"/>
    <w:rsid w:val="00D72D9A"/>
    <w:rsid w:val="00D87CF6"/>
    <w:rsid w:val="00D978F5"/>
    <w:rsid w:val="00DA3DC7"/>
    <w:rsid w:val="00DC631A"/>
    <w:rsid w:val="00DE426A"/>
    <w:rsid w:val="00DE49E8"/>
    <w:rsid w:val="00DF1B66"/>
    <w:rsid w:val="00E10C0B"/>
    <w:rsid w:val="00E27E7C"/>
    <w:rsid w:val="00E450D5"/>
    <w:rsid w:val="00E54DD4"/>
    <w:rsid w:val="00E55BB6"/>
    <w:rsid w:val="00E62D61"/>
    <w:rsid w:val="00E65853"/>
    <w:rsid w:val="00E73469"/>
    <w:rsid w:val="00EA0730"/>
    <w:rsid w:val="00EA2A0D"/>
    <w:rsid w:val="00EA6BE7"/>
    <w:rsid w:val="00EB5668"/>
    <w:rsid w:val="00EB6C3B"/>
    <w:rsid w:val="00EE3686"/>
    <w:rsid w:val="00EE65F6"/>
    <w:rsid w:val="00EE780B"/>
    <w:rsid w:val="00F05DDB"/>
    <w:rsid w:val="00F0704C"/>
    <w:rsid w:val="00F07AC2"/>
    <w:rsid w:val="00F15728"/>
    <w:rsid w:val="00F222D1"/>
    <w:rsid w:val="00F3168B"/>
    <w:rsid w:val="00F33C7D"/>
    <w:rsid w:val="00F412EB"/>
    <w:rsid w:val="00F5703F"/>
    <w:rsid w:val="00F6538E"/>
    <w:rsid w:val="00F8119E"/>
    <w:rsid w:val="00FA388E"/>
    <w:rsid w:val="00FB00FA"/>
    <w:rsid w:val="00FB7FC7"/>
    <w:rsid w:val="00FD51EB"/>
    <w:rsid w:val="00FE7535"/>
    <w:rsid w:val="022A71E9"/>
    <w:rsid w:val="03C20F48"/>
    <w:rsid w:val="078269EF"/>
    <w:rsid w:val="08985718"/>
    <w:rsid w:val="0C692F2F"/>
    <w:rsid w:val="0CDD27F2"/>
    <w:rsid w:val="0F432F09"/>
    <w:rsid w:val="10E63806"/>
    <w:rsid w:val="13095104"/>
    <w:rsid w:val="155F4E27"/>
    <w:rsid w:val="16453135"/>
    <w:rsid w:val="1725640E"/>
    <w:rsid w:val="17C932AC"/>
    <w:rsid w:val="1B9D059D"/>
    <w:rsid w:val="1BCD3898"/>
    <w:rsid w:val="1D7042CD"/>
    <w:rsid w:val="1DFDF98A"/>
    <w:rsid w:val="1E2450D4"/>
    <w:rsid w:val="1E7FDBC6"/>
    <w:rsid w:val="1E9B082C"/>
    <w:rsid w:val="1FD87D0D"/>
    <w:rsid w:val="216B7E16"/>
    <w:rsid w:val="2186603E"/>
    <w:rsid w:val="239A70AF"/>
    <w:rsid w:val="24442702"/>
    <w:rsid w:val="24DD3594"/>
    <w:rsid w:val="25426887"/>
    <w:rsid w:val="25CE6DFF"/>
    <w:rsid w:val="26D1C689"/>
    <w:rsid w:val="2C0A215A"/>
    <w:rsid w:val="2D045DBB"/>
    <w:rsid w:val="2F1DC0C6"/>
    <w:rsid w:val="2FFE14DA"/>
    <w:rsid w:val="308F477C"/>
    <w:rsid w:val="33BD3337"/>
    <w:rsid w:val="35E75200"/>
    <w:rsid w:val="36786D50"/>
    <w:rsid w:val="373FB7FC"/>
    <w:rsid w:val="37973738"/>
    <w:rsid w:val="39774C79"/>
    <w:rsid w:val="3BF5868C"/>
    <w:rsid w:val="3D9FDEDC"/>
    <w:rsid w:val="3EDF8DB2"/>
    <w:rsid w:val="3EFD6FBF"/>
    <w:rsid w:val="3F5F2F89"/>
    <w:rsid w:val="3F7F5461"/>
    <w:rsid w:val="3FFF5E60"/>
    <w:rsid w:val="4703251B"/>
    <w:rsid w:val="472266ED"/>
    <w:rsid w:val="47DA5987"/>
    <w:rsid w:val="4AD04EEB"/>
    <w:rsid w:val="4EA16F37"/>
    <w:rsid w:val="4FB24161"/>
    <w:rsid w:val="4FE3B062"/>
    <w:rsid w:val="55881BD5"/>
    <w:rsid w:val="56673AC7"/>
    <w:rsid w:val="567F47FB"/>
    <w:rsid w:val="56FD0E51"/>
    <w:rsid w:val="576215E0"/>
    <w:rsid w:val="59D809AD"/>
    <w:rsid w:val="5AC46E31"/>
    <w:rsid w:val="5B6B4C96"/>
    <w:rsid w:val="5B8DCF09"/>
    <w:rsid w:val="5DD732DA"/>
    <w:rsid w:val="5F679733"/>
    <w:rsid w:val="5FBFC378"/>
    <w:rsid w:val="5FFFEC52"/>
    <w:rsid w:val="600C6408"/>
    <w:rsid w:val="61EB1450"/>
    <w:rsid w:val="63BD07B8"/>
    <w:rsid w:val="65BDEDCE"/>
    <w:rsid w:val="66575F03"/>
    <w:rsid w:val="68FC8813"/>
    <w:rsid w:val="6907191E"/>
    <w:rsid w:val="69F982B2"/>
    <w:rsid w:val="6CFE47C8"/>
    <w:rsid w:val="6F9DACEF"/>
    <w:rsid w:val="6FB31FE7"/>
    <w:rsid w:val="70842D5B"/>
    <w:rsid w:val="72B05418"/>
    <w:rsid w:val="737E0D8C"/>
    <w:rsid w:val="73F311AB"/>
    <w:rsid w:val="75B77907"/>
    <w:rsid w:val="77EE5868"/>
    <w:rsid w:val="7B207A14"/>
    <w:rsid w:val="7B7F4CA1"/>
    <w:rsid w:val="7BC3636B"/>
    <w:rsid w:val="7BDFDC60"/>
    <w:rsid w:val="7BFDA860"/>
    <w:rsid w:val="7C4E4B67"/>
    <w:rsid w:val="7C9EC848"/>
    <w:rsid w:val="7CF33438"/>
    <w:rsid w:val="7CFEFCE2"/>
    <w:rsid w:val="7D7DB0EA"/>
    <w:rsid w:val="7DAEF363"/>
    <w:rsid w:val="7DDB9ADA"/>
    <w:rsid w:val="7DFD0BDC"/>
    <w:rsid w:val="7E9FDBD1"/>
    <w:rsid w:val="7EBDEB84"/>
    <w:rsid w:val="7EBF8C18"/>
    <w:rsid w:val="7ECB6156"/>
    <w:rsid w:val="7EDC4270"/>
    <w:rsid w:val="7EEFBEDA"/>
    <w:rsid w:val="7F7D5D79"/>
    <w:rsid w:val="7FBF8CD0"/>
    <w:rsid w:val="7FCB7772"/>
    <w:rsid w:val="7FD7DCD7"/>
    <w:rsid w:val="7FDC475C"/>
    <w:rsid w:val="7FF4C299"/>
    <w:rsid w:val="7FFF8636"/>
    <w:rsid w:val="86DD35C2"/>
    <w:rsid w:val="9F7F8CD1"/>
    <w:rsid w:val="A3CBC1AF"/>
    <w:rsid w:val="AFE30E0B"/>
    <w:rsid w:val="AFFE1DD4"/>
    <w:rsid w:val="B733374A"/>
    <w:rsid w:val="BBD62CF7"/>
    <w:rsid w:val="BBFFD3C3"/>
    <w:rsid w:val="BCD7028C"/>
    <w:rsid w:val="BCDF456A"/>
    <w:rsid w:val="BDDF5615"/>
    <w:rsid w:val="BEFBF1F7"/>
    <w:rsid w:val="CEFFBCA9"/>
    <w:rsid w:val="D2CF2BF5"/>
    <w:rsid w:val="D377CF00"/>
    <w:rsid w:val="D3B37516"/>
    <w:rsid w:val="D63EAC2D"/>
    <w:rsid w:val="D65FDCE0"/>
    <w:rsid w:val="D7A2EB29"/>
    <w:rsid w:val="D7F3F20E"/>
    <w:rsid w:val="DA6BC5E6"/>
    <w:rsid w:val="DBB7CD0F"/>
    <w:rsid w:val="DD75E845"/>
    <w:rsid w:val="DFEDD37B"/>
    <w:rsid w:val="DFEFE5C4"/>
    <w:rsid w:val="DFF5C3F6"/>
    <w:rsid w:val="DFFF7CBB"/>
    <w:rsid w:val="E56F55AD"/>
    <w:rsid w:val="E7BFC021"/>
    <w:rsid w:val="E7FE2985"/>
    <w:rsid w:val="E9CF7D38"/>
    <w:rsid w:val="EBBFA3E5"/>
    <w:rsid w:val="EBE344E4"/>
    <w:rsid w:val="EF7F0641"/>
    <w:rsid w:val="EFD774C6"/>
    <w:rsid w:val="F1DF4550"/>
    <w:rsid w:val="F2BD209D"/>
    <w:rsid w:val="F377E18B"/>
    <w:rsid w:val="F3DF4B1A"/>
    <w:rsid w:val="F3EFFD0F"/>
    <w:rsid w:val="F572BADF"/>
    <w:rsid w:val="F78D89CB"/>
    <w:rsid w:val="F7FFFFC2"/>
    <w:rsid w:val="F9FBC44F"/>
    <w:rsid w:val="FA769590"/>
    <w:rsid w:val="FAFA2924"/>
    <w:rsid w:val="FAFAFB00"/>
    <w:rsid w:val="FB7B26B8"/>
    <w:rsid w:val="FBFBB6BE"/>
    <w:rsid w:val="FC72508C"/>
    <w:rsid w:val="FCAF47EE"/>
    <w:rsid w:val="FCFB74A2"/>
    <w:rsid w:val="FCFF7E22"/>
    <w:rsid w:val="FD7AF5B6"/>
    <w:rsid w:val="FDAFA63F"/>
    <w:rsid w:val="FDD91DF2"/>
    <w:rsid w:val="FDF6E8BC"/>
    <w:rsid w:val="FE7B69F6"/>
    <w:rsid w:val="FED7B10B"/>
    <w:rsid w:val="FF1EE2A4"/>
    <w:rsid w:val="FF53F6E0"/>
    <w:rsid w:val="FF7B48C1"/>
    <w:rsid w:val="FFBB57F5"/>
    <w:rsid w:val="FFCF59ED"/>
    <w:rsid w:val="FFE4BD37"/>
    <w:rsid w:val="FFEE5D0D"/>
    <w:rsid w:val="FFF5E8BD"/>
    <w:rsid w:val="FFF92C0A"/>
    <w:rsid w:val="FFF950FF"/>
    <w:rsid w:val="FFFE440E"/>
    <w:rsid w:val="FFFFD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paragraph" w:styleId="7">
    <w:name w:val="Body Text First Indent"/>
    <w:basedOn w:val="2"/>
    <w:qFormat/>
    <w:uiPriority w:val="0"/>
    <w:pPr>
      <w:ind w:firstLine="420" w:firstLineChars="100"/>
    </w:p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380</Words>
  <Characters>2171</Characters>
  <Lines>18</Lines>
  <Paragraphs>5</Paragraphs>
  <TotalTime>1</TotalTime>
  <ScaleCrop>false</ScaleCrop>
  <LinksUpToDate>false</LinksUpToDate>
  <CharactersWithSpaces>2546</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2020-08-03T16:47:00Z</dcterms:created>
  <dc:creator>谢岚</dc:creator>
  <cp:lastModifiedBy>高静姗</cp:lastModifiedBy>
  <cp:lastPrinted>2023-07-11T23:39:00Z</cp:lastPrinted>
  <dcterms:modified xsi:type="dcterms:W3CDTF">2023-07-11T16:29:20Z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F2CE7CC8A7DB4B6E9E8EAA46BCEFFE5E</vt:lpwstr>
  </property>
</Properties>
</file>