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60" w:lineRule="exact"/>
        <w:ind w:firstLine="0" w:firstLineChars="0"/>
        <w:jc w:val="both"/>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附件1</w:t>
      </w:r>
    </w:p>
    <w:p>
      <w:pPr>
        <w:pStyle w:val="2"/>
        <w:rPr>
          <w:rFonts w:hint="eastAsia"/>
        </w:rPr>
      </w:pPr>
    </w:p>
    <w:p>
      <w:pPr>
        <w:keepNext w:val="0"/>
        <w:keepLines w:val="0"/>
        <w:pageBreakBefore w:val="0"/>
        <w:widowControl w:val="0"/>
        <w:kinsoku/>
        <w:wordWrap/>
        <w:overflowPunct/>
        <w:topLinePunct w:val="0"/>
        <w:bidi w:val="0"/>
        <w:spacing w:line="560" w:lineRule="exact"/>
        <w:ind w:firstLine="0" w:firstLineChars="0"/>
        <w:jc w:val="center"/>
        <w:textAlignment w:val="auto"/>
        <w:rPr>
          <w:rFonts w:ascii="方正小标宋简体" w:hAnsi="黑体" w:eastAsia="方正小标宋简体"/>
          <w:bCs/>
          <w:color w:val="auto"/>
          <w:sz w:val="44"/>
          <w:szCs w:val="44"/>
        </w:rPr>
      </w:pPr>
      <w:r>
        <w:rPr>
          <w:rFonts w:hint="eastAsia" w:ascii="方正小标宋简体" w:hAnsi="黑体" w:eastAsia="方正小标宋简体"/>
          <w:bCs/>
          <w:color w:val="auto"/>
          <w:sz w:val="44"/>
          <w:szCs w:val="44"/>
        </w:rPr>
        <w:t>202</w:t>
      </w:r>
      <w:r>
        <w:rPr>
          <w:rFonts w:hint="default" w:ascii="方正小标宋简体" w:hAnsi="黑体" w:eastAsia="方正小标宋简体"/>
          <w:bCs/>
          <w:color w:val="auto"/>
          <w:sz w:val="44"/>
          <w:szCs w:val="44"/>
        </w:rPr>
        <w:t>2</w:t>
      </w:r>
      <w:r>
        <w:rPr>
          <w:rFonts w:hint="eastAsia" w:ascii="方正小标宋简体" w:hAnsi="黑体" w:eastAsia="方正小标宋简体"/>
          <w:bCs/>
          <w:color w:val="auto"/>
          <w:sz w:val="44"/>
          <w:szCs w:val="44"/>
        </w:rPr>
        <w:t>年</w:t>
      </w:r>
      <w:r>
        <w:rPr>
          <w:rFonts w:hint="eastAsia" w:ascii="方正小标宋简体" w:hAnsi="黑体" w:eastAsia="方正小标宋简体"/>
          <w:bCs/>
          <w:color w:val="auto"/>
          <w:sz w:val="44"/>
          <w:szCs w:val="44"/>
          <w:lang w:val="en-US" w:eastAsia="zh-CN"/>
        </w:rPr>
        <w:t>深圳市大鹏新区管委会</w:t>
      </w:r>
      <w:r>
        <w:rPr>
          <w:rFonts w:hint="eastAsia" w:ascii="方正小标宋简体" w:hAnsi="黑体" w:eastAsia="方正小标宋简体"/>
          <w:bCs/>
          <w:color w:val="auto"/>
          <w:sz w:val="44"/>
          <w:szCs w:val="44"/>
        </w:rPr>
        <w:t>预算（草案）</w:t>
      </w:r>
    </w:p>
    <w:p>
      <w:pPr>
        <w:keepNext w:val="0"/>
        <w:keepLines w:val="0"/>
        <w:pageBreakBefore w:val="0"/>
        <w:widowControl w:val="0"/>
        <w:kinsoku/>
        <w:wordWrap/>
        <w:overflowPunct/>
        <w:topLinePunct w:val="0"/>
        <w:bidi w:val="0"/>
        <w:spacing w:line="560" w:lineRule="exact"/>
        <w:ind w:firstLine="631"/>
        <w:textAlignment w:val="auto"/>
        <w:rPr>
          <w:rFonts w:ascii="黑体" w:hAnsi="黑体" w:eastAsia="黑体"/>
          <w:b/>
          <w:bCs/>
          <w:color w:val="auto"/>
          <w:szCs w:val="32"/>
        </w:rPr>
      </w:pPr>
    </w:p>
    <w:p>
      <w:pPr>
        <w:keepNext w:val="0"/>
        <w:keepLines w:val="0"/>
        <w:pageBreakBefore w:val="0"/>
        <w:widowControl w:val="0"/>
        <w:kinsoku/>
        <w:wordWrap/>
        <w:overflowPunct/>
        <w:topLinePunct w:val="0"/>
        <w:bidi w:val="0"/>
        <w:spacing w:line="560" w:lineRule="exact"/>
        <w:ind w:firstLine="0" w:firstLineChars="0"/>
        <w:jc w:val="center"/>
        <w:textAlignment w:val="auto"/>
        <w:rPr>
          <w:rFonts w:ascii="黑体" w:hAnsi="黑体" w:eastAsia="黑体"/>
          <w:color w:val="auto"/>
          <w:szCs w:val="32"/>
        </w:rPr>
      </w:pPr>
      <w:r>
        <w:rPr>
          <w:rFonts w:hint="eastAsia" w:ascii="黑体" w:hAnsi="黑体" w:eastAsia="黑体"/>
          <w:color w:val="auto"/>
          <w:szCs w:val="32"/>
        </w:rPr>
        <w:t>第一部分  202</w:t>
      </w:r>
      <w:r>
        <w:rPr>
          <w:rFonts w:hint="default" w:ascii="黑体" w:hAnsi="黑体" w:eastAsia="黑体"/>
          <w:color w:val="auto"/>
          <w:szCs w:val="32"/>
        </w:rPr>
        <w:t>2</w:t>
      </w:r>
      <w:r>
        <w:rPr>
          <w:rFonts w:hint="eastAsia" w:ascii="黑体" w:hAnsi="黑体" w:eastAsia="黑体"/>
          <w:color w:val="auto"/>
          <w:szCs w:val="32"/>
        </w:rPr>
        <w:t>年一般公共预算</w:t>
      </w:r>
    </w:p>
    <w:p>
      <w:pPr>
        <w:keepNext w:val="0"/>
        <w:keepLines w:val="0"/>
        <w:pageBreakBefore w:val="0"/>
        <w:widowControl w:val="0"/>
        <w:kinsoku/>
        <w:wordWrap/>
        <w:overflowPunct/>
        <w:topLinePunct w:val="0"/>
        <w:bidi w:val="0"/>
        <w:spacing w:line="560" w:lineRule="exact"/>
        <w:ind w:firstLine="0" w:firstLineChars="0"/>
        <w:textAlignment w:val="auto"/>
        <w:rPr>
          <w:rFonts w:ascii="黑体" w:hAnsi="黑体" w:eastAsia="黑体"/>
          <w:color w:val="auto"/>
          <w:szCs w:val="32"/>
        </w:rPr>
      </w:pPr>
    </w:p>
    <w:p>
      <w:pPr>
        <w:keepNext w:val="0"/>
        <w:keepLines w:val="0"/>
        <w:pageBreakBefore w:val="0"/>
        <w:widowControl w:val="0"/>
        <w:kinsoku/>
        <w:wordWrap/>
        <w:overflowPunct/>
        <w:topLinePunct w:val="0"/>
        <w:bidi w:val="0"/>
        <w:spacing w:line="560" w:lineRule="exact"/>
        <w:ind w:firstLine="628"/>
        <w:jc w:val="left"/>
        <w:textAlignment w:val="auto"/>
        <w:rPr>
          <w:rFonts w:ascii="黑体" w:hAnsi="黑体" w:eastAsia="黑体"/>
          <w:color w:val="auto"/>
          <w:szCs w:val="32"/>
        </w:rPr>
      </w:pPr>
      <w:r>
        <w:rPr>
          <w:rFonts w:hint="eastAsia" w:ascii="黑体" w:hAnsi="黑体" w:eastAsia="黑体"/>
          <w:color w:val="auto"/>
          <w:szCs w:val="32"/>
        </w:rPr>
        <w:t>一、202</w:t>
      </w:r>
      <w:r>
        <w:rPr>
          <w:rFonts w:hint="default" w:ascii="黑体" w:hAnsi="黑体" w:eastAsia="黑体"/>
          <w:color w:val="auto"/>
          <w:szCs w:val="32"/>
        </w:rPr>
        <w:t>2</w:t>
      </w:r>
      <w:r>
        <w:rPr>
          <w:rFonts w:hint="eastAsia" w:ascii="黑体" w:hAnsi="黑体" w:eastAsia="黑体"/>
          <w:color w:val="auto"/>
          <w:szCs w:val="32"/>
        </w:rPr>
        <w:t>年经济形势及税收形势预测</w:t>
      </w:r>
    </w:p>
    <w:p>
      <w:pPr>
        <w:keepNext w:val="0"/>
        <w:keepLines w:val="0"/>
        <w:pageBreakBefore w:val="0"/>
        <w:widowControl w:val="0"/>
        <w:kinsoku/>
        <w:wordWrap/>
        <w:overflowPunct/>
        <w:topLinePunct w:val="0"/>
        <w:bidi w:val="0"/>
        <w:spacing w:line="560" w:lineRule="exact"/>
        <w:ind w:firstLine="628"/>
        <w:jc w:val="left"/>
        <w:textAlignment w:val="auto"/>
        <w:rPr>
          <w:rFonts w:hAnsi="仿宋_GB2312"/>
          <w:color w:val="auto"/>
          <w:szCs w:val="32"/>
        </w:rPr>
      </w:pPr>
      <w:r>
        <w:rPr>
          <w:rFonts w:hint="eastAsia" w:hAnsi="仿宋_GB2312"/>
          <w:color w:val="auto"/>
          <w:szCs w:val="32"/>
        </w:rPr>
        <w:t>202</w:t>
      </w:r>
      <w:r>
        <w:rPr>
          <w:rFonts w:hint="default" w:hAnsi="仿宋_GB2312"/>
          <w:color w:val="auto"/>
          <w:szCs w:val="32"/>
        </w:rPr>
        <w:t>1</w:t>
      </w:r>
      <w:r>
        <w:rPr>
          <w:rFonts w:hint="eastAsia" w:hAnsi="仿宋_GB2312"/>
          <w:color w:val="auto"/>
          <w:szCs w:val="32"/>
        </w:rPr>
        <w:t>年，</w:t>
      </w:r>
      <w:r>
        <w:rPr>
          <w:rFonts w:hint="default" w:hAnsi="仿宋_GB2312"/>
          <w:color w:val="auto"/>
          <w:szCs w:val="32"/>
        </w:rPr>
        <w:t>大鹏新区</w:t>
      </w:r>
      <w:r>
        <w:rPr>
          <w:rFonts w:hint="eastAsia" w:hAnsi="仿宋_GB2312"/>
          <w:color w:val="auto"/>
          <w:szCs w:val="32"/>
        </w:rPr>
        <w:t>在市委市政府的坚强领导下，紧紧围绕建设全球海洋中心城市集中承载区和世界级滨海生态旅游度假区的目标，抢抓“双区</w:t>
      </w:r>
      <w:r>
        <w:rPr>
          <w:rFonts w:hint="default" w:hAnsi="仿宋_GB2312"/>
          <w:color w:val="auto"/>
          <w:szCs w:val="32"/>
        </w:rPr>
        <w:t>叠加</w:t>
      </w:r>
      <w:r>
        <w:rPr>
          <w:rFonts w:hint="eastAsia" w:hAnsi="仿宋_GB2312"/>
          <w:color w:val="auto"/>
          <w:szCs w:val="32"/>
        </w:rPr>
        <w:t>”的重大历史机遇，凝心聚力、担当作为，积极的财政政策</w:t>
      </w:r>
      <w:r>
        <w:rPr>
          <w:rFonts w:hint="default" w:hAnsi="仿宋_GB2312"/>
          <w:color w:val="auto"/>
          <w:szCs w:val="32"/>
        </w:rPr>
        <w:t>提质增效</w:t>
      </w:r>
      <w:r>
        <w:rPr>
          <w:rFonts w:hint="eastAsia" w:hAnsi="仿宋_GB2312"/>
          <w:color w:val="auto"/>
          <w:szCs w:val="32"/>
        </w:rPr>
        <w:t>，</w:t>
      </w:r>
      <w:r>
        <w:rPr>
          <w:rFonts w:hint="default" w:hAnsi="仿宋_GB2312"/>
          <w:color w:val="auto"/>
          <w:szCs w:val="32"/>
        </w:rPr>
        <w:t>统筹经济社会发展各项工作，持续</w:t>
      </w:r>
      <w:r>
        <w:rPr>
          <w:rFonts w:hint="eastAsia" w:hAnsi="仿宋_GB2312"/>
          <w:color w:val="auto"/>
          <w:szCs w:val="32"/>
        </w:rPr>
        <w:t>优环境、强基础、补短板、惠民生、挖潜力，各项事业发展取得新成绩。</w:t>
      </w:r>
    </w:p>
    <w:p>
      <w:pPr>
        <w:keepNext w:val="0"/>
        <w:keepLines w:val="0"/>
        <w:pageBreakBefore w:val="0"/>
        <w:widowControl w:val="0"/>
        <w:kinsoku/>
        <w:wordWrap/>
        <w:overflowPunct/>
        <w:topLinePunct w:val="0"/>
        <w:bidi w:val="0"/>
        <w:spacing w:line="560" w:lineRule="exact"/>
        <w:ind w:firstLine="628"/>
        <w:jc w:val="left"/>
        <w:textAlignment w:val="auto"/>
        <w:rPr>
          <w:rFonts w:ascii="仿宋_GB2312" w:hAnsi="Calibri" w:eastAsia="仿宋_GB2312" w:cs="Times New Roman"/>
          <w:color w:val="auto"/>
          <w:sz w:val="32"/>
          <w:szCs w:val="32"/>
          <w:lang w:bidi="en-US"/>
        </w:rPr>
      </w:pPr>
      <w:r>
        <w:rPr>
          <w:color w:val="auto"/>
        </w:rPr>
        <w:t>20</w:t>
      </w:r>
      <w:r>
        <w:rPr>
          <w:rFonts w:hint="eastAsia"/>
          <w:color w:val="auto"/>
        </w:rPr>
        <w:t>2</w:t>
      </w:r>
      <w:r>
        <w:rPr>
          <w:rFonts w:hint="default"/>
          <w:color w:val="auto"/>
        </w:rPr>
        <w:t>2</w:t>
      </w:r>
      <w:r>
        <w:rPr>
          <w:rFonts w:hint="eastAsia"/>
          <w:color w:val="auto"/>
        </w:rPr>
        <w:t>年，</w:t>
      </w:r>
      <w:r>
        <w:rPr>
          <w:rFonts w:hint="eastAsia" w:hAnsi="仿宋_GB2312"/>
          <w:color w:val="auto"/>
          <w:szCs w:val="32"/>
        </w:rPr>
        <w:t>面对</w:t>
      </w:r>
      <w:r>
        <w:rPr>
          <w:rFonts w:hint="default" w:hAnsi="仿宋_GB2312"/>
          <w:color w:val="auto"/>
          <w:szCs w:val="32"/>
        </w:rPr>
        <w:t>复杂的经济形势</w:t>
      </w:r>
      <w:r>
        <w:rPr>
          <w:rFonts w:hint="eastAsia" w:hAnsi="仿宋_GB2312"/>
          <w:color w:val="auto"/>
          <w:szCs w:val="32"/>
        </w:rPr>
        <w:t>，新区经济增长和财税增收有利因素和不利因素并存。</w:t>
      </w:r>
      <w:r>
        <w:rPr>
          <w:rFonts w:hint="eastAsia" w:ascii="仿宋_GB2312" w:hAnsi="Calibri" w:eastAsia="仿宋_GB2312" w:cs="Times New Roman"/>
          <w:color w:val="auto"/>
          <w:sz w:val="32"/>
          <w:szCs w:val="32"/>
          <w:lang w:bidi="en-US"/>
        </w:rPr>
        <w:t>有利因素方面，</w:t>
      </w:r>
      <w:r>
        <w:rPr>
          <w:rFonts w:hint="default" w:ascii="仿宋_GB2312" w:hAnsi="Calibri" w:eastAsia="仿宋_GB2312" w:cs="Times New Roman"/>
          <w:color w:val="auto"/>
          <w:sz w:val="32"/>
          <w:szCs w:val="32"/>
          <w:lang w:bidi="en-US"/>
        </w:rPr>
        <w:t>从国家宏观层面来看，我国正乘势而上开启全面建设社会主义现代化国家新征程，向第二个百年奋斗目标</w:t>
      </w:r>
      <w:r>
        <w:rPr>
          <w:rFonts w:hint="default" w:hAnsi="Calibri" w:cs="Times New Roman"/>
          <w:color w:val="auto"/>
          <w:sz w:val="32"/>
          <w:szCs w:val="32"/>
          <w:lang w:bidi="en-US"/>
        </w:rPr>
        <w:t>奋进</w:t>
      </w:r>
      <w:r>
        <w:rPr>
          <w:rFonts w:hint="default" w:ascii="仿宋_GB2312" w:hAnsi="Calibri" w:eastAsia="仿宋_GB2312" w:cs="Times New Roman"/>
          <w:color w:val="auto"/>
          <w:sz w:val="32"/>
          <w:szCs w:val="32"/>
          <w:lang w:bidi="en-US"/>
        </w:rPr>
        <w:t>。中央经济工作会议明确2022年经济工作稳字当头、稳中求进，全国财政工作会议明确积极的财政政策要提质增效、更可持续，保持对经济恢复的必要支持力度，稳健的经济政策和积极的财政政策为财政工作高质高效开展提供了良好的宏观环境。从省市、新区层面来看，</w:t>
      </w:r>
      <w:r>
        <w:rPr>
          <w:rFonts w:hint="eastAsia" w:ascii="仿宋_GB2312" w:hAnsi="Calibri" w:eastAsia="仿宋_GB2312" w:cs="Times New Roman"/>
          <w:color w:val="auto"/>
          <w:sz w:val="32"/>
          <w:szCs w:val="32"/>
          <w:lang w:bidi="en-US"/>
        </w:rPr>
        <w:t>粤港澳大湾区建设与深圳建设中国特色社会主义先行示范区“双区叠加”优势将</w:t>
      </w:r>
      <w:r>
        <w:rPr>
          <w:rFonts w:hint="default" w:ascii="仿宋_GB2312" w:hAnsi="Calibri" w:eastAsia="仿宋_GB2312" w:cs="Times New Roman"/>
          <w:color w:val="auto"/>
          <w:sz w:val="32"/>
          <w:szCs w:val="32"/>
          <w:lang w:bidi="en-US"/>
        </w:rPr>
        <w:t>持续带</w:t>
      </w:r>
      <w:r>
        <w:rPr>
          <w:rFonts w:hint="eastAsia" w:ascii="仿宋_GB2312" w:hAnsi="Calibri" w:eastAsia="仿宋_GB2312" w:cs="Times New Roman"/>
          <w:color w:val="auto"/>
          <w:sz w:val="32"/>
          <w:szCs w:val="32"/>
          <w:lang w:bidi="en-US"/>
        </w:rPr>
        <w:t>来更大发展机遇，新区自然资源禀赋优异，生物、海洋、旅游等高端产业培育逐渐成熟，高质量发展</w:t>
      </w:r>
      <w:r>
        <w:rPr>
          <w:rFonts w:hint="eastAsia" w:hAnsi="Calibri" w:cs="Times New Roman"/>
          <w:color w:val="auto"/>
          <w:sz w:val="32"/>
          <w:szCs w:val="32"/>
          <w:lang w:eastAsia="zh-CN" w:bidi="en-US"/>
        </w:rPr>
        <w:t>态势</w:t>
      </w:r>
      <w:r>
        <w:rPr>
          <w:rFonts w:hint="eastAsia" w:ascii="仿宋_GB2312" w:hAnsi="Calibri" w:eastAsia="仿宋_GB2312" w:cs="Times New Roman"/>
          <w:color w:val="auto"/>
          <w:sz w:val="32"/>
          <w:szCs w:val="32"/>
          <w:lang w:bidi="en-US"/>
        </w:rPr>
        <w:t>逐渐凸显，民生保障持续加强</w:t>
      </w:r>
      <w:r>
        <w:rPr>
          <w:rFonts w:hint="default" w:ascii="仿宋_GB2312" w:hAnsi="Calibri" w:eastAsia="仿宋_GB2312" w:cs="Times New Roman"/>
          <w:color w:val="auto"/>
          <w:sz w:val="32"/>
          <w:szCs w:val="32"/>
          <w:lang w:bidi="en-US"/>
        </w:rPr>
        <w:t>。</w:t>
      </w:r>
      <w:r>
        <w:rPr>
          <w:rFonts w:hint="eastAsia" w:ascii="仿宋_GB2312" w:hAnsi="Calibri" w:eastAsia="仿宋_GB2312" w:cs="Times New Roman"/>
          <w:color w:val="auto"/>
          <w:sz w:val="32"/>
          <w:szCs w:val="32"/>
          <w:lang w:bidi="en-US"/>
        </w:rPr>
        <w:t>不利因素方面</w:t>
      </w:r>
      <w:r>
        <w:rPr>
          <w:rFonts w:hint="default" w:hAnsi="Calibri" w:cs="Times New Roman"/>
          <w:color w:val="auto"/>
          <w:sz w:val="32"/>
          <w:szCs w:val="32"/>
          <w:lang w:bidi="en-US"/>
        </w:rPr>
        <w:t>，</w:t>
      </w:r>
      <w:r>
        <w:rPr>
          <w:rFonts w:hint="default" w:ascii="仿宋_GB2312" w:hAnsi="Calibri" w:eastAsia="仿宋_GB2312" w:cs="Times New Roman"/>
          <w:color w:val="auto"/>
          <w:sz w:val="32"/>
          <w:szCs w:val="32"/>
          <w:lang w:bidi="en-US"/>
        </w:rPr>
        <w:t>新区税源结构单一，主要依赖能源类企业，受核电维修</w:t>
      </w:r>
      <w:r>
        <w:rPr>
          <w:rFonts w:hint="eastAsia" w:hAnsi="Calibri" w:cs="Times New Roman"/>
          <w:color w:val="auto"/>
          <w:sz w:val="32"/>
          <w:szCs w:val="32"/>
          <w:lang w:eastAsia="zh-CN" w:bidi="en-US"/>
        </w:rPr>
        <w:t>、</w:t>
      </w:r>
      <w:r>
        <w:rPr>
          <w:rFonts w:hint="default" w:ascii="仿宋_GB2312" w:hAnsi="Calibri" w:eastAsia="仿宋_GB2312" w:cs="Times New Roman"/>
          <w:color w:val="auto"/>
          <w:sz w:val="32"/>
          <w:szCs w:val="32"/>
          <w:lang w:bidi="en-US"/>
        </w:rPr>
        <w:t>电价下降</w:t>
      </w:r>
      <w:r>
        <w:rPr>
          <w:rFonts w:hint="eastAsia" w:hAnsi="Calibri" w:cs="Times New Roman"/>
          <w:color w:val="auto"/>
          <w:sz w:val="32"/>
          <w:szCs w:val="32"/>
          <w:lang w:eastAsia="zh-CN" w:bidi="en-US"/>
        </w:rPr>
        <w:t>、</w:t>
      </w:r>
      <w:r>
        <w:rPr>
          <w:rFonts w:hint="eastAsia" w:ascii="仿宋_GB2312" w:eastAsia="仿宋_GB2312"/>
          <w:color w:val="auto"/>
          <w:sz w:val="32"/>
          <w:szCs w:val="32"/>
        </w:rPr>
        <w:t>免抵调库资源近乎枯竭</w:t>
      </w:r>
      <w:r>
        <w:rPr>
          <w:rFonts w:hint="eastAsia"/>
          <w:color w:val="auto"/>
          <w:sz w:val="32"/>
          <w:szCs w:val="32"/>
          <w:lang w:eastAsia="zh-CN"/>
        </w:rPr>
        <w:t>以及留抵</w:t>
      </w:r>
      <w:r>
        <w:rPr>
          <w:rFonts w:hint="eastAsia" w:ascii="仿宋_GB2312" w:eastAsia="仿宋_GB2312"/>
          <w:color w:val="auto"/>
          <w:sz w:val="32"/>
          <w:szCs w:val="32"/>
        </w:rPr>
        <w:t>退税</w:t>
      </w:r>
      <w:r>
        <w:rPr>
          <w:rFonts w:hint="default"/>
          <w:color w:val="auto"/>
          <w:sz w:val="32"/>
          <w:szCs w:val="32"/>
        </w:rPr>
        <w:t>规模进一步加大</w:t>
      </w:r>
      <w:r>
        <w:rPr>
          <w:rFonts w:hint="default" w:ascii="仿宋_GB2312" w:hAnsi="Calibri" w:eastAsia="仿宋_GB2312" w:cs="Times New Roman"/>
          <w:color w:val="auto"/>
          <w:sz w:val="32"/>
          <w:szCs w:val="32"/>
          <w:lang w:bidi="en-US"/>
        </w:rPr>
        <w:t>等影响，财税增长受限。</w:t>
      </w:r>
      <w:r>
        <w:rPr>
          <w:rFonts w:hint="default" w:hAnsi="Calibri" w:cs="Times New Roman"/>
          <w:color w:val="auto"/>
          <w:sz w:val="32"/>
          <w:szCs w:val="32"/>
          <w:lang w:bidi="en-US"/>
        </w:rPr>
        <w:t>土地价格受</w:t>
      </w:r>
      <w:r>
        <w:rPr>
          <w:rFonts w:hint="default" w:ascii="仿宋_GB2312" w:hAnsi="仿宋_GB2312" w:eastAsia="仿宋_GB2312" w:cs="仿宋_GB2312"/>
          <w:b w:val="0"/>
          <w:bCs w:val="0"/>
          <w:color w:val="auto"/>
          <w:sz w:val="32"/>
          <w:szCs w:val="32"/>
        </w:rPr>
        <w:t>基础设施落后、产业不兴等原因</w:t>
      </w:r>
      <w:r>
        <w:rPr>
          <w:rFonts w:hint="default" w:hAnsi="仿宋_GB2312" w:cs="仿宋_GB2312"/>
          <w:b w:val="0"/>
          <w:bCs w:val="0"/>
          <w:color w:val="auto"/>
          <w:sz w:val="32"/>
          <w:szCs w:val="32"/>
        </w:rPr>
        <w:t>影响总体</w:t>
      </w:r>
      <w:r>
        <w:rPr>
          <w:rFonts w:hint="default" w:ascii="仿宋_GB2312" w:hAnsi="仿宋_GB2312" w:eastAsia="仿宋_GB2312" w:cs="仿宋_GB2312"/>
          <w:b w:val="0"/>
          <w:bCs w:val="0"/>
          <w:color w:val="auto"/>
          <w:sz w:val="32"/>
          <w:szCs w:val="32"/>
        </w:rPr>
        <w:t>价格不高，</w:t>
      </w:r>
      <w:r>
        <w:rPr>
          <w:rFonts w:hint="default" w:ascii="仿宋_GB2312" w:hAnsi="仿宋_GB2312" w:eastAsia="仿宋_GB2312" w:cs="仿宋_GB2312"/>
          <w:color w:val="auto"/>
          <w:sz w:val="32"/>
          <w:szCs w:val="32"/>
        </w:rPr>
        <w:t>国土收入增长存在不确定性。</w:t>
      </w:r>
    </w:p>
    <w:p>
      <w:pPr>
        <w:keepNext w:val="0"/>
        <w:keepLines w:val="0"/>
        <w:pageBreakBefore w:val="0"/>
        <w:widowControl w:val="0"/>
        <w:kinsoku/>
        <w:wordWrap/>
        <w:overflowPunct/>
        <w:topLinePunct w:val="0"/>
        <w:bidi w:val="0"/>
        <w:spacing w:line="560" w:lineRule="exact"/>
        <w:ind w:firstLine="628"/>
        <w:jc w:val="left"/>
        <w:textAlignment w:val="auto"/>
        <w:rPr>
          <w:rFonts w:hAnsi="仿宋_GB2312"/>
          <w:color w:val="auto"/>
          <w:szCs w:val="32"/>
        </w:rPr>
      </w:pPr>
      <w:r>
        <w:rPr>
          <w:rFonts w:hint="eastAsia" w:hAnsi="仿宋_GB2312"/>
          <w:color w:val="auto"/>
          <w:szCs w:val="32"/>
        </w:rPr>
        <w:t>初步判断，</w:t>
      </w:r>
      <w:r>
        <w:rPr>
          <w:rFonts w:hint="default" w:hAnsi="仿宋_GB2312"/>
          <w:color w:val="auto"/>
          <w:szCs w:val="32"/>
        </w:rPr>
        <w:t>财政收入方面，</w:t>
      </w:r>
      <w:r>
        <w:rPr>
          <w:rFonts w:hint="eastAsia" w:hAnsi="仿宋_GB2312"/>
          <w:color w:val="auto"/>
          <w:szCs w:val="32"/>
        </w:rPr>
        <w:t>202</w:t>
      </w:r>
      <w:r>
        <w:rPr>
          <w:rFonts w:hint="default" w:hAnsi="仿宋_GB2312"/>
          <w:color w:val="auto"/>
          <w:szCs w:val="32"/>
        </w:rPr>
        <w:t>2</w:t>
      </w:r>
      <w:r>
        <w:rPr>
          <w:rFonts w:hint="eastAsia" w:hAnsi="仿宋_GB2312"/>
          <w:color w:val="auto"/>
          <w:szCs w:val="32"/>
        </w:rPr>
        <w:t>年新区整体经济运行将保持平稳</w:t>
      </w:r>
      <w:r>
        <w:rPr>
          <w:rFonts w:hint="default" w:hAnsi="仿宋_GB2312"/>
          <w:color w:val="auto"/>
          <w:szCs w:val="32"/>
        </w:rPr>
        <w:t>运行</w:t>
      </w:r>
      <w:r>
        <w:rPr>
          <w:rFonts w:hint="eastAsia" w:hAnsi="仿宋_GB2312"/>
          <w:color w:val="auto"/>
          <w:szCs w:val="32"/>
        </w:rPr>
        <w:t>态势，</w:t>
      </w:r>
      <w:r>
        <w:rPr>
          <w:rFonts w:hint="default" w:hAnsi="ˎ̥" w:cs="宋体"/>
          <w:color w:val="auto"/>
          <w:kern w:val="0"/>
          <w:sz w:val="32"/>
          <w:szCs w:val="32"/>
        </w:rPr>
        <w:t>公共财政收支规模总体平衡并略有增长，</w:t>
      </w:r>
      <w:r>
        <w:rPr>
          <w:rFonts w:hint="eastAsia" w:hAnsi="ˎ̥" w:cs="宋体"/>
          <w:color w:val="auto"/>
          <w:kern w:val="0"/>
          <w:sz w:val="32"/>
          <w:szCs w:val="32"/>
        </w:rPr>
        <w:t>考虑到2022年</w:t>
      </w:r>
      <w:r>
        <w:rPr>
          <w:rFonts w:hint="default" w:hAnsi="ˎ̥" w:cs="宋体"/>
          <w:color w:val="auto"/>
          <w:kern w:val="0"/>
          <w:sz w:val="32"/>
          <w:szCs w:val="32"/>
        </w:rPr>
        <w:t>经济稳中求进、招商引税力度持续加大等积极因素，</w:t>
      </w:r>
      <w:r>
        <w:rPr>
          <w:rFonts w:hint="eastAsia" w:hAnsi="ˎ̥" w:cs="宋体"/>
          <w:color w:val="auto"/>
          <w:kern w:val="0"/>
          <w:szCs w:val="32"/>
        </w:rPr>
        <w:t>按照积极稳妥、科学精准预测的原则，经综合测算，</w:t>
      </w:r>
      <w:r>
        <w:rPr>
          <w:rFonts w:hint="eastAsia" w:hAnsi="ˎ̥" w:cs="宋体"/>
          <w:b w:val="0"/>
          <w:bCs w:val="0"/>
          <w:color w:val="auto"/>
          <w:kern w:val="0"/>
          <w:sz w:val="32"/>
          <w:szCs w:val="32"/>
        </w:rPr>
        <w:t>2022年一般公共预算收入</w:t>
      </w:r>
      <w:r>
        <w:rPr>
          <w:rFonts w:hint="default" w:hAnsi="ˎ̥" w:cs="宋体"/>
          <w:b w:val="0"/>
          <w:bCs w:val="0"/>
          <w:color w:val="auto"/>
          <w:kern w:val="0"/>
          <w:sz w:val="32"/>
          <w:szCs w:val="32"/>
        </w:rPr>
        <w:t>与上年基本持平</w:t>
      </w:r>
      <w:r>
        <w:rPr>
          <w:rFonts w:hint="eastAsia" w:hAnsi="ˎ̥" w:cs="宋体"/>
          <w:b w:val="0"/>
          <w:bCs w:val="0"/>
          <w:color w:val="auto"/>
          <w:kern w:val="0"/>
          <w:szCs w:val="32"/>
        </w:rPr>
        <w:t>。</w:t>
      </w:r>
      <w:r>
        <w:rPr>
          <w:rFonts w:hint="eastAsia" w:hAnsi="仿宋_GB2312"/>
          <w:color w:val="auto"/>
          <w:szCs w:val="32"/>
        </w:rPr>
        <w:t>财政支出方面，继续向生态环保和重点民生领域倾斜，集中财力投入民生事业、基础设施建设和重点项目等领域，不断增进民生福祉，特别是</w:t>
      </w:r>
      <w:r>
        <w:rPr>
          <w:rFonts w:hint="default" w:hAnsi="仿宋_GB2312"/>
          <w:color w:val="auto"/>
          <w:szCs w:val="32"/>
        </w:rPr>
        <w:t>持续加强医疗卫生、教育等方面投入，</w:t>
      </w:r>
      <w:r>
        <w:rPr>
          <w:rFonts w:hint="eastAsia" w:hAnsi="仿宋_GB2312"/>
          <w:color w:val="auto"/>
          <w:szCs w:val="32"/>
        </w:rPr>
        <w:t>扎实推进生态文明建设</w:t>
      </w:r>
      <w:r>
        <w:rPr>
          <w:rFonts w:hint="eastAsia" w:hAnsi="仿宋_GB2312"/>
          <w:color w:val="auto"/>
          <w:szCs w:val="32"/>
          <w:lang w:eastAsia="zh-CN"/>
        </w:rPr>
        <w:t>，</w:t>
      </w:r>
      <w:r>
        <w:rPr>
          <w:rFonts w:hint="eastAsia" w:hAnsi="仿宋_GB2312"/>
          <w:color w:val="auto"/>
          <w:szCs w:val="32"/>
        </w:rPr>
        <w:t>加大交通运输投入，推进大鹏新区更高质量、更可持续发展。</w:t>
      </w:r>
    </w:p>
    <w:p>
      <w:pPr>
        <w:keepNext w:val="0"/>
        <w:keepLines w:val="0"/>
        <w:pageBreakBefore w:val="0"/>
        <w:widowControl w:val="0"/>
        <w:kinsoku/>
        <w:wordWrap/>
        <w:overflowPunct/>
        <w:topLinePunct w:val="0"/>
        <w:bidi w:val="0"/>
        <w:spacing w:line="560" w:lineRule="exact"/>
        <w:ind w:firstLine="628"/>
        <w:jc w:val="left"/>
        <w:textAlignment w:val="auto"/>
        <w:rPr>
          <w:rFonts w:ascii="黑体" w:eastAsia="黑体"/>
          <w:color w:val="auto"/>
        </w:rPr>
      </w:pPr>
      <w:r>
        <w:rPr>
          <w:rFonts w:hint="eastAsia" w:ascii="黑体" w:eastAsia="黑体"/>
          <w:color w:val="auto"/>
        </w:rPr>
        <w:t>二、指导思想</w:t>
      </w:r>
    </w:p>
    <w:p>
      <w:pPr>
        <w:spacing w:line="560" w:lineRule="exact"/>
        <w:ind w:firstLine="628"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以习近平新时代中国特色社会主义思想为指导，全面贯彻落实党的十九大和十九届二中、三中、四中、五中</w:t>
      </w:r>
      <w:r>
        <w:rPr>
          <w:rFonts w:hint="default" w:hAnsi="仿宋_GB2312"/>
          <w:color w:val="auto"/>
          <w:sz w:val="32"/>
          <w:szCs w:val="32"/>
        </w:rPr>
        <w:t>、六中</w:t>
      </w:r>
      <w:r>
        <w:rPr>
          <w:rFonts w:hint="eastAsia" w:ascii="仿宋_GB2312" w:hAnsi="仿宋_GB2312" w:eastAsia="仿宋_GB2312"/>
          <w:color w:val="auto"/>
          <w:sz w:val="32"/>
          <w:szCs w:val="32"/>
        </w:rPr>
        <w:t>全会</w:t>
      </w:r>
      <w:r>
        <w:rPr>
          <w:rFonts w:hint="eastAsia" w:ascii="仿宋_GB2312" w:hAnsi="仿宋_GB2312" w:eastAsia="仿宋_GB2312"/>
          <w:color w:val="auto"/>
          <w:sz w:val="32"/>
          <w:szCs w:val="32"/>
          <w:lang w:val="en-US" w:eastAsia="zh-CN"/>
        </w:rPr>
        <w:t>及</w:t>
      </w:r>
      <w:r>
        <w:rPr>
          <w:rFonts w:hint="default" w:hAnsi="仿宋_GB2312"/>
          <w:color w:val="auto"/>
          <w:sz w:val="32"/>
          <w:szCs w:val="32"/>
          <w:lang w:eastAsia="zh-CN"/>
        </w:rPr>
        <w:t>中央</w:t>
      </w:r>
      <w:r>
        <w:rPr>
          <w:rFonts w:hint="eastAsia" w:ascii="仿宋_GB2312" w:hAnsi="仿宋_GB2312" w:eastAsia="仿宋_GB2312"/>
          <w:color w:val="auto"/>
          <w:sz w:val="32"/>
          <w:szCs w:val="32"/>
          <w:lang w:val="en-US" w:eastAsia="zh-CN"/>
        </w:rPr>
        <w:t>经济工作</w:t>
      </w:r>
      <w:r>
        <w:rPr>
          <w:rFonts w:hint="default" w:hAnsi="仿宋_GB2312"/>
          <w:color w:val="auto"/>
          <w:sz w:val="32"/>
          <w:szCs w:val="32"/>
          <w:lang w:eastAsia="zh-CN"/>
        </w:rPr>
        <w:t>会议、全国财政工作会议精神</w:t>
      </w:r>
      <w:r>
        <w:rPr>
          <w:rFonts w:hint="eastAsia" w:ascii="仿宋_GB2312" w:hAnsi="仿宋_GB2312" w:eastAsia="仿宋_GB2312"/>
          <w:color w:val="auto"/>
          <w:sz w:val="32"/>
          <w:szCs w:val="32"/>
        </w:rPr>
        <w:t>，深入学习贯彻习近平总书记出席深圳经济特区建立40周年庆祝大会和视察广东</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lang w:val="en-US" w:eastAsia="zh-CN"/>
        </w:rPr>
        <w:t>深圳</w:t>
      </w:r>
      <w:r>
        <w:rPr>
          <w:rFonts w:hint="eastAsia" w:ascii="仿宋_GB2312" w:hAnsi="仿宋_GB2312" w:eastAsia="仿宋_GB2312"/>
          <w:color w:val="auto"/>
          <w:sz w:val="32"/>
          <w:szCs w:val="32"/>
        </w:rPr>
        <w:t>重要讲话</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重要指示</w:t>
      </w:r>
      <w:r>
        <w:rPr>
          <w:rFonts w:hint="default" w:hAnsi="仿宋_GB2312"/>
          <w:color w:val="auto"/>
          <w:sz w:val="32"/>
          <w:szCs w:val="32"/>
        </w:rPr>
        <w:t>批示</w:t>
      </w:r>
      <w:r>
        <w:rPr>
          <w:rFonts w:hint="eastAsia" w:ascii="仿宋_GB2312" w:hAnsi="仿宋_GB2312" w:eastAsia="仿宋_GB2312"/>
          <w:color w:val="auto"/>
          <w:sz w:val="32"/>
          <w:szCs w:val="32"/>
        </w:rPr>
        <w:t>精神，坚持稳中求进工作总基调，</w:t>
      </w:r>
      <w:r>
        <w:rPr>
          <w:rFonts w:hint="eastAsia" w:ascii="仿宋_GB2312" w:hAnsi="仿宋_GB2312" w:eastAsia="仿宋_GB2312"/>
          <w:color w:val="auto"/>
          <w:sz w:val="32"/>
          <w:szCs w:val="32"/>
          <w:lang w:val="en-US" w:eastAsia="zh-CN"/>
        </w:rPr>
        <w:t>立足新发展阶段，贯彻新发展理念，构建新发展格局。</w:t>
      </w:r>
      <w:r>
        <w:rPr>
          <w:rFonts w:hint="eastAsia" w:ascii="仿宋_GB2312" w:hAnsi="仿宋_GB2312" w:eastAsia="仿宋_GB2312"/>
          <w:color w:val="auto"/>
          <w:sz w:val="32"/>
          <w:szCs w:val="32"/>
        </w:rPr>
        <w:t>围绕“高质量、现代化、全开放</w:t>
      </w:r>
      <w:r>
        <w:rPr>
          <w:rFonts w:hint="default" w:hAnsi="仿宋_GB2312"/>
          <w:color w:val="auto"/>
          <w:sz w:val="32"/>
          <w:szCs w:val="32"/>
        </w:rPr>
        <w:t>、</w:t>
      </w:r>
      <w:r>
        <w:rPr>
          <w:rFonts w:hint="eastAsia" w:ascii="仿宋_GB2312" w:hAnsi="仿宋_GB2312" w:eastAsia="仿宋_GB2312"/>
          <w:color w:val="auto"/>
          <w:sz w:val="32"/>
          <w:szCs w:val="32"/>
        </w:rPr>
        <w:t>共享型”四个维度,</w:t>
      </w:r>
      <w:r>
        <w:rPr>
          <w:rFonts w:hint="eastAsia" w:ascii="仿宋_GB2312" w:hAnsi="仿宋_GB2312" w:eastAsia="仿宋_GB2312"/>
          <w:color w:val="auto"/>
          <w:sz w:val="32"/>
          <w:szCs w:val="32"/>
          <w:lang w:val="en-US" w:eastAsia="zh-CN"/>
        </w:rPr>
        <w:t>坚持系统观念,巩固经济社会发展成果。扎实做好“六稳”工作</w:t>
      </w:r>
      <w:r>
        <w:rPr>
          <w:rFonts w:hint="default" w:hAnsi="仿宋_GB2312"/>
          <w:color w:val="auto"/>
          <w:sz w:val="32"/>
          <w:szCs w:val="32"/>
          <w:lang w:eastAsia="zh-CN"/>
        </w:rPr>
        <w:t>、</w:t>
      </w:r>
      <w:r>
        <w:rPr>
          <w:rFonts w:hint="eastAsia" w:ascii="仿宋_GB2312" w:hAnsi="仿宋_GB2312" w:eastAsia="仿宋_GB2312"/>
          <w:color w:val="auto"/>
          <w:sz w:val="32"/>
          <w:szCs w:val="32"/>
          <w:lang w:val="en-US" w:eastAsia="zh-CN"/>
        </w:rPr>
        <w:t>全面落实“六保”任务。积极的财政政策要提质增效、更可持续，加强财政资源统筹，</w:t>
      </w:r>
      <w:r>
        <w:rPr>
          <w:rFonts w:hint="default" w:hAnsi="仿宋_GB2312"/>
          <w:color w:val="auto"/>
          <w:sz w:val="32"/>
          <w:szCs w:val="32"/>
          <w:lang w:eastAsia="zh-CN"/>
        </w:rPr>
        <w:t>以“十四五”规划为引领，</w:t>
      </w:r>
      <w:r>
        <w:rPr>
          <w:rFonts w:hint="eastAsia" w:ascii="仿宋_GB2312" w:hAnsi="仿宋_GB2312" w:eastAsia="仿宋_GB2312"/>
          <w:color w:val="auto"/>
          <w:sz w:val="32"/>
          <w:szCs w:val="32"/>
        </w:rPr>
        <w:t>集中财力支持新区党工委管委会确定的重大战略、重点改革和重要项目</w:t>
      </w:r>
      <w:r>
        <w:rPr>
          <w:rFonts w:hint="default" w:hAnsi="仿宋_GB2312"/>
          <w:color w:val="auto"/>
          <w:sz w:val="32"/>
          <w:szCs w:val="32"/>
        </w:rPr>
        <w:t>，</w:t>
      </w:r>
      <w:r>
        <w:rPr>
          <w:rFonts w:hint="eastAsia" w:ascii="仿宋_GB2312" w:hAnsi="仿宋_GB2312" w:eastAsia="仿宋_GB2312"/>
          <w:color w:val="auto"/>
          <w:sz w:val="32"/>
          <w:szCs w:val="32"/>
          <w:lang w:val="en-US" w:eastAsia="zh-CN"/>
        </w:rPr>
        <w:t>推动过“紧日子”工作落到实处</w:t>
      </w:r>
      <w:r>
        <w:rPr>
          <w:rFonts w:hint="default" w:hAnsi="仿宋_GB2312"/>
          <w:color w:val="auto"/>
          <w:sz w:val="32"/>
          <w:szCs w:val="32"/>
          <w:lang w:eastAsia="zh-CN"/>
        </w:rPr>
        <w:t>，</w:t>
      </w:r>
      <w:r>
        <w:rPr>
          <w:rFonts w:hint="eastAsia" w:ascii="仿宋_GB2312" w:hAnsi="仿宋_GB2312" w:eastAsia="仿宋_GB2312"/>
          <w:color w:val="auto"/>
          <w:sz w:val="32"/>
          <w:szCs w:val="32"/>
          <w:lang w:val="en-US" w:eastAsia="zh-CN"/>
        </w:rPr>
        <w:t>深化预算管理制度改革，</w:t>
      </w:r>
      <w:r>
        <w:rPr>
          <w:rFonts w:hint="default" w:hAnsi="仿宋_GB2312"/>
          <w:color w:val="auto"/>
          <w:sz w:val="32"/>
          <w:szCs w:val="32"/>
          <w:lang w:eastAsia="zh-CN"/>
        </w:rPr>
        <w:t>严防债务风险，</w:t>
      </w:r>
      <w:r>
        <w:rPr>
          <w:rFonts w:hint="eastAsia" w:ascii="仿宋_GB2312" w:hAnsi="仿宋_GB2312" w:eastAsia="仿宋_GB2312"/>
          <w:color w:val="auto"/>
          <w:sz w:val="32"/>
          <w:szCs w:val="32"/>
        </w:rPr>
        <w:t>抢抓“双区”驱动重大历史机遇</w:t>
      </w:r>
      <w:r>
        <w:rPr>
          <w:rFonts w:hint="default" w:hAnsi="仿宋_GB2312"/>
          <w:color w:val="auto"/>
          <w:sz w:val="32"/>
          <w:szCs w:val="32"/>
        </w:rPr>
        <w:t>，</w:t>
      </w:r>
      <w:r>
        <w:rPr>
          <w:rFonts w:hint="eastAsia" w:ascii="仿宋_GB2312" w:hAnsi="仿宋_GB2312" w:eastAsia="仿宋_GB2312"/>
          <w:color w:val="auto"/>
          <w:sz w:val="32"/>
          <w:szCs w:val="32"/>
        </w:rPr>
        <w:t>为新区打造世界级滨海生态旅游度假区</w:t>
      </w:r>
      <w:r>
        <w:rPr>
          <w:rFonts w:hint="default" w:hAnsi="仿宋_GB2312"/>
          <w:color w:val="auto"/>
          <w:sz w:val="32"/>
          <w:szCs w:val="32"/>
        </w:rPr>
        <w:t>和</w:t>
      </w:r>
      <w:r>
        <w:rPr>
          <w:rFonts w:hint="eastAsia" w:ascii="仿宋_GB2312" w:hAnsi="仿宋_GB2312" w:eastAsia="仿宋_GB2312"/>
          <w:color w:val="auto"/>
          <w:sz w:val="32"/>
          <w:szCs w:val="32"/>
        </w:rPr>
        <w:t>全球海洋中心城市集中承载区提供</w:t>
      </w:r>
      <w:r>
        <w:rPr>
          <w:rFonts w:hint="eastAsia" w:ascii="仿宋_GB2312" w:hAnsi="仿宋_GB2312" w:eastAsia="仿宋_GB2312"/>
          <w:color w:val="auto"/>
          <w:sz w:val="32"/>
          <w:szCs w:val="32"/>
          <w:lang w:val="en-US" w:eastAsia="zh-CN"/>
        </w:rPr>
        <w:t>坚实的财力</w:t>
      </w:r>
      <w:r>
        <w:rPr>
          <w:rFonts w:hint="eastAsia" w:ascii="仿宋_GB2312" w:hAnsi="仿宋_GB2312" w:eastAsia="仿宋_GB2312"/>
          <w:color w:val="auto"/>
          <w:sz w:val="32"/>
          <w:szCs w:val="32"/>
        </w:rPr>
        <w:t>支撑</w:t>
      </w:r>
      <w:r>
        <w:rPr>
          <w:rFonts w:hint="eastAsia" w:ascii="仿宋_GB2312" w:hAnsi="仿宋_GB2312" w:eastAsia="仿宋_GB2312"/>
          <w:color w:val="auto"/>
          <w:sz w:val="32"/>
          <w:szCs w:val="32"/>
          <w:lang w:eastAsia="zh-CN"/>
        </w:rPr>
        <w:t>。</w:t>
      </w:r>
    </w:p>
    <w:p>
      <w:pPr>
        <w:keepNext w:val="0"/>
        <w:keepLines w:val="0"/>
        <w:pageBreakBefore w:val="0"/>
        <w:widowControl w:val="0"/>
        <w:kinsoku/>
        <w:wordWrap/>
        <w:overflowPunct/>
        <w:topLinePunct w:val="0"/>
        <w:bidi w:val="0"/>
        <w:spacing w:line="560" w:lineRule="exact"/>
        <w:ind w:firstLine="628"/>
        <w:jc w:val="left"/>
        <w:textAlignment w:val="auto"/>
        <w:rPr>
          <w:rFonts w:ascii="黑体" w:eastAsia="黑体"/>
          <w:color w:val="auto"/>
        </w:rPr>
      </w:pPr>
      <w:r>
        <w:rPr>
          <w:rFonts w:hint="eastAsia" w:ascii="黑体" w:eastAsia="黑体"/>
          <w:color w:val="auto"/>
        </w:rPr>
        <w:t>三、基本原则</w:t>
      </w:r>
    </w:p>
    <w:p>
      <w:pPr>
        <w:spacing w:beforeLines="0" w:afterLines="0" w:line="560" w:lineRule="exact"/>
        <w:ind w:firstLine="628"/>
        <w:rPr>
          <w:rFonts w:hint="eastAsia" w:ascii="楷体_GB2312" w:hAnsi="宋体" w:eastAsia="楷体_GB2312" w:cs="黑体"/>
          <w:color w:val="auto"/>
          <w:sz w:val="32"/>
          <w:szCs w:val="32"/>
        </w:rPr>
      </w:pPr>
      <w:r>
        <w:rPr>
          <w:rFonts w:hint="eastAsia" w:ascii="楷体_GB2312" w:hAnsi="宋体" w:eastAsia="楷体_GB2312" w:cs="黑体"/>
          <w:color w:val="auto"/>
          <w:sz w:val="32"/>
          <w:szCs w:val="32"/>
        </w:rPr>
        <w:t>（一）坚持内容合法、程序合规</w:t>
      </w:r>
    </w:p>
    <w:p>
      <w:pPr>
        <w:spacing w:beforeLines="0" w:afterLines="0" w:line="560" w:lineRule="exact"/>
        <w:ind w:firstLine="628"/>
        <w:rPr>
          <w:rFonts w:hint="eastAsia" w:hAnsi="仿宋_GB2312"/>
          <w:color w:val="auto"/>
          <w:sz w:val="32"/>
          <w:szCs w:val="32"/>
        </w:rPr>
      </w:pPr>
      <w:r>
        <w:rPr>
          <w:rFonts w:hint="eastAsia" w:hAnsi="仿宋_GB2312"/>
          <w:color w:val="auto"/>
          <w:sz w:val="32"/>
          <w:szCs w:val="32"/>
        </w:rPr>
        <w:t>全面贯彻落实《预算法》《预算法实施条例》和中央、省、市深化预算管理体制改革的各项工作部署，将政府所有收入和支出都纳入预算管理，建立科学的支出标准，提高预算编制的科学化和精细化水平。推进综合预算管理，做到部门预算核定标准科学</w:t>
      </w:r>
      <w:r>
        <w:rPr>
          <w:rFonts w:hint="default" w:hAnsi="仿宋_GB2312"/>
          <w:color w:val="auto"/>
          <w:sz w:val="32"/>
          <w:szCs w:val="32"/>
        </w:rPr>
        <w:t>，</w:t>
      </w:r>
      <w:r>
        <w:rPr>
          <w:rFonts w:hint="eastAsia" w:hAnsi="仿宋_GB2312"/>
          <w:color w:val="auto"/>
          <w:sz w:val="32"/>
          <w:szCs w:val="32"/>
        </w:rPr>
        <w:t>资金安排适当，管理权责对等。</w:t>
      </w:r>
    </w:p>
    <w:p>
      <w:pPr>
        <w:spacing w:beforeLines="0" w:afterLines="0" w:line="560" w:lineRule="exact"/>
        <w:ind w:firstLine="628"/>
        <w:rPr>
          <w:rFonts w:hint="eastAsia" w:ascii="楷体_GB2312" w:hAnsi="宋体" w:eastAsia="楷体_GB2312" w:cs="黑体"/>
          <w:color w:val="auto"/>
          <w:sz w:val="32"/>
          <w:szCs w:val="32"/>
        </w:rPr>
      </w:pPr>
      <w:r>
        <w:rPr>
          <w:rFonts w:hint="eastAsia" w:ascii="楷体_GB2312" w:hAnsi="宋体" w:eastAsia="楷体_GB2312" w:cs="黑体"/>
          <w:color w:val="auto"/>
          <w:sz w:val="32"/>
          <w:szCs w:val="32"/>
        </w:rPr>
        <w:t>(二)坚持重点突出、统筹兼顾</w:t>
      </w:r>
    </w:p>
    <w:p>
      <w:pPr>
        <w:spacing w:beforeLines="0" w:afterLines="0" w:line="560" w:lineRule="exact"/>
        <w:ind w:firstLine="628"/>
        <w:rPr>
          <w:rFonts w:hint="eastAsia" w:hAnsi="仿宋_GB2312"/>
          <w:color w:val="auto"/>
          <w:sz w:val="32"/>
          <w:szCs w:val="32"/>
        </w:rPr>
      </w:pPr>
      <w:r>
        <w:rPr>
          <w:rFonts w:hint="eastAsia" w:hAnsi="仿宋_GB2312"/>
          <w:color w:val="auto"/>
          <w:sz w:val="32"/>
          <w:szCs w:val="32"/>
        </w:rPr>
        <w:t>聚焦重大决策部署，紧紧围绕市委市政府方针政策和新区党工委管委会决策部署，巩固拓展经济社会发展成果，扎实做好“六稳”工作</w:t>
      </w:r>
      <w:r>
        <w:rPr>
          <w:rFonts w:hint="default" w:hAnsi="仿宋_GB2312"/>
          <w:color w:val="auto"/>
          <w:sz w:val="32"/>
          <w:szCs w:val="32"/>
        </w:rPr>
        <w:t>、</w:t>
      </w:r>
      <w:r>
        <w:rPr>
          <w:rFonts w:hint="eastAsia" w:hAnsi="仿宋_GB2312"/>
          <w:color w:val="auto"/>
          <w:sz w:val="32"/>
          <w:szCs w:val="32"/>
        </w:rPr>
        <w:t>全面落实“六保”任务，按照轻重缓急的原则统筹安排支出,坚持集中财力办大事，加大财政资金统筹使用力度,发挥财政的基础和支撑作用，推动新区经济社会行稳致远、再上新台阶。</w:t>
      </w:r>
    </w:p>
    <w:p>
      <w:pPr>
        <w:spacing w:beforeLines="0" w:afterLines="0" w:line="560" w:lineRule="exact"/>
        <w:ind w:firstLine="511" w:firstLineChars="163"/>
        <w:rPr>
          <w:rFonts w:hint="eastAsia" w:ascii="楷体_GB2312" w:hAnsi="黑体" w:eastAsia="楷体_GB2312" w:cs="黑体"/>
          <w:color w:val="auto"/>
          <w:sz w:val="32"/>
          <w:szCs w:val="32"/>
        </w:rPr>
      </w:pPr>
      <w:r>
        <w:rPr>
          <w:rFonts w:hint="eastAsia" w:ascii="楷体_GB2312" w:hAnsi="黑体" w:eastAsia="楷体_GB2312" w:cs="黑体"/>
          <w:color w:val="auto"/>
          <w:sz w:val="32"/>
          <w:szCs w:val="32"/>
        </w:rPr>
        <w:t>（三）坚持勤俭节约、精打细算</w:t>
      </w:r>
    </w:p>
    <w:p>
      <w:pPr>
        <w:spacing w:beforeLines="0" w:afterLines="0" w:line="560" w:lineRule="exact"/>
        <w:ind w:firstLine="628"/>
        <w:rPr>
          <w:rFonts w:hint="eastAsia" w:hAnsi="仿宋_GB2312" w:cs="宋体"/>
          <w:b/>
          <w:color w:val="auto"/>
          <w:sz w:val="32"/>
          <w:szCs w:val="32"/>
        </w:rPr>
      </w:pPr>
      <w:r>
        <w:rPr>
          <w:rFonts w:hint="eastAsia" w:hAnsi="仿宋_GB2312"/>
          <w:color w:val="auto"/>
          <w:sz w:val="32"/>
          <w:szCs w:val="32"/>
        </w:rPr>
        <w:t>严格践行过</w:t>
      </w:r>
      <w:r>
        <w:rPr>
          <w:rFonts w:hint="default" w:hAnsi="仿宋_GB2312"/>
          <w:color w:val="auto"/>
          <w:sz w:val="32"/>
          <w:szCs w:val="32"/>
        </w:rPr>
        <w:t>“</w:t>
      </w:r>
      <w:r>
        <w:rPr>
          <w:rFonts w:hint="eastAsia" w:hAnsi="仿宋_GB2312"/>
          <w:color w:val="auto"/>
          <w:sz w:val="32"/>
          <w:szCs w:val="32"/>
        </w:rPr>
        <w:t>紧日子</w:t>
      </w:r>
      <w:r>
        <w:rPr>
          <w:rFonts w:hint="default" w:hAnsi="仿宋_GB2312"/>
          <w:color w:val="auto"/>
          <w:sz w:val="32"/>
          <w:szCs w:val="32"/>
        </w:rPr>
        <w:t>”</w:t>
      </w:r>
      <w:r>
        <w:rPr>
          <w:rFonts w:hint="eastAsia" w:hAnsi="仿宋_GB2312"/>
          <w:color w:val="auto"/>
          <w:sz w:val="32"/>
          <w:szCs w:val="32"/>
        </w:rPr>
        <w:t>思想，严控一般性支出，</w:t>
      </w:r>
      <w:r>
        <w:rPr>
          <w:rFonts w:hint="eastAsia"/>
          <w:color w:val="auto"/>
          <w:sz w:val="32"/>
          <w:szCs w:val="32"/>
        </w:rPr>
        <w:t>倡导艰苦奋斗、勤俭节约之风。</w:t>
      </w:r>
      <w:r>
        <w:rPr>
          <w:rFonts w:hint="eastAsia" w:hAnsi="仿宋_GB2312"/>
          <w:color w:val="auto"/>
          <w:sz w:val="32"/>
          <w:szCs w:val="32"/>
        </w:rPr>
        <w:t>严格预算管理，加强政府采购管理，严控编外人员规模，精打细算，</w:t>
      </w:r>
      <w:r>
        <w:rPr>
          <w:rFonts w:hint="eastAsia"/>
          <w:color w:val="auto"/>
          <w:sz w:val="32"/>
          <w:szCs w:val="32"/>
        </w:rPr>
        <w:t>将节省的财政资金调整用于重</w:t>
      </w:r>
      <w:r>
        <w:rPr>
          <w:rFonts w:hint="default"/>
          <w:color w:val="auto"/>
          <w:sz w:val="32"/>
          <w:szCs w:val="32"/>
        </w:rPr>
        <w:t>大</w:t>
      </w:r>
      <w:r>
        <w:rPr>
          <w:rFonts w:hint="eastAsia"/>
          <w:color w:val="auto"/>
          <w:sz w:val="32"/>
          <w:szCs w:val="32"/>
        </w:rPr>
        <w:t>领域和重点民生事业发展中，</w:t>
      </w:r>
      <w:r>
        <w:rPr>
          <w:rFonts w:hint="eastAsia" w:hAnsi="仿宋_GB2312"/>
          <w:color w:val="auto"/>
          <w:sz w:val="32"/>
          <w:szCs w:val="32"/>
        </w:rPr>
        <w:t>将每一分钱花到最需要的地方，让每一分钱产生最好的效益</w:t>
      </w:r>
      <w:r>
        <w:rPr>
          <w:rFonts w:hint="eastAsia" w:hAnsi="仿宋_GB2312" w:cs="宋体"/>
          <w:color w:val="auto"/>
          <w:sz w:val="32"/>
          <w:szCs w:val="32"/>
        </w:rPr>
        <w:t>。</w:t>
      </w:r>
    </w:p>
    <w:p>
      <w:pPr>
        <w:spacing w:beforeLines="0" w:afterLines="0" w:line="560" w:lineRule="exact"/>
        <w:ind w:firstLine="511" w:firstLineChars="163"/>
        <w:rPr>
          <w:rFonts w:hint="eastAsia" w:ascii="楷体_GB2312" w:hAnsi="黑体" w:eastAsia="楷体_GB2312" w:cs="黑体"/>
          <w:color w:val="auto"/>
          <w:sz w:val="32"/>
          <w:szCs w:val="32"/>
        </w:rPr>
      </w:pPr>
      <w:r>
        <w:rPr>
          <w:rFonts w:hint="eastAsia" w:ascii="楷体_GB2312" w:hAnsi="黑体" w:eastAsia="楷体_GB2312" w:cs="黑体"/>
          <w:color w:val="auto"/>
          <w:sz w:val="32"/>
          <w:szCs w:val="32"/>
        </w:rPr>
        <w:t>（四）坚持创新模式、严格立项</w:t>
      </w:r>
    </w:p>
    <w:p>
      <w:pPr>
        <w:spacing w:beforeLines="0" w:afterLines="0" w:line="560" w:lineRule="exact"/>
        <w:ind w:firstLine="628"/>
        <w:rPr>
          <w:rFonts w:hint="eastAsia"/>
          <w:color w:val="auto"/>
          <w:sz w:val="32"/>
          <w:szCs w:val="24"/>
        </w:rPr>
      </w:pPr>
      <w:r>
        <w:rPr>
          <w:rFonts w:hint="default" w:hAnsi="宋体" w:cs="黑体"/>
          <w:color w:val="auto"/>
          <w:sz w:val="32"/>
          <w:szCs w:val="32"/>
        </w:rPr>
        <w:t>按照“部标”全部实现项目细化，依法依规纳入部门预算管理</w:t>
      </w:r>
      <w:r>
        <w:rPr>
          <w:rFonts w:hint="eastAsia" w:hAnsi="宋体" w:cs="宋体"/>
          <w:color w:val="auto"/>
          <w:kern w:val="0"/>
          <w:sz w:val="32"/>
          <w:szCs w:val="24"/>
        </w:rPr>
        <w:t>，有效提高项目资金使用效率</w:t>
      </w:r>
      <w:r>
        <w:rPr>
          <w:rFonts w:hint="eastAsia" w:hAnsi="宋体" w:cs="黑体"/>
          <w:color w:val="auto"/>
          <w:sz w:val="32"/>
          <w:szCs w:val="32"/>
        </w:rPr>
        <w:t>，提高部门预算到位率。开展重大改革、重要政策和重点项目预算评审。推进项目库标准化、规范化管理，加强入库项目动态管理，进一步加强项目论证，严格项目立项程序，提高入库项目质量，定期清退不符合条件的项目，确保储备项目质量。</w:t>
      </w:r>
    </w:p>
    <w:p>
      <w:pPr>
        <w:spacing w:beforeLines="0" w:afterLines="0" w:line="560" w:lineRule="exact"/>
        <w:ind w:firstLine="511" w:firstLineChars="163"/>
        <w:rPr>
          <w:rFonts w:hint="eastAsia" w:ascii="楷体_GB2312" w:hAnsi="黑体" w:eastAsia="楷体_GB2312" w:cs="黑体"/>
          <w:color w:val="auto"/>
          <w:sz w:val="32"/>
          <w:szCs w:val="32"/>
        </w:rPr>
      </w:pPr>
      <w:r>
        <w:rPr>
          <w:rFonts w:hint="eastAsia" w:ascii="楷体_GB2312" w:hAnsi="黑体" w:eastAsia="楷体_GB2312" w:cs="黑体"/>
          <w:color w:val="auto"/>
          <w:sz w:val="32"/>
          <w:szCs w:val="32"/>
        </w:rPr>
        <w:t>（五）坚持深化改革、提高效益</w:t>
      </w:r>
    </w:p>
    <w:p>
      <w:pPr>
        <w:spacing w:beforeLines="0" w:afterLines="0" w:line="560" w:lineRule="exact"/>
        <w:ind w:firstLine="628"/>
        <w:rPr>
          <w:rFonts w:hint="eastAsia" w:hAnsi="宋体" w:cs="黑体"/>
          <w:color w:val="auto"/>
          <w:sz w:val="32"/>
          <w:szCs w:val="32"/>
        </w:rPr>
      </w:pPr>
      <w:r>
        <w:rPr>
          <w:rFonts w:hint="eastAsia" w:hAnsi="宋体" w:cs="黑体"/>
          <w:color w:val="auto"/>
          <w:sz w:val="32"/>
          <w:szCs w:val="32"/>
        </w:rPr>
        <w:t>深化预算绩效管理改革，建立事前绩效评估与目标管理机制，绩效目标设置作为预算安排的前置条件，</w:t>
      </w:r>
      <w:r>
        <w:rPr>
          <w:rFonts w:hint="eastAsia" w:cs="仿宋_GB2312"/>
          <w:color w:val="auto"/>
          <w:sz w:val="32"/>
          <w:szCs w:val="32"/>
        </w:rPr>
        <w:t>未按要求设定绩效目标或审核未通过的，不得安排预算。</w:t>
      </w:r>
      <w:r>
        <w:rPr>
          <w:rFonts w:hint="eastAsia" w:hAnsi="宋体" w:cs="黑体"/>
          <w:color w:val="auto"/>
          <w:sz w:val="32"/>
          <w:szCs w:val="32"/>
        </w:rPr>
        <w:t>加强绩效评价结果运用，</w:t>
      </w:r>
      <w:r>
        <w:rPr>
          <w:rFonts w:hint="eastAsia" w:cs="仿宋_GB2312"/>
          <w:color w:val="auto"/>
          <w:sz w:val="32"/>
          <w:szCs w:val="32"/>
        </w:rPr>
        <w:t>按照奖优罚劣的原则建立绩效评价结果与预算安排和政策调整的挂钩机制</w:t>
      </w:r>
      <w:r>
        <w:rPr>
          <w:rFonts w:hint="eastAsia" w:hAnsi="宋体" w:cs="黑体"/>
          <w:color w:val="auto"/>
          <w:sz w:val="32"/>
          <w:szCs w:val="32"/>
        </w:rPr>
        <w:t>。预算安排要结合</w:t>
      </w:r>
      <w:r>
        <w:rPr>
          <w:rFonts w:hint="default" w:hAnsi="宋体" w:cs="黑体"/>
          <w:color w:val="auto"/>
          <w:sz w:val="32"/>
          <w:szCs w:val="32"/>
        </w:rPr>
        <w:t>上</w:t>
      </w:r>
      <w:r>
        <w:rPr>
          <w:rFonts w:hint="eastAsia" w:hAnsi="宋体" w:cs="黑体"/>
          <w:color w:val="auto"/>
          <w:sz w:val="32"/>
          <w:szCs w:val="32"/>
        </w:rPr>
        <w:t>年预算支出绩效评价结果和下年申报项目绩效目标，同时根据上年预算执行情况统筹配置资源，切实提高财政资金使用效益。</w:t>
      </w:r>
    </w:p>
    <w:p>
      <w:pPr>
        <w:keepNext w:val="0"/>
        <w:keepLines w:val="0"/>
        <w:pageBreakBefore w:val="0"/>
        <w:widowControl w:val="0"/>
        <w:kinsoku/>
        <w:wordWrap/>
        <w:overflowPunct/>
        <w:topLinePunct w:val="0"/>
        <w:bidi w:val="0"/>
        <w:spacing w:line="560" w:lineRule="exact"/>
        <w:ind w:firstLine="628"/>
        <w:jc w:val="left"/>
        <w:textAlignment w:val="auto"/>
        <w:rPr>
          <w:rFonts w:ascii="黑体" w:eastAsia="黑体"/>
          <w:color w:val="auto"/>
        </w:rPr>
      </w:pPr>
      <w:r>
        <w:rPr>
          <w:rFonts w:hint="eastAsia" w:ascii="黑体" w:eastAsia="黑体"/>
          <w:color w:val="auto"/>
        </w:rPr>
        <w:t>四、202</w:t>
      </w:r>
      <w:r>
        <w:rPr>
          <w:rFonts w:hint="default" w:ascii="黑体" w:eastAsia="黑体"/>
          <w:color w:val="auto"/>
        </w:rPr>
        <w:t>2</w:t>
      </w:r>
      <w:r>
        <w:rPr>
          <w:rFonts w:hint="eastAsia" w:ascii="黑体" w:eastAsia="黑体"/>
          <w:color w:val="auto"/>
        </w:rPr>
        <w:t>年财政预算编制的主要思路</w:t>
      </w:r>
    </w:p>
    <w:p>
      <w:pPr>
        <w:pStyle w:val="2"/>
        <w:spacing w:beforeLines="0" w:after="0" w:afterLines="0" w:line="560" w:lineRule="exact"/>
        <w:ind w:firstLine="612" w:firstLineChars="0"/>
        <w:rPr>
          <w:rFonts w:hint="eastAsia" w:ascii="楷体_GB2312" w:eastAsia="楷体_GB2312"/>
          <w:color w:val="auto"/>
          <w:spacing w:val="-6"/>
          <w:sz w:val="32"/>
          <w:szCs w:val="32"/>
        </w:rPr>
      </w:pPr>
      <w:r>
        <w:rPr>
          <w:rFonts w:hint="eastAsia" w:ascii="楷体_GB2312" w:eastAsia="楷体_GB2312"/>
          <w:color w:val="auto"/>
          <w:spacing w:val="-6"/>
          <w:sz w:val="32"/>
          <w:szCs w:val="32"/>
        </w:rPr>
        <w:t>（一）统筹新区经济社会发展实际情况，科学测算收入盘子</w:t>
      </w:r>
    </w:p>
    <w:p>
      <w:pPr>
        <w:pStyle w:val="2"/>
        <w:spacing w:beforeLines="0" w:after="0" w:afterLines="0" w:line="560" w:lineRule="exact"/>
        <w:ind w:firstLine="612" w:firstLineChars="0"/>
        <w:rPr>
          <w:rFonts w:hint="default" w:hAnsi="ˎ̥" w:cs="宋体"/>
          <w:b/>
          <w:bCs/>
          <w:color w:val="auto"/>
          <w:kern w:val="0"/>
          <w:sz w:val="32"/>
          <w:szCs w:val="32"/>
        </w:rPr>
      </w:pPr>
      <w:r>
        <w:rPr>
          <w:rFonts w:hint="eastAsia" w:hAnsi="ˎ̥" w:cs="宋体"/>
          <w:color w:val="auto"/>
          <w:kern w:val="0"/>
          <w:sz w:val="32"/>
          <w:szCs w:val="32"/>
        </w:rPr>
        <w:t>参考新区2021年经济社会发展情况，综合考虑税收实际执行中的增减收因素，并在充分听取征管部门意见后分税种测算确定。考虑到2022年</w:t>
      </w:r>
      <w:r>
        <w:rPr>
          <w:rFonts w:hint="default" w:hAnsi="ˎ̥" w:cs="宋体"/>
          <w:color w:val="auto"/>
          <w:kern w:val="0"/>
          <w:sz w:val="32"/>
          <w:szCs w:val="32"/>
        </w:rPr>
        <w:t>经济稳中求进、招商引税力度持续加大等积极因素，</w:t>
      </w:r>
      <w:r>
        <w:rPr>
          <w:rFonts w:hint="eastAsia" w:hAnsi="ˎ̥" w:cs="宋体"/>
          <w:color w:val="auto"/>
          <w:kern w:val="0"/>
          <w:szCs w:val="32"/>
        </w:rPr>
        <w:t>按照积极稳妥、科学精准预测的原则，经综合测算，</w:t>
      </w:r>
      <w:r>
        <w:rPr>
          <w:rFonts w:hint="eastAsia" w:hAnsi="ˎ̥" w:cs="宋体"/>
          <w:b/>
          <w:bCs/>
          <w:color w:val="auto"/>
          <w:kern w:val="0"/>
          <w:sz w:val="32"/>
          <w:szCs w:val="32"/>
        </w:rPr>
        <w:t>建议2022年一般公共预算收入</w:t>
      </w:r>
      <w:r>
        <w:rPr>
          <w:rFonts w:hint="default" w:hAnsi="ˎ̥" w:cs="宋体"/>
          <w:b/>
          <w:bCs/>
          <w:color w:val="auto"/>
          <w:kern w:val="0"/>
          <w:sz w:val="32"/>
          <w:szCs w:val="32"/>
        </w:rPr>
        <w:t>20.7亿元，与上年</w:t>
      </w:r>
      <w:r>
        <w:rPr>
          <w:rFonts w:hint="eastAsia" w:hAnsi="ˎ̥" w:cs="宋体"/>
          <w:b/>
          <w:bCs/>
          <w:color w:val="auto"/>
          <w:kern w:val="0"/>
          <w:sz w:val="32"/>
          <w:szCs w:val="32"/>
          <w:lang w:eastAsia="zh-CN"/>
        </w:rPr>
        <w:t>基本</w:t>
      </w:r>
      <w:r>
        <w:rPr>
          <w:rFonts w:hint="default" w:hAnsi="ˎ̥" w:cs="宋体"/>
          <w:b/>
          <w:bCs/>
          <w:color w:val="auto"/>
          <w:kern w:val="0"/>
          <w:sz w:val="32"/>
          <w:szCs w:val="32"/>
        </w:rPr>
        <w:t>持平，</w:t>
      </w:r>
      <w:r>
        <w:rPr>
          <w:rFonts w:hint="default" w:hAnsi="ˎ̥" w:cs="宋体"/>
          <w:b w:val="0"/>
          <w:bCs w:val="0"/>
          <w:color w:val="auto"/>
          <w:kern w:val="0"/>
          <w:sz w:val="32"/>
          <w:szCs w:val="32"/>
        </w:rPr>
        <w:t>同时充分</w:t>
      </w:r>
      <w:r>
        <w:rPr>
          <w:rFonts w:hint="default" w:hAnsi="ˎ̥" w:cs="宋体"/>
          <w:color w:val="auto"/>
          <w:kern w:val="0"/>
          <w:sz w:val="32"/>
          <w:szCs w:val="32"/>
        </w:rPr>
        <w:t>发挥国土收入维系新区财政平稳的重要作用，</w:t>
      </w:r>
      <w:r>
        <w:rPr>
          <w:rFonts w:hint="default" w:hAnsi="仿宋_GB2312" w:cs="仿宋_GB2312"/>
          <w:b/>
          <w:bCs/>
          <w:color w:val="auto"/>
          <w:sz w:val="32"/>
          <w:szCs w:val="24"/>
        </w:rPr>
        <w:t>实现</w:t>
      </w:r>
      <w:r>
        <w:rPr>
          <w:rFonts w:hint="eastAsia" w:hAnsi="ˎ̥" w:cs="宋体"/>
          <w:b/>
          <w:bCs/>
          <w:color w:val="auto"/>
          <w:kern w:val="0"/>
          <w:sz w:val="32"/>
          <w:szCs w:val="32"/>
        </w:rPr>
        <w:t>2022年</w:t>
      </w:r>
      <w:r>
        <w:rPr>
          <w:rFonts w:hint="default" w:hAnsi="ˎ̥" w:cs="宋体"/>
          <w:b/>
          <w:bCs/>
          <w:color w:val="auto"/>
          <w:kern w:val="0"/>
          <w:sz w:val="32"/>
          <w:szCs w:val="32"/>
        </w:rPr>
        <w:t>国土出让</w:t>
      </w:r>
      <w:r>
        <w:rPr>
          <w:rFonts w:hint="eastAsia" w:hAnsi="ˎ̥" w:cs="宋体"/>
          <w:b/>
          <w:bCs/>
          <w:color w:val="auto"/>
          <w:kern w:val="0"/>
          <w:sz w:val="32"/>
          <w:szCs w:val="32"/>
        </w:rPr>
        <w:t>收入</w:t>
      </w:r>
      <w:r>
        <w:rPr>
          <w:rFonts w:hint="default" w:hAnsi="ˎ̥" w:cs="宋体"/>
          <w:b/>
          <w:bCs/>
          <w:color w:val="auto"/>
          <w:kern w:val="0"/>
          <w:sz w:val="32"/>
          <w:szCs w:val="32"/>
        </w:rPr>
        <w:t>区级分成</w:t>
      </w:r>
      <w:r>
        <w:rPr>
          <w:rFonts w:hint="default" w:hAnsi="ˎ̥" w:cs="宋体"/>
          <w:b/>
          <w:bCs/>
          <w:color w:val="auto"/>
          <w:kern w:val="0"/>
          <w:sz w:val="32"/>
          <w:szCs w:val="32"/>
          <w:lang w:val="en"/>
        </w:rPr>
        <w:t>9</w:t>
      </w:r>
      <w:r>
        <w:rPr>
          <w:rFonts w:hint="default" w:hAnsi="ˎ̥" w:cs="宋体"/>
          <w:b/>
          <w:bCs/>
          <w:color w:val="auto"/>
          <w:kern w:val="0"/>
          <w:sz w:val="32"/>
          <w:szCs w:val="32"/>
        </w:rPr>
        <w:t>.5亿元，并从中调入一般公共预算</w:t>
      </w:r>
      <w:r>
        <w:rPr>
          <w:rFonts w:hint="default" w:hAnsi="ˎ̥" w:cs="宋体"/>
          <w:b/>
          <w:bCs/>
          <w:color w:val="auto"/>
          <w:kern w:val="0"/>
          <w:sz w:val="32"/>
          <w:szCs w:val="32"/>
          <w:lang w:val="en"/>
        </w:rPr>
        <w:t>8</w:t>
      </w:r>
      <w:r>
        <w:rPr>
          <w:rFonts w:hint="default" w:hAnsi="ˎ̥" w:cs="宋体"/>
          <w:b/>
          <w:bCs/>
          <w:color w:val="auto"/>
          <w:kern w:val="0"/>
          <w:sz w:val="32"/>
          <w:szCs w:val="32"/>
        </w:rPr>
        <w:t>.6亿元，</w:t>
      </w:r>
      <w:r>
        <w:rPr>
          <w:rFonts w:hint="default" w:hAnsi="ˎ̥" w:cs="宋体"/>
          <w:color w:val="auto"/>
          <w:kern w:val="0"/>
          <w:sz w:val="32"/>
          <w:szCs w:val="32"/>
        </w:rPr>
        <w:t>保障新区公共财政收支规模总体平衡并略有增长。</w:t>
      </w:r>
    </w:p>
    <w:p>
      <w:pPr>
        <w:spacing w:beforeLines="0" w:afterLines="0" w:line="560" w:lineRule="exact"/>
        <w:ind w:firstLine="616"/>
        <w:rPr>
          <w:rFonts w:hint="eastAsia" w:ascii="楷体_GB2312" w:hAnsi="黑体" w:eastAsia="楷体_GB2312" w:cs="黑体"/>
          <w:color w:val="auto"/>
          <w:sz w:val="32"/>
          <w:szCs w:val="32"/>
        </w:rPr>
      </w:pPr>
      <w:r>
        <w:rPr>
          <w:rFonts w:hint="eastAsia" w:ascii="楷体_GB2312" w:eastAsia="楷体_GB2312"/>
          <w:color w:val="auto"/>
          <w:spacing w:val="-6"/>
          <w:sz w:val="32"/>
          <w:szCs w:val="32"/>
        </w:rPr>
        <w:t>（二）</w:t>
      </w:r>
      <w:r>
        <w:rPr>
          <w:rFonts w:hint="eastAsia" w:ascii="楷体_GB2312" w:hAnsi="黑体" w:eastAsia="楷体_GB2312" w:cs="黑体"/>
          <w:color w:val="auto"/>
          <w:sz w:val="32"/>
          <w:szCs w:val="32"/>
        </w:rPr>
        <w:t>凝心聚力做好重点领域、重大项目财力保障，为新区开启高质量发展新征程奠定坚实基础</w:t>
      </w:r>
    </w:p>
    <w:p>
      <w:pPr>
        <w:spacing w:beforeLines="0" w:afterLines="0" w:line="560" w:lineRule="exact"/>
        <w:ind w:firstLine="630"/>
        <w:rPr>
          <w:rFonts w:hint="eastAsia" w:hAnsi="仿宋_GB2312"/>
          <w:color w:val="auto"/>
          <w:sz w:val="32"/>
          <w:szCs w:val="32"/>
        </w:rPr>
      </w:pPr>
      <w:r>
        <w:rPr>
          <w:rFonts w:hint="default" w:hAnsi="仿宋_GB2312"/>
          <w:b/>
          <w:color w:val="auto"/>
          <w:sz w:val="32"/>
          <w:szCs w:val="32"/>
        </w:rPr>
        <w:t>1.</w:t>
      </w:r>
      <w:r>
        <w:rPr>
          <w:rFonts w:hint="eastAsia" w:hAnsi="仿宋_GB2312"/>
          <w:color w:val="auto"/>
          <w:sz w:val="32"/>
          <w:szCs w:val="32"/>
        </w:rPr>
        <w:t>积极推进重大项目和重要片区发展。加快推进金沙湾国际乐园、新大旅游项目、深圳国际食品谷、海洋大学前期工作、深圳国际生物谷坝光核心启动区等重大项目、重要区域建设。</w:t>
      </w:r>
    </w:p>
    <w:p>
      <w:pPr>
        <w:spacing w:beforeLines="0" w:afterLines="0" w:line="560" w:lineRule="exact"/>
        <w:ind w:firstLine="630"/>
        <w:rPr>
          <w:rFonts w:hint="eastAsia" w:hAnsi="仿宋_GB2312"/>
          <w:color w:val="auto"/>
          <w:sz w:val="32"/>
          <w:szCs w:val="32"/>
        </w:rPr>
      </w:pPr>
      <w:r>
        <w:rPr>
          <w:rFonts w:hint="default" w:hAnsi="仿宋_GB2312"/>
          <w:b/>
          <w:color w:val="auto"/>
          <w:sz w:val="32"/>
          <w:szCs w:val="32"/>
        </w:rPr>
        <w:t>2.</w:t>
      </w:r>
      <w:r>
        <w:rPr>
          <w:rFonts w:hint="eastAsia" w:hAnsi="仿宋_GB2312"/>
          <w:color w:val="auto"/>
          <w:sz w:val="32"/>
          <w:szCs w:val="32"/>
        </w:rPr>
        <w:t>统筹兼顾生态保护和经济建设，全力推动新区经济社会高质量发展。着力推进</w:t>
      </w:r>
      <w:r>
        <w:rPr>
          <w:rFonts w:hint="default" w:hAnsi="仿宋_GB2312"/>
          <w:color w:val="auto"/>
          <w:sz w:val="32"/>
          <w:szCs w:val="32"/>
        </w:rPr>
        <w:t>新一代电子信息、数字与时尚、高端制造装备、绿色低碳、新材料、生物</w:t>
      </w:r>
      <w:r>
        <w:rPr>
          <w:rFonts w:hint="eastAsia" w:hAnsi="仿宋_GB2312"/>
          <w:color w:val="auto"/>
          <w:sz w:val="32"/>
          <w:szCs w:val="32"/>
        </w:rPr>
        <w:t>医药</w:t>
      </w:r>
      <w:r>
        <w:rPr>
          <w:rFonts w:hint="default" w:hAnsi="仿宋_GB2312"/>
          <w:color w:val="auto"/>
          <w:sz w:val="32"/>
          <w:szCs w:val="32"/>
        </w:rPr>
        <w:t>与健康</w:t>
      </w:r>
      <w:r>
        <w:rPr>
          <w:rFonts w:hint="eastAsia" w:hAnsi="仿宋_GB2312"/>
          <w:color w:val="auto"/>
          <w:sz w:val="32"/>
          <w:szCs w:val="32"/>
        </w:rPr>
        <w:t>、海洋产业</w:t>
      </w:r>
      <w:r>
        <w:rPr>
          <w:rFonts w:hint="default" w:hAnsi="仿宋_GB2312"/>
          <w:color w:val="auto"/>
          <w:sz w:val="32"/>
          <w:szCs w:val="32"/>
        </w:rPr>
        <w:t>、未来产业</w:t>
      </w:r>
      <w:r>
        <w:rPr>
          <w:rFonts w:hint="eastAsia" w:hAnsi="仿宋_GB2312"/>
          <w:color w:val="auto"/>
          <w:sz w:val="32"/>
          <w:szCs w:val="32"/>
        </w:rPr>
        <w:t>发展，加大节能减排、环境整治等投入力度，切实做好王母河、鹏城河等综合整治工程，积极推进雨污分流、内涝治理等工程。</w:t>
      </w:r>
    </w:p>
    <w:p>
      <w:pPr>
        <w:spacing w:beforeLines="0" w:afterLines="0" w:line="560" w:lineRule="exact"/>
        <w:ind w:firstLine="630"/>
        <w:rPr>
          <w:rFonts w:hint="eastAsia" w:hAnsi="仿宋_GB2312"/>
          <w:color w:val="auto"/>
          <w:sz w:val="32"/>
          <w:szCs w:val="32"/>
        </w:rPr>
      </w:pPr>
      <w:r>
        <w:rPr>
          <w:rFonts w:hint="default" w:hAnsi="仿宋_GB2312"/>
          <w:b/>
          <w:color w:val="auto"/>
          <w:sz w:val="32"/>
          <w:szCs w:val="32"/>
        </w:rPr>
        <w:t>3.</w:t>
      </w:r>
      <w:r>
        <w:rPr>
          <w:rFonts w:hint="eastAsia" w:hAnsi="仿宋_GB2312"/>
          <w:color w:val="auto"/>
          <w:sz w:val="32"/>
          <w:szCs w:val="32"/>
        </w:rPr>
        <w:t>加快建设民生幸福大鹏。继续加大投入力度，优化教育领域支出结构，加快新区教育高质量发展，积极推进深圳市第二十三高级中学、红岭教育集团大鹏校区等项目</w:t>
      </w:r>
      <w:r>
        <w:rPr>
          <w:rFonts w:hint="default" w:hAnsi="仿宋_GB2312"/>
          <w:color w:val="auto"/>
          <w:sz w:val="32"/>
          <w:szCs w:val="32"/>
        </w:rPr>
        <w:t>建设</w:t>
      </w:r>
      <w:r>
        <w:rPr>
          <w:rFonts w:hint="eastAsia" w:hAnsi="仿宋_GB2312"/>
          <w:color w:val="auto"/>
          <w:sz w:val="32"/>
          <w:szCs w:val="32"/>
        </w:rPr>
        <w:t>。加强医疗卫生能力建设，保障高水平医院建设计划实施，推进大鹏新区人民医院、新区妇幼保健院等项目有关工作，助力健康</w:t>
      </w:r>
      <w:r>
        <w:rPr>
          <w:rFonts w:hint="default" w:hAnsi="仿宋_GB2312"/>
          <w:color w:val="auto"/>
          <w:sz w:val="32"/>
          <w:szCs w:val="32"/>
        </w:rPr>
        <w:t>大鹏</w:t>
      </w:r>
      <w:r>
        <w:rPr>
          <w:rFonts w:hint="eastAsia" w:hAnsi="仿宋_GB2312"/>
          <w:color w:val="auto"/>
          <w:sz w:val="32"/>
          <w:szCs w:val="32"/>
        </w:rPr>
        <w:t>建设。</w:t>
      </w:r>
    </w:p>
    <w:p>
      <w:pPr>
        <w:numPr>
          <w:ilvl w:val="0"/>
          <w:numId w:val="1"/>
        </w:numPr>
        <w:spacing w:beforeLines="0" w:afterLines="0" w:line="560" w:lineRule="exact"/>
        <w:ind w:firstLine="628"/>
        <w:jc w:val="left"/>
        <w:rPr>
          <w:rFonts w:hint="eastAsia" w:ascii="楷体_GB2312" w:hAnsi="Calibri" w:eastAsia="楷体_GB2312" w:cs="仿宋_GB2312"/>
          <w:color w:val="auto"/>
          <w:spacing w:val="0"/>
          <w:sz w:val="32"/>
          <w:szCs w:val="32"/>
        </w:rPr>
      </w:pPr>
      <w:r>
        <w:rPr>
          <w:rFonts w:hint="eastAsia" w:ascii="楷体_GB2312" w:eastAsia="楷体_GB2312" w:cs="仿宋_GB2312"/>
          <w:color w:val="auto"/>
          <w:spacing w:val="0"/>
          <w:sz w:val="32"/>
          <w:szCs w:val="32"/>
        </w:rPr>
        <w:t>齐心协力</w:t>
      </w:r>
      <w:r>
        <w:rPr>
          <w:rFonts w:hint="eastAsia" w:ascii="楷体_GB2312" w:hAnsi="Calibri" w:eastAsia="楷体_GB2312" w:cs="仿宋_GB2312"/>
          <w:color w:val="auto"/>
          <w:spacing w:val="0"/>
          <w:sz w:val="32"/>
          <w:szCs w:val="32"/>
        </w:rPr>
        <w:t>规范预算支出管理，</w:t>
      </w:r>
      <w:r>
        <w:rPr>
          <w:rFonts w:hint="eastAsia" w:ascii="楷体_GB2312" w:eastAsia="楷体_GB2312" w:cs="仿宋_GB2312"/>
          <w:color w:val="auto"/>
          <w:spacing w:val="0"/>
          <w:sz w:val="32"/>
          <w:szCs w:val="32"/>
        </w:rPr>
        <w:t>大力</w:t>
      </w:r>
      <w:r>
        <w:rPr>
          <w:rFonts w:hint="eastAsia" w:ascii="楷体_GB2312" w:hAnsi="Calibri" w:eastAsia="楷体_GB2312" w:cs="仿宋_GB2312"/>
          <w:color w:val="auto"/>
          <w:spacing w:val="0"/>
          <w:sz w:val="32"/>
          <w:szCs w:val="32"/>
        </w:rPr>
        <w:t>推进财政支出标准化</w:t>
      </w:r>
      <w:r>
        <w:rPr>
          <w:rFonts w:hint="eastAsia" w:ascii="楷体_GB2312" w:eastAsia="楷体_GB2312" w:cs="仿宋_GB2312"/>
          <w:color w:val="auto"/>
          <w:spacing w:val="0"/>
          <w:sz w:val="32"/>
          <w:szCs w:val="32"/>
        </w:rPr>
        <w:t>建设</w:t>
      </w:r>
    </w:p>
    <w:p>
      <w:pPr>
        <w:spacing w:beforeLines="0" w:afterLines="0" w:line="560" w:lineRule="exact"/>
        <w:ind w:firstLine="630"/>
        <w:jc w:val="left"/>
        <w:rPr>
          <w:rFonts w:hint="eastAsia" w:hAnsi="仿宋_GB2312"/>
          <w:color w:val="auto"/>
          <w:spacing w:val="0"/>
          <w:sz w:val="32"/>
          <w:szCs w:val="32"/>
        </w:rPr>
      </w:pPr>
      <w:r>
        <w:rPr>
          <w:rFonts w:hint="default" w:cs="仿宋_GB2312"/>
          <w:b/>
          <w:color w:val="auto"/>
          <w:sz w:val="32"/>
          <w:szCs w:val="32"/>
        </w:rPr>
        <w:t>1.</w:t>
      </w:r>
      <w:r>
        <w:rPr>
          <w:rFonts w:hint="eastAsia" w:cs="仿宋_GB2312"/>
          <w:color w:val="auto"/>
          <w:sz w:val="32"/>
          <w:szCs w:val="32"/>
        </w:rPr>
        <w:t>建立与财力水平相适应的支出规模。坚持量入为出，</w:t>
      </w:r>
      <w:r>
        <w:rPr>
          <w:rFonts w:hint="eastAsia" w:hAnsi="仿宋_GB2312"/>
          <w:color w:val="auto"/>
          <w:sz w:val="32"/>
          <w:szCs w:val="32"/>
        </w:rPr>
        <w:t>注重基本公共服务普惠性、基础性、兜底性，防止超越财力实际制定过高支出标准，</w:t>
      </w:r>
      <w:r>
        <w:rPr>
          <w:rFonts w:hint="eastAsia" w:cs="仿宋_GB2312"/>
          <w:color w:val="auto"/>
          <w:sz w:val="32"/>
          <w:szCs w:val="32"/>
        </w:rPr>
        <w:t>根据财力可能和事业发展需求科学编制预算，</w:t>
      </w:r>
      <w:r>
        <w:rPr>
          <w:rFonts w:hint="eastAsia" w:hAnsi="仿宋_GB2312"/>
          <w:color w:val="auto"/>
          <w:sz w:val="32"/>
          <w:szCs w:val="32"/>
        </w:rPr>
        <w:t>提高政策和资金的导向性、精确性、有效性</w:t>
      </w:r>
      <w:r>
        <w:rPr>
          <w:rFonts w:hint="default" w:hAnsi="仿宋_GB2312"/>
          <w:color w:val="auto"/>
          <w:sz w:val="32"/>
          <w:szCs w:val="32"/>
        </w:rPr>
        <w:t>。</w:t>
      </w:r>
      <w:r>
        <w:rPr>
          <w:rFonts w:hint="eastAsia" w:cs="仿宋_GB2312"/>
          <w:color w:val="auto"/>
          <w:sz w:val="32"/>
          <w:szCs w:val="32"/>
        </w:rPr>
        <w:t>严格控制新增支出事项，完善能增能减、有保有压的分配机制，确保财政收支平衡。</w:t>
      </w:r>
    </w:p>
    <w:p>
      <w:pPr>
        <w:spacing w:beforeLines="0" w:afterLines="0" w:line="560" w:lineRule="exact"/>
        <w:ind w:firstLine="642"/>
        <w:jc w:val="left"/>
        <w:rPr>
          <w:rFonts w:hint="eastAsia" w:hAnsi="仿宋_GB2312"/>
          <w:color w:val="auto"/>
          <w:spacing w:val="0"/>
          <w:sz w:val="32"/>
          <w:szCs w:val="32"/>
        </w:rPr>
      </w:pPr>
      <w:r>
        <w:rPr>
          <w:rFonts w:hint="default" w:hAnsi="仿宋_GB2312"/>
          <w:b/>
          <w:color w:val="auto"/>
          <w:spacing w:val="0"/>
          <w:sz w:val="32"/>
          <w:szCs w:val="32"/>
        </w:rPr>
        <w:t>2.</w:t>
      </w:r>
      <w:r>
        <w:rPr>
          <w:rFonts w:hint="eastAsia" w:hAnsi="仿宋_GB2312"/>
          <w:color w:val="auto"/>
          <w:spacing w:val="0"/>
          <w:sz w:val="32"/>
          <w:szCs w:val="32"/>
        </w:rPr>
        <w:t>大力优化财政支出结构。优先保“三保”，对保运转经费要按厉行节约原则从严把握</w:t>
      </w:r>
      <w:r>
        <w:rPr>
          <w:rFonts w:hint="default" w:hAnsi="仿宋_GB2312"/>
          <w:color w:val="auto"/>
          <w:spacing w:val="0"/>
          <w:sz w:val="32"/>
          <w:szCs w:val="32"/>
        </w:rPr>
        <w:t>。</w:t>
      </w:r>
      <w:r>
        <w:rPr>
          <w:rFonts w:hint="eastAsia" w:cs="仿宋_GB2312"/>
          <w:color w:val="auto"/>
          <w:sz w:val="32"/>
          <w:szCs w:val="32"/>
        </w:rPr>
        <w:t>保障新区党工委、管委会确定的重大支出政策以及重点项目</w:t>
      </w:r>
      <w:r>
        <w:rPr>
          <w:rFonts w:hint="default" w:hAnsi="仿宋_GB2312"/>
          <w:color w:val="auto"/>
          <w:spacing w:val="0"/>
          <w:sz w:val="32"/>
          <w:szCs w:val="32"/>
        </w:rPr>
        <w:t>。</w:t>
      </w:r>
      <w:r>
        <w:rPr>
          <w:rFonts w:hint="eastAsia" w:hAnsi="仿宋_GB2312"/>
          <w:color w:val="auto"/>
          <w:spacing w:val="0"/>
          <w:sz w:val="32"/>
          <w:szCs w:val="32"/>
        </w:rPr>
        <w:t>对上级部门新出台政策的新增支出需求，视财力可能合理安排经费，其他新增支出原则上由各部门通过调整优化支出结构解决。</w:t>
      </w:r>
    </w:p>
    <w:p>
      <w:pPr>
        <w:spacing w:beforeLines="0" w:afterLines="0" w:line="560" w:lineRule="exact"/>
        <w:ind w:firstLine="642"/>
        <w:jc w:val="left"/>
        <w:rPr>
          <w:rFonts w:hint="eastAsia" w:hAnsi="仿宋_GB2312"/>
          <w:color w:val="auto"/>
          <w:spacing w:val="0"/>
          <w:sz w:val="32"/>
          <w:szCs w:val="32"/>
        </w:rPr>
      </w:pPr>
      <w:r>
        <w:rPr>
          <w:rFonts w:hint="default" w:hAnsi="仿宋_GB2312"/>
          <w:b/>
          <w:color w:val="auto"/>
          <w:spacing w:val="0"/>
          <w:sz w:val="32"/>
          <w:szCs w:val="32"/>
        </w:rPr>
        <w:t>3.</w:t>
      </w:r>
      <w:r>
        <w:rPr>
          <w:rFonts w:hint="eastAsia" w:hAnsi="仿宋_GB2312"/>
          <w:color w:val="auto"/>
          <w:spacing w:val="0"/>
          <w:sz w:val="32"/>
          <w:szCs w:val="32"/>
        </w:rPr>
        <w:t>推进支出标准体系建设。加强对项目执行情况的分析和结果运用，将科学合理的实际执行情况作为制定和调整标准的依据。加快推进项目要素、项目文本、绩效指标等标准化规范化。将支出标准作为预算编制的基本依据，不得超标准编制预算。</w:t>
      </w:r>
    </w:p>
    <w:p>
      <w:pPr>
        <w:spacing w:beforeLines="0" w:afterLines="0" w:line="560" w:lineRule="exact"/>
        <w:ind w:firstLine="642"/>
        <w:jc w:val="left"/>
        <w:rPr>
          <w:rFonts w:hint="eastAsia"/>
          <w:color w:val="auto"/>
          <w:sz w:val="32"/>
          <w:szCs w:val="24"/>
        </w:rPr>
      </w:pPr>
      <w:r>
        <w:rPr>
          <w:rFonts w:hint="default" w:hAnsi="仿宋_GB2312"/>
          <w:b/>
          <w:color w:val="auto"/>
          <w:spacing w:val="0"/>
          <w:sz w:val="32"/>
          <w:szCs w:val="32"/>
        </w:rPr>
        <w:t>4.</w:t>
      </w:r>
      <w:r>
        <w:rPr>
          <w:rFonts w:hint="eastAsia" w:hAnsi="仿宋_GB2312"/>
          <w:color w:val="auto"/>
          <w:spacing w:val="0"/>
          <w:sz w:val="32"/>
          <w:szCs w:val="32"/>
        </w:rPr>
        <w:t>用足用好直达资金。扎实做好直达资金分配、支付、使用、监管工作，确保直达资金及时合规使用。加快对直达资金的统筹、审批，完善直达资金分配审核流程，加强对直达资金</w:t>
      </w:r>
      <w:r>
        <w:rPr>
          <w:rFonts w:hint="default" w:hAnsi="仿宋_GB2312"/>
          <w:color w:val="auto"/>
          <w:spacing w:val="0"/>
          <w:sz w:val="32"/>
          <w:szCs w:val="32"/>
        </w:rPr>
        <w:t>使用</w:t>
      </w:r>
      <w:r>
        <w:rPr>
          <w:rFonts w:hint="eastAsia" w:hAnsi="仿宋_GB2312"/>
          <w:color w:val="auto"/>
          <w:spacing w:val="0"/>
          <w:sz w:val="32"/>
          <w:szCs w:val="32"/>
        </w:rPr>
        <w:t>情况的监督，建立健全直达资金监控体系，加强部门协同联动，强化从资金源头到使用末端的全过程、全链条、全方位监管。</w:t>
      </w:r>
    </w:p>
    <w:p>
      <w:pPr>
        <w:widowControl/>
        <w:spacing w:beforeLines="0" w:afterLines="0" w:line="560" w:lineRule="exact"/>
        <w:ind w:firstLine="630"/>
        <w:jc w:val="left"/>
        <w:rPr>
          <w:rFonts w:hint="eastAsia" w:hAnsi="仿宋_GB2312"/>
          <w:color w:val="auto"/>
          <w:spacing w:val="0"/>
          <w:sz w:val="32"/>
          <w:szCs w:val="32"/>
        </w:rPr>
      </w:pPr>
      <w:r>
        <w:rPr>
          <w:rFonts w:hint="default" w:hAnsi="仿宋_GB2312" w:cs="仿宋_GB2312"/>
          <w:b/>
          <w:color w:val="auto"/>
          <w:sz w:val="32"/>
          <w:szCs w:val="32"/>
        </w:rPr>
        <w:t>5.</w:t>
      </w:r>
      <w:r>
        <w:rPr>
          <w:rFonts w:hint="eastAsia" w:hAnsi="仿宋_GB2312" w:cs="仿宋_GB2312"/>
          <w:color w:val="auto"/>
          <w:sz w:val="32"/>
          <w:szCs w:val="32"/>
        </w:rPr>
        <w:t>扎实推进“紧日子”工作落到实处。</w:t>
      </w:r>
      <w:r>
        <w:rPr>
          <w:rFonts w:hint="eastAsia" w:cs="仿宋_GB2312"/>
          <w:color w:val="auto"/>
          <w:sz w:val="32"/>
          <w:szCs w:val="32"/>
        </w:rPr>
        <w:t>严控经常性支出，</w:t>
      </w:r>
      <w:r>
        <w:rPr>
          <w:rFonts w:hint="eastAsia" w:cs="仿宋_GB2312"/>
          <w:color w:val="auto"/>
          <w:spacing w:val="0"/>
          <w:sz w:val="32"/>
          <w:szCs w:val="32"/>
        </w:rPr>
        <w:t>把严把紧预算支出关口，</w:t>
      </w:r>
      <w:r>
        <w:rPr>
          <w:rFonts w:hint="eastAsia" w:cs="仿宋_GB2312"/>
          <w:color w:val="auto"/>
          <w:sz w:val="32"/>
          <w:szCs w:val="32"/>
        </w:rPr>
        <w:t>大力压减非刚性、非重点的一般性支出，坚决取消不必要、非刚性项目，</w:t>
      </w:r>
      <w:r>
        <w:rPr>
          <w:rFonts w:hint="eastAsia" w:cs="仿宋_GB2312"/>
          <w:color w:val="auto"/>
          <w:spacing w:val="0"/>
          <w:sz w:val="32"/>
          <w:szCs w:val="32"/>
        </w:rPr>
        <w:t>从严从紧、能压则压</w:t>
      </w:r>
      <w:r>
        <w:rPr>
          <w:rFonts w:hint="default" w:cs="仿宋_GB2312"/>
          <w:color w:val="auto"/>
          <w:spacing w:val="0"/>
          <w:sz w:val="32"/>
          <w:szCs w:val="32"/>
        </w:rPr>
        <w:t>。</w:t>
      </w:r>
      <w:r>
        <w:rPr>
          <w:rFonts w:hint="eastAsia" w:cs="仿宋_GB2312"/>
          <w:color w:val="auto"/>
          <w:sz w:val="32"/>
          <w:szCs w:val="32"/>
        </w:rPr>
        <w:t>降低公务成本，进一步压减“三公”经费支出,加强“三公”经费预算审核,严格执行相关支出标准,严禁超预算、超标准列支“三公”经费。</w:t>
      </w:r>
    </w:p>
    <w:p>
      <w:pPr>
        <w:spacing w:beforeLines="0" w:afterLines="0" w:line="560" w:lineRule="exact"/>
        <w:ind w:firstLine="640"/>
        <w:jc w:val="left"/>
        <w:rPr>
          <w:rFonts w:hint="eastAsia" w:ascii="楷体_GB2312" w:hAnsi="Calibri" w:eastAsia="楷体_GB2312" w:cs="仿宋_GB2312"/>
          <w:color w:val="auto"/>
          <w:spacing w:val="0"/>
          <w:sz w:val="32"/>
          <w:szCs w:val="32"/>
        </w:rPr>
      </w:pPr>
      <w:r>
        <w:rPr>
          <w:rFonts w:hint="eastAsia" w:ascii="楷体_GB2312" w:hAnsi="Calibri" w:eastAsia="楷体_GB2312" w:cs="仿宋_GB2312"/>
          <w:color w:val="auto"/>
          <w:spacing w:val="0"/>
          <w:sz w:val="32"/>
          <w:szCs w:val="32"/>
        </w:rPr>
        <w:t>（</w:t>
      </w:r>
      <w:r>
        <w:rPr>
          <w:rFonts w:hint="default" w:ascii="楷体_GB2312" w:hAnsi="Calibri" w:eastAsia="楷体_GB2312" w:cs="仿宋_GB2312"/>
          <w:color w:val="auto"/>
          <w:spacing w:val="0"/>
          <w:sz w:val="32"/>
          <w:szCs w:val="32"/>
        </w:rPr>
        <w:t>四</w:t>
      </w:r>
      <w:r>
        <w:rPr>
          <w:rFonts w:hint="eastAsia" w:ascii="楷体_GB2312" w:hAnsi="Calibri" w:eastAsia="楷体_GB2312" w:cs="仿宋_GB2312"/>
          <w:color w:val="auto"/>
          <w:spacing w:val="0"/>
          <w:sz w:val="32"/>
          <w:szCs w:val="32"/>
        </w:rPr>
        <w:t>）</w:t>
      </w:r>
      <w:r>
        <w:rPr>
          <w:rFonts w:hint="eastAsia" w:ascii="楷体_GB2312" w:eastAsia="楷体_GB2312" w:cs="仿宋_GB2312"/>
          <w:color w:val="auto"/>
          <w:spacing w:val="0"/>
          <w:sz w:val="32"/>
          <w:szCs w:val="32"/>
        </w:rPr>
        <w:t>持之以恒深化预算管理改革</w:t>
      </w:r>
      <w:r>
        <w:rPr>
          <w:rFonts w:hint="eastAsia" w:ascii="楷体_GB2312" w:hAnsi="Calibri" w:eastAsia="楷体_GB2312" w:cs="仿宋_GB2312"/>
          <w:color w:val="auto"/>
          <w:spacing w:val="0"/>
          <w:sz w:val="32"/>
          <w:szCs w:val="32"/>
        </w:rPr>
        <w:t>，持续提升财政管理水平</w:t>
      </w:r>
    </w:p>
    <w:p>
      <w:pPr>
        <w:widowControl/>
        <w:spacing w:beforeLines="0" w:afterLines="0" w:line="560" w:lineRule="exact"/>
        <w:ind w:firstLine="642"/>
        <w:jc w:val="left"/>
        <w:rPr>
          <w:rFonts w:hint="eastAsia" w:hAnsi="仿宋_GB2312"/>
          <w:color w:val="auto"/>
          <w:spacing w:val="0"/>
          <w:sz w:val="32"/>
          <w:szCs w:val="32"/>
        </w:rPr>
      </w:pPr>
      <w:r>
        <w:rPr>
          <w:rFonts w:hint="default" w:cs="仿宋_GB2312"/>
          <w:b/>
          <w:color w:val="auto"/>
          <w:spacing w:val="0"/>
          <w:sz w:val="32"/>
          <w:szCs w:val="32"/>
        </w:rPr>
        <w:t>1.</w:t>
      </w:r>
      <w:r>
        <w:rPr>
          <w:rFonts w:hint="eastAsia" w:cs="仿宋_GB2312"/>
          <w:color w:val="auto"/>
          <w:spacing w:val="0"/>
          <w:sz w:val="32"/>
          <w:szCs w:val="32"/>
        </w:rPr>
        <w:t>强化预算对执行的控制。</w:t>
      </w:r>
      <w:r>
        <w:rPr>
          <w:rFonts w:hint="eastAsia" w:hAnsi="仿宋_GB2312"/>
          <w:color w:val="auto"/>
          <w:kern w:val="2"/>
          <w:sz w:val="32"/>
          <w:szCs w:val="32"/>
        </w:rPr>
        <w:t>严格执行</w:t>
      </w:r>
      <w:r>
        <w:rPr>
          <w:rFonts w:hint="eastAsia" w:hAnsi="仿宋_GB2312"/>
          <w:color w:val="auto"/>
          <w:sz w:val="32"/>
          <w:szCs w:val="32"/>
        </w:rPr>
        <w:t>《预算法》《预算法实施条例》</w:t>
      </w:r>
      <w:r>
        <w:rPr>
          <w:rFonts w:hint="eastAsia" w:hAnsi="仿宋_GB2312"/>
          <w:color w:val="auto"/>
          <w:kern w:val="2"/>
          <w:sz w:val="32"/>
          <w:szCs w:val="32"/>
        </w:rPr>
        <w:t>，依法依规组织收入、安排支出。</w:t>
      </w:r>
      <w:r>
        <w:rPr>
          <w:rFonts w:hint="eastAsia" w:hAnsi="仿宋_GB2312"/>
          <w:color w:val="auto"/>
          <w:spacing w:val="0"/>
          <w:sz w:val="32"/>
          <w:szCs w:val="32"/>
        </w:rPr>
        <w:t>坚持先有预算后有支出，严禁超预算、无预算安排支出或开展政府采购，严禁将国库资金违规拨入财政专户,严禁以拨代支。</w:t>
      </w:r>
    </w:p>
    <w:p>
      <w:pPr>
        <w:widowControl/>
        <w:spacing w:beforeLines="0" w:afterLines="0" w:line="560" w:lineRule="exact"/>
        <w:ind w:firstLine="642"/>
        <w:jc w:val="left"/>
        <w:rPr>
          <w:rFonts w:hint="eastAsia" w:hAnsi="仿宋_GB2312"/>
          <w:color w:val="auto"/>
          <w:spacing w:val="0"/>
          <w:sz w:val="32"/>
          <w:szCs w:val="32"/>
        </w:rPr>
      </w:pPr>
      <w:r>
        <w:rPr>
          <w:rFonts w:hint="default" w:hAnsi="仿宋_GB2312"/>
          <w:b/>
          <w:color w:val="auto"/>
          <w:spacing w:val="0"/>
          <w:sz w:val="32"/>
          <w:szCs w:val="32"/>
        </w:rPr>
        <w:t>2.</w:t>
      </w:r>
      <w:r>
        <w:rPr>
          <w:rFonts w:hint="eastAsia" w:hAnsi="仿宋_GB2312"/>
          <w:color w:val="auto"/>
          <w:spacing w:val="0"/>
          <w:sz w:val="32"/>
          <w:szCs w:val="32"/>
        </w:rPr>
        <w:t>加强跨年度预算平衡。加强中期财政规划管理，</w:t>
      </w:r>
      <w:r>
        <w:rPr>
          <w:rFonts w:hint="eastAsia" w:cs="仿宋_GB2312"/>
          <w:color w:val="auto"/>
          <w:sz w:val="32"/>
          <w:szCs w:val="32"/>
        </w:rPr>
        <w:t>按照量入为出原则确定各项支出的三年支出限额，加强对年度预算编制的预期引导和总量控制，实现跨年度预算平衡</w:t>
      </w:r>
      <w:r>
        <w:rPr>
          <w:rFonts w:hint="eastAsia" w:hAnsi="仿宋_GB2312"/>
          <w:color w:val="auto"/>
          <w:spacing w:val="0"/>
          <w:sz w:val="32"/>
          <w:szCs w:val="32"/>
        </w:rPr>
        <w:t>。</w:t>
      </w:r>
    </w:p>
    <w:p>
      <w:pPr>
        <w:spacing w:beforeLines="0" w:afterLines="0" w:line="560" w:lineRule="exact"/>
        <w:ind w:firstLine="642"/>
        <w:rPr>
          <w:rFonts w:hint="eastAsia" w:hAnsi="仿宋_GB2312" w:cs="仿宋_GB2312"/>
          <w:color w:val="auto"/>
          <w:sz w:val="32"/>
          <w:szCs w:val="32"/>
        </w:rPr>
      </w:pPr>
      <w:r>
        <w:rPr>
          <w:rFonts w:hint="default" w:hAnsi="仿宋_GB2312"/>
          <w:b/>
          <w:color w:val="auto"/>
          <w:spacing w:val="0"/>
          <w:sz w:val="32"/>
          <w:szCs w:val="32"/>
        </w:rPr>
        <w:t>3.</w:t>
      </w:r>
      <w:r>
        <w:rPr>
          <w:rFonts w:hint="eastAsia" w:hAnsi="仿宋_GB2312" w:cs="仿宋_GB2312"/>
          <w:color w:val="auto"/>
          <w:spacing w:val="0"/>
          <w:sz w:val="32"/>
          <w:szCs w:val="32"/>
        </w:rPr>
        <w:t>推动预算绩效管理提质增效。将落实市委、市政府及新区党工委、管委会重大决策部署作为预算绩效管理重点，加强财政政策评估，增强政策可行性和财政可持续性。加强重点领域预算绩效管理，分类明确转移支付绩效管理重点，强化引导约束</w:t>
      </w:r>
      <w:r>
        <w:rPr>
          <w:rFonts w:hint="eastAsia" w:hAnsi="仿宋_GB2312" w:cs="仿宋_GB2312"/>
          <w:color w:val="auto"/>
          <w:sz w:val="32"/>
          <w:szCs w:val="32"/>
        </w:rPr>
        <w:t>。</w:t>
      </w:r>
    </w:p>
    <w:p>
      <w:pPr>
        <w:spacing w:beforeLines="0" w:afterLines="0" w:line="560" w:lineRule="exact"/>
        <w:ind w:firstLine="630"/>
        <w:rPr>
          <w:rFonts w:hint="eastAsia"/>
          <w:color w:val="auto"/>
          <w:sz w:val="32"/>
          <w:szCs w:val="24"/>
        </w:rPr>
      </w:pPr>
      <w:r>
        <w:rPr>
          <w:rFonts w:hint="default" w:hAnsi="仿宋_GB2312"/>
          <w:b/>
          <w:color w:val="auto"/>
          <w:sz w:val="32"/>
          <w:szCs w:val="32"/>
        </w:rPr>
        <w:t>4.</w:t>
      </w:r>
      <w:r>
        <w:rPr>
          <w:rFonts w:hint="eastAsia" w:hAnsi="仿宋_GB2312"/>
          <w:color w:val="auto"/>
          <w:sz w:val="32"/>
          <w:szCs w:val="32"/>
        </w:rPr>
        <w:t>健全债务风险防控预警机制。</w:t>
      </w:r>
      <w:r>
        <w:rPr>
          <w:rFonts w:hint="eastAsia" w:hAnsi="仿宋_GB2312"/>
          <w:color w:val="auto"/>
          <w:kern w:val="2"/>
          <w:sz w:val="32"/>
          <w:szCs w:val="32"/>
        </w:rPr>
        <w:t>依法依规做好专项债券有关工作，</w:t>
      </w:r>
      <w:r>
        <w:rPr>
          <w:rFonts w:hint="eastAsia" w:hAnsi="仿宋_GB2312"/>
          <w:color w:val="auto"/>
          <w:spacing w:val="0"/>
          <w:sz w:val="32"/>
          <w:szCs w:val="32"/>
        </w:rPr>
        <w:t>落实到期法定债券偿还责任，健全地方政府债务信息公开及债券信息披露机制</w:t>
      </w:r>
      <w:r>
        <w:rPr>
          <w:rFonts w:hint="default" w:hAnsi="仿宋_GB2312"/>
          <w:color w:val="auto"/>
          <w:spacing w:val="0"/>
          <w:sz w:val="32"/>
          <w:szCs w:val="32"/>
        </w:rPr>
        <w:t>。</w:t>
      </w:r>
      <w:r>
        <w:rPr>
          <w:rFonts w:hint="eastAsia" w:hAnsi="仿宋_GB2312" w:cs="仿宋_GB2312"/>
          <w:color w:val="auto"/>
          <w:spacing w:val="0"/>
          <w:sz w:val="32"/>
          <w:szCs w:val="32"/>
        </w:rPr>
        <w:t>防范化解隐性债务风险，</w:t>
      </w:r>
      <w:r>
        <w:rPr>
          <w:rFonts w:hint="eastAsia" w:hAnsi="仿宋_GB2312" w:cs="仿宋_GB2312"/>
          <w:color w:val="auto"/>
          <w:sz w:val="32"/>
          <w:szCs w:val="32"/>
        </w:rPr>
        <w:t>抓实抓好地方政府隐性债务工作，</w:t>
      </w:r>
      <w:r>
        <w:rPr>
          <w:rFonts w:hint="eastAsia" w:hAnsi="仿宋_GB2312" w:cs="仿宋_GB2312"/>
          <w:color w:val="auto"/>
          <w:spacing w:val="0"/>
          <w:sz w:val="32"/>
          <w:szCs w:val="32"/>
        </w:rPr>
        <w:t>完善常态化监控机制，进一步加强日常监督管理，</w:t>
      </w:r>
      <w:r>
        <w:rPr>
          <w:rFonts w:hint="eastAsia" w:hAnsi="仿宋_GB2312" w:cs="仿宋_GB2312"/>
          <w:color w:val="auto"/>
          <w:kern w:val="2"/>
          <w:sz w:val="32"/>
          <w:szCs w:val="32"/>
        </w:rPr>
        <w:t>有效前移风险防控关口</w:t>
      </w:r>
      <w:r>
        <w:rPr>
          <w:rFonts w:hint="eastAsia" w:hAnsi="仿宋_GB2312" w:cs="仿宋_GB2312"/>
          <w:color w:val="auto"/>
          <w:spacing w:val="0"/>
          <w:sz w:val="32"/>
          <w:szCs w:val="32"/>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ascii="黑体" w:hAnsi="黑体" w:eastAsia="黑体" w:cs="仿宋_GB2312"/>
          <w:color w:val="auto"/>
          <w:szCs w:val="32"/>
        </w:rPr>
      </w:pPr>
      <w:r>
        <w:rPr>
          <w:rFonts w:hint="eastAsia" w:ascii="黑体" w:hAnsi="黑体" w:eastAsia="黑体" w:cs="仿宋_GB2312"/>
          <w:color w:val="auto"/>
          <w:szCs w:val="32"/>
        </w:rPr>
        <w:t>五、202</w:t>
      </w:r>
      <w:r>
        <w:rPr>
          <w:rFonts w:hint="default" w:ascii="黑体" w:hAnsi="黑体" w:eastAsia="黑体" w:cs="仿宋_GB2312"/>
          <w:color w:val="auto"/>
          <w:szCs w:val="32"/>
        </w:rPr>
        <w:t>2</w:t>
      </w:r>
      <w:r>
        <w:rPr>
          <w:rFonts w:hint="eastAsia" w:ascii="黑体" w:hAnsi="黑体" w:eastAsia="黑体" w:cs="仿宋_GB2312"/>
          <w:color w:val="auto"/>
          <w:szCs w:val="32"/>
        </w:rPr>
        <w:t>年一般公共收支预算</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ascii="楷体" w:hAnsi="楷体" w:eastAsia="楷体" w:cs="仿宋_GB2312"/>
          <w:color w:val="auto"/>
          <w:szCs w:val="32"/>
        </w:rPr>
      </w:pPr>
      <w:r>
        <w:rPr>
          <w:rFonts w:hint="eastAsia" w:ascii="楷体" w:hAnsi="楷体" w:eastAsia="楷体" w:cs="仿宋_GB2312"/>
          <w:color w:val="auto"/>
          <w:szCs w:val="32"/>
        </w:rPr>
        <w:t>（一）一般公共预算收入</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cs="仿宋_GB2312"/>
          <w:color w:val="auto"/>
          <w:szCs w:val="32"/>
        </w:rPr>
      </w:pPr>
      <w:r>
        <w:rPr>
          <w:rFonts w:hint="eastAsia" w:cs="仿宋_GB2312"/>
          <w:color w:val="auto"/>
          <w:szCs w:val="32"/>
        </w:rPr>
        <w:t>2022年新区一般公共预算收入预计完成（下同）</w:t>
      </w:r>
      <w:r>
        <w:rPr>
          <w:rFonts w:hint="default" w:cs="仿宋_GB2312"/>
          <w:color w:val="auto"/>
          <w:szCs w:val="32"/>
        </w:rPr>
        <w:t>20.7</w:t>
      </w:r>
      <w:r>
        <w:rPr>
          <w:rFonts w:hint="eastAsia" w:cs="仿宋_GB2312"/>
          <w:color w:val="auto"/>
          <w:szCs w:val="32"/>
        </w:rPr>
        <w:t>亿元，比2021年</w:t>
      </w:r>
      <w:r>
        <w:rPr>
          <w:rFonts w:hint="eastAsia" w:cs="仿宋_GB2312"/>
          <w:color w:val="auto"/>
          <w:szCs w:val="32"/>
          <w:lang w:eastAsia="zh-CN"/>
        </w:rPr>
        <w:t>预计</w:t>
      </w:r>
      <w:r>
        <w:rPr>
          <w:rFonts w:hint="eastAsia" w:cs="仿宋_GB2312"/>
          <w:color w:val="auto"/>
          <w:szCs w:val="32"/>
        </w:rPr>
        <w:t>完成数（下同）</w:t>
      </w:r>
      <w:r>
        <w:rPr>
          <w:rFonts w:hint="default" w:cs="仿宋_GB2312"/>
          <w:color w:val="auto"/>
          <w:szCs w:val="32"/>
        </w:rPr>
        <w:t>减少0.13</w:t>
      </w:r>
      <w:r>
        <w:rPr>
          <w:rFonts w:hint="eastAsia" w:cs="仿宋_GB2312"/>
          <w:color w:val="auto"/>
          <w:szCs w:val="32"/>
        </w:rPr>
        <w:t>亿元，</w:t>
      </w:r>
      <w:r>
        <w:rPr>
          <w:rFonts w:hint="default" w:cs="仿宋_GB2312"/>
          <w:color w:val="auto"/>
          <w:szCs w:val="32"/>
        </w:rPr>
        <w:t>下降0.6</w:t>
      </w:r>
      <w:r>
        <w:rPr>
          <w:rFonts w:hint="eastAsia" w:cs="仿宋_GB2312"/>
          <w:color w:val="auto"/>
          <w:szCs w:val="32"/>
        </w:rPr>
        <w:t>%。一般公共预算收入加上上级补助收入</w:t>
      </w:r>
      <w:r>
        <w:rPr>
          <w:rFonts w:hint="default" w:cs="仿宋_GB2312"/>
          <w:color w:val="auto"/>
          <w:szCs w:val="32"/>
        </w:rPr>
        <w:t>35.1</w:t>
      </w:r>
      <w:r>
        <w:rPr>
          <w:rFonts w:hint="eastAsia" w:cs="仿宋_GB2312"/>
          <w:color w:val="auto"/>
          <w:szCs w:val="32"/>
        </w:rPr>
        <w:t>亿元、调入资金</w:t>
      </w:r>
      <w:r>
        <w:rPr>
          <w:rFonts w:hint="default" w:cs="仿宋_GB2312"/>
          <w:color w:val="auto"/>
          <w:szCs w:val="32"/>
        </w:rPr>
        <w:t>11.7</w:t>
      </w:r>
      <w:r>
        <w:rPr>
          <w:rFonts w:hint="eastAsia" w:cs="仿宋_GB2312"/>
          <w:color w:val="auto"/>
          <w:szCs w:val="32"/>
        </w:rPr>
        <w:t>亿元，总收入为67.5亿元。具体安排如下：</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cs="仿宋_GB2312"/>
          <w:color w:val="auto"/>
          <w:szCs w:val="32"/>
        </w:rPr>
      </w:pPr>
      <w:r>
        <w:rPr>
          <w:rFonts w:hint="eastAsia" w:cs="仿宋_GB2312"/>
          <w:color w:val="auto"/>
          <w:szCs w:val="32"/>
        </w:rPr>
        <w:t>1.增值税预计为</w:t>
      </w:r>
      <w:r>
        <w:rPr>
          <w:rFonts w:hint="default" w:cs="仿宋_GB2312"/>
          <w:color w:val="auto"/>
          <w:szCs w:val="32"/>
        </w:rPr>
        <w:t>7.6</w:t>
      </w:r>
      <w:r>
        <w:rPr>
          <w:rFonts w:hint="eastAsia" w:cs="仿宋_GB2312"/>
          <w:color w:val="auto"/>
          <w:szCs w:val="32"/>
        </w:rPr>
        <w:t>亿元，增长</w:t>
      </w:r>
      <w:r>
        <w:rPr>
          <w:rFonts w:hint="default" w:cs="仿宋_GB2312"/>
          <w:color w:val="auto"/>
          <w:szCs w:val="32"/>
        </w:rPr>
        <w:t>1.6</w:t>
      </w:r>
      <w:r>
        <w:rPr>
          <w:rFonts w:hint="eastAsia" w:cs="仿宋_GB2312"/>
          <w:color w:val="auto"/>
          <w:szCs w:val="32"/>
        </w:rPr>
        <w:t>%</w:t>
      </w:r>
      <w:r>
        <w:rPr>
          <w:rFonts w:hint="eastAsia" w:cs="仿宋_GB2312"/>
          <w:color w:val="auto"/>
          <w:szCs w:val="32"/>
          <w:lang w:eastAsia="zh-CN"/>
        </w:rPr>
        <w:t>，</w:t>
      </w:r>
      <w:r>
        <w:rPr>
          <w:rFonts w:hint="eastAsia" w:cs="仿宋_GB2312"/>
          <w:color w:val="auto"/>
          <w:szCs w:val="32"/>
        </w:rPr>
        <w:t>主要是</w:t>
      </w:r>
      <w:r>
        <w:rPr>
          <w:rFonts w:hint="eastAsia" w:cs="仿宋_GB2312"/>
          <w:color w:val="auto"/>
          <w:szCs w:val="32"/>
          <w:lang w:eastAsia="zh-CN"/>
        </w:rPr>
        <w:t>综合</w:t>
      </w:r>
      <w:r>
        <w:rPr>
          <w:rFonts w:hint="eastAsia" w:cs="仿宋_GB2312"/>
          <w:color w:val="auto"/>
          <w:szCs w:val="32"/>
        </w:rPr>
        <w:t>考虑</w:t>
      </w:r>
      <w:r>
        <w:rPr>
          <w:rFonts w:hint="eastAsia" w:cs="仿宋_GB2312"/>
          <w:color w:val="auto"/>
          <w:szCs w:val="32"/>
          <w:lang w:eastAsia="zh-CN"/>
        </w:rPr>
        <w:t>国际大宗商品波动导致现税有所下降以及适度加大</w:t>
      </w:r>
      <w:r>
        <w:rPr>
          <w:rFonts w:hint="eastAsia" w:cs="仿宋_GB2312"/>
          <w:color w:val="auto"/>
          <w:szCs w:val="32"/>
        </w:rPr>
        <w:t>免抵调库</w:t>
      </w:r>
      <w:r>
        <w:rPr>
          <w:rFonts w:hint="eastAsia" w:cs="仿宋_GB2312"/>
          <w:color w:val="auto"/>
          <w:szCs w:val="32"/>
          <w:lang w:eastAsia="zh-CN"/>
        </w:rPr>
        <w:t>规模等因素</w:t>
      </w:r>
      <w:r>
        <w:rPr>
          <w:rFonts w:hint="eastAsia" w:cs="仿宋_GB2312"/>
          <w:color w:val="auto"/>
          <w:szCs w:val="32"/>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cs="仿宋_GB2312"/>
          <w:color w:val="auto"/>
          <w:szCs w:val="32"/>
        </w:rPr>
      </w:pPr>
      <w:r>
        <w:rPr>
          <w:rFonts w:hint="eastAsia" w:cs="仿宋_GB2312"/>
          <w:color w:val="auto"/>
          <w:szCs w:val="32"/>
        </w:rPr>
        <w:t>2.企业所得税预计为</w:t>
      </w:r>
      <w:r>
        <w:rPr>
          <w:rFonts w:hint="default" w:cs="仿宋_GB2312"/>
          <w:color w:val="auto"/>
          <w:szCs w:val="32"/>
        </w:rPr>
        <w:t>5.4</w:t>
      </w:r>
      <w:r>
        <w:rPr>
          <w:rFonts w:hint="eastAsia" w:cs="仿宋_GB2312"/>
          <w:color w:val="auto"/>
          <w:szCs w:val="32"/>
        </w:rPr>
        <w:t>亿元，增长</w:t>
      </w:r>
      <w:r>
        <w:rPr>
          <w:rFonts w:hint="default" w:cs="仿宋_GB2312"/>
          <w:color w:val="auto"/>
          <w:szCs w:val="32"/>
        </w:rPr>
        <w:t>8.5</w:t>
      </w:r>
      <w:r>
        <w:rPr>
          <w:rFonts w:hint="eastAsia" w:cs="仿宋_GB2312"/>
          <w:color w:val="auto"/>
          <w:szCs w:val="32"/>
        </w:rPr>
        <w:t>%</w:t>
      </w:r>
      <w:r>
        <w:rPr>
          <w:rFonts w:hint="eastAsia" w:cs="仿宋_GB2312"/>
          <w:color w:val="auto"/>
          <w:szCs w:val="32"/>
          <w:lang w:eastAsia="zh-CN"/>
        </w:rPr>
        <w:t>，</w:t>
      </w:r>
      <w:r>
        <w:rPr>
          <w:rFonts w:hint="eastAsia" w:cs="仿宋_GB2312"/>
          <w:color w:val="auto"/>
          <w:szCs w:val="32"/>
        </w:rPr>
        <w:t>主要是预计新引进企业税源有所增加。</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cs="仿宋_GB2312"/>
          <w:color w:val="auto"/>
          <w:szCs w:val="32"/>
        </w:rPr>
      </w:pPr>
      <w:r>
        <w:rPr>
          <w:rFonts w:hint="eastAsia" w:cs="仿宋_GB2312"/>
          <w:color w:val="auto"/>
          <w:szCs w:val="32"/>
        </w:rPr>
        <w:t>3.个人所得税预计为</w:t>
      </w:r>
      <w:r>
        <w:rPr>
          <w:rFonts w:hint="default" w:cs="仿宋_GB2312"/>
          <w:color w:val="auto"/>
          <w:szCs w:val="32"/>
        </w:rPr>
        <w:t>1</w:t>
      </w:r>
      <w:r>
        <w:rPr>
          <w:rFonts w:hint="eastAsia" w:cs="仿宋_GB2312"/>
          <w:color w:val="auto"/>
          <w:szCs w:val="32"/>
        </w:rPr>
        <w:t>亿元，</w:t>
      </w:r>
      <w:r>
        <w:rPr>
          <w:rFonts w:hint="default" w:cs="仿宋_GB2312"/>
          <w:color w:val="auto"/>
          <w:szCs w:val="32"/>
        </w:rPr>
        <w:t>下降10.5</w:t>
      </w:r>
      <w:r>
        <w:rPr>
          <w:rFonts w:hint="eastAsia" w:cs="仿宋_GB2312"/>
          <w:color w:val="auto"/>
          <w:szCs w:val="32"/>
        </w:rPr>
        <w:t>%</w:t>
      </w:r>
      <w:r>
        <w:rPr>
          <w:rFonts w:hint="eastAsia" w:cs="仿宋_GB2312"/>
          <w:color w:val="auto"/>
          <w:szCs w:val="32"/>
          <w:lang w:eastAsia="zh-CN"/>
        </w:rPr>
        <w:t>，</w:t>
      </w:r>
      <w:r>
        <w:rPr>
          <w:rFonts w:hint="eastAsia" w:cs="仿宋_GB2312"/>
          <w:color w:val="auto"/>
          <w:szCs w:val="32"/>
        </w:rPr>
        <w:t>主要是</w:t>
      </w:r>
      <w:r>
        <w:rPr>
          <w:rFonts w:hint="default" w:cs="仿宋_GB2312"/>
          <w:color w:val="auto"/>
          <w:szCs w:val="32"/>
        </w:rPr>
        <w:t>减少上年股权出让导致的大额一次性收入</w:t>
      </w:r>
      <w:r>
        <w:rPr>
          <w:rFonts w:hint="eastAsia" w:cs="仿宋_GB2312"/>
          <w:color w:val="auto"/>
          <w:szCs w:val="32"/>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cs="仿宋_GB2312"/>
          <w:color w:val="auto"/>
          <w:szCs w:val="32"/>
        </w:rPr>
      </w:pPr>
      <w:r>
        <w:rPr>
          <w:rFonts w:hint="eastAsia" w:cs="仿宋_GB2312"/>
          <w:color w:val="auto"/>
          <w:szCs w:val="32"/>
        </w:rPr>
        <w:t>4.城市维护建设税预计为</w:t>
      </w:r>
      <w:r>
        <w:rPr>
          <w:rFonts w:hint="default" w:cs="仿宋_GB2312"/>
          <w:color w:val="auto"/>
          <w:szCs w:val="32"/>
        </w:rPr>
        <w:t>1.7</w:t>
      </w:r>
      <w:r>
        <w:rPr>
          <w:rFonts w:hint="eastAsia" w:cs="仿宋_GB2312"/>
          <w:color w:val="auto"/>
          <w:szCs w:val="32"/>
        </w:rPr>
        <w:t>亿元，</w:t>
      </w:r>
      <w:r>
        <w:rPr>
          <w:rFonts w:hint="default" w:cs="仿宋_GB2312"/>
          <w:color w:val="auto"/>
          <w:szCs w:val="32"/>
        </w:rPr>
        <w:t>下降9.6</w:t>
      </w:r>
      <w:r>
        <w:rPr>
          <w:rFonts w:hint="eastAsia" w:cs="仿宋_GB2312"/>
          <w:color w:val="auto"/>
          <w:szCs w:val="32"/>
        </w:rPr>
        <w:t>%</w:t>
      </w:r>
      <w:r>
        <w:rPr>
          <w:rFonts w:hint="eastAsia" w:cs="仿宋_GB2312"/>
          <w:color w:val="auto"/>
          <w:szCs w:val="32"/>
          <w:lang w:eastAsia="zh-CN"/>
        </w:rPr>
        <w:t>，主要是随增值税现税同步减少</w:t>
      </w:r>
      <w:r>
        <w:rPr>
          <w:rFonts w:hint="eastAsia" w:cs="仿宋_GB2312"/>
          <w:color w:val="auto"/>
          <w:szCs w:val="32"/>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cs="仿宋_GB2312"/>
          <w:color w:val="auto"/>
          <w:szCs w:val="32"/>
        </w:rPr>
      </w:pPr>
      <w:r>
        <w:rPr>
          <w:rFonts w:hint="eastAsia" w:cs="仿宋_GB2312"/>
          <w:color w:val="auto"/>
          <w:szCs w:val="32"/>
        </w:rPr>
        <w:t>5.土地增值税预计为</w:t>
      </w:r>
      <w:r>
        <w:rPr>
          <w:rFonts w:hint="default" w:cs="仿宋_GB2312"/>
          <w:color w:val="auto"/>
          <w:szCs w:val="32"/>
        </w:rPr>
        <w:t>2.3</w:t>
      </w:r>
      <w:r>
        <w:rPr>
          <w:rFonts w:hint="eastAsia" w:cs="仿宋_GB2312"/>
          <w:color w:val="auto"/>
          <w:szCs w:val="32"/>
        </w:rPr>
        <w:t>亿元，增长</w:t>
      </w:r>
      <w:r>
        <w:rPr>
          <w:rFonts w:hint="default" w:cs="仿宋_GB2312"/>
          <w:color w:val="auto"/>
          <w:szCs w:val="32"/>
        </w:rPr>
        <w:t>116.3</w:t>
      </w:r>
      <w:r>
        <w:rPr>
          <w:rFonts w:hint="eastAsia" w:cs="仿宋_GB2312"/>
          <w:color w:val="auto"/>
          <w:szCs w:val="32"/>
        </w:rPr>
        <w:t>%。主要是</w:t>
      </w:r>
      <w:r>
        <w:rPr>
          <w:rFonts w:hint="eastAsia" w:cs="仿宋_GB2312"/>
          <w:color w:val="auto"/>
          <w:szCs w:val="32"/>
          <w:lang w:eastAsia="zh-CN"/>
        </w:rPr>
        <w:t>部分企业</w:t>
      </w:r>
      <w:r>
        <w:rPr>
          <w:rFonts w:hint="default" w:cs="仿宋_GB2312"/>
          <w:color w:val="auto"/>
          <w:szCs w:val="32"/>
        </w:rPr>
        <w:t>原计划2021年缴纳的土地增值税延迟缴纳</w:t>
      </w:r>
      <w:r>
        <w:rPr>
          <w:rFonts w:hint="eastAsia" w:cs="仿宋_GB2312"/>
          <w:color w:val="auto"/>
          <w:szCs w:val="32"/>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cs="仿宋_GB2312"/>
          <w:color w:val="auto"/>
          <w:szCs w:val="32"/>
        </w:rPr>
      </w:pPr>
      <w:r>
        <w:rPr>
          <w:rFonts w:hint="eastAsia" w:cs="仿宋_GB2312"/>
          <w:color w:val="auto"/>
          <w:szCs w:val="32"/>
        </w:rPr>
        <w:t>6.其他各税种预计为</w:t>
      </w:r>
      <w:r>
        <w:rPr>
          <w:rFonts w:hint="default" w:cs="仿宋_GB2312"/>
          <w:color w:val="auto"/>
          <w:szCs w:val="32"/>
        </w:rPr>
        <w:t>1.8</w:t>
      </w:r>
      <w:r>
        <w:rPr>
          <w:rFonts w:hint="eastAsia" w:cs="仿宋_GB2312"/>
          <w:color w:val="auto"/>
          <w:szCs w:val="32"/>
        </w:rPr>
        <w:t>亿元，</w:t>
      </w:r>
      <w:r>
        <w:rPr>
          <w:rFonts w:hint="default" w:cs="仿宋_GB2312"/>
          <w:color w:val="auto"/>
          <w:szCs w:val="32"/>
        </w:rPr>
        <w:t>下降8</w:t>
      </w:r>
      <w:r>
        <w:rPr>
          <w:rFonts w:hint="eastAsia" w:cs="仿宋_GB2312"/>
          <w:color w:val="auto"/>
          <w:szCs w:val="32"/>
        </w:rPr>
        <w:t>%，主要是</w:t>
      </w:r>
      <w:r>
        <w:rPr>
          <w:rFonts w:hint="default" w:cs="仿宋_GB2312"/>
          <w:color w:val="auto"/>
          <w:szCs w:val="32"/>
        </w:rPr>
        <w:t>受房地产政策调整影响，</w:t>
      </w:r>
      <w:r>
        <w:rPr>
          <w:rFonts w:hint="eastAsia" w:cs="仿宋_GB2312"/>
          <w:color w:val="auto"/>
          <w:szCs w:val="32"/>
        </w:rPr>
        <w:t>契税等相关税收预计</w:t>
      </w:r>
      <w:r>
        <w:rPr>
          <w:rFonts w:hint="default" w:cs="仿宋_GB2312"/>
          <w:color w:val="auto"/>
          <w:szCs w:val="32"/>
        </w:rPr>
        <w:t>减少</w:t>
      </w:r>
      <w:r>
        <w:rPr>
          <w:rFonts w:hint="eastAsia" w:cs="仿宋_GB2312"/>
          <w:color w:val="auto"/>
          <w:szCs w:val="32"/>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cs="仿宋_GB2312"/>
          <w:color w:val="auto"/>
          <w:szCs w:val="32"/>
        </w:rPr>
      </w:pPr>
      <w:r>
        <w:rPr>
          <w:rFonts w:hint="eastAsia" w:cs="仿宋_GB2312"/>
          <w:color w:val="auto"/>
          <w:szCs w:val="32"/>
        </w:rPr>
        <w:t>7.非税收入预计为</w:t>
      </w:r>
      <w:r>
        <w:rPr>
          <w:rFonts w:hint="default" w:cs="仿宋_GB2312"/>
          <w:color w:val="auto"/>
          <w:szCs w:val="32"/>
        </w:rPr>
        <w:t>1</w:t>
      </w:r>
      <w:r>
        <w:rPr>
          <w:rFonts w:hint="eastAsia" w:cs="仿宋_GB2312"/>
          <w:color w:val="auto"/>
          <w:szCs w:val="32"/>
        </w:rPr>
        <w:t>亿元，下降</w:t>
      </w:r>
      <w:r>
        <w:rPr>
          <w:rFonts w:hint="default" w:cs="仿宋_GB2312"/>
          <w:color w:val="auto"/>
          <w:szCs w:val="32"/>
        </w:rPr>
        <w:t>5</w:t>
      </w:r>
      <w:r>
        <w:rPr>
          <w:rFonts w:hint="eastAsia" w:cs="仿宋_GB2312"/>
          <w:color w:val="auto"/>
          <w:szCs w:val="32"/>
          <w:lang w:val="en-US" w:eastAsia="zh-CN"/>
        </w:rPr>
        <w:t>9.4</w:t>
      </w:r>
      <w:r>
        <w:rPr>
          <w:rFonts w:hint="eastAsia" w:cs="仿宋_GB2312"/>
          <w:color w:val="auto"/>
          <w:szCs w:val="32"/>
        </w:rPr>
        <w:t>%</w:t>
      </w:r>
      <w:r>
        <w:rPr>
          <w:rFonts w:hint="eastAsia" w:cs="仿宋_GB2312"/>
          <w:color w:val="auto"/>
          <w:szCs w:val="32"/>
          <w:lang w:eastAsia="zh-CN"/>
        </w:rPr>
        <w:t>，</w:t>
      </w:r>
      <w:r>
        <w:rPr>
          <w:rFonts w:hint="eastAsia" w:cs="仿宋_GB2312"/>
          <w:color w:val="auto"/>
          <w:szCs w:val="32"/>
        </w:rPr>
        <w:t>主要是预计政府住房基金收入有所减少。</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rPr>
      </w:pPr>
      <w:r>
        <w:rPr>
          <w:rFonts w:hint="eastAsia" w:cs="仿宋_GB2312"/>
          <w:color w:val="auto"/>
          <w:szCs w:val="32"/>
        </w:rPr>
        <w:t>8.转移性收入预计为</w:t>
      </w:r>
      <w:r>
        <w:rPr>
          <w:rFonts w:hint="default" w:cs="仿宋_GB2312"/>
          <w:color w:val="auto"/>
          <w:szCs w:val="32"/>
        </w:rPr>
        <w:t>46.8</w:t>
      </w:r>
      <w:r>
        <w:rPr>
          <w:rFonts w:hint="eastAsia" w:cs="仿宋_GB2312"/>
          <w:color w:val="auto"/>
          <w:szCs w:val="32"/>
        </w:rPr>
        <w:t>亿元，下降</w:t>
      </w:r>
      <w:r>
        <w:rPr>
          <w:rFonts w:hint="default" w:cs="仿宋_GB2312"/>
          <w:color w:val="auto"/>
          <w:szCs w:val="32"/>
        </w:rPr>
        <w:t>12.3</w:t>
      </w:r>
      <w:r>
        <w:rPr>
          <w:rFonts w:hint="eastAsia" w:cs="仿宋_GB2312"/>
          <w:color w:val="auto"/>
          <w:szCs w:val="32"/>
        </w:rPr>
        <w:t>%</w:t>
      </w:r>
      <w:r>
        <w:rPr>
          <w:rFonts w:hint="eastAsia" w:cs="仿宋_GB2312"/>
          <w:color w:val="auto"/>
          <w:szCs w:val="32"/>
          <w:lang w:eastAsia="zh-CN"/>
        </w:rPr>
        <w:t>，</w:t>
      </w:r>
      <w:r>
        <w:rPr>
          <w:rFonts w:hint="eastAsia" w:cs="仿宋_GB2312"/>
          <w:color w:val="auto"/>
          <w:szCs w:val="32"/>
        </w:rPr>
        <w:t>其中：返还性收入</w:t>
      </w:r>
      <w:r>
        <w:rPr>
          <w:rFonts w:hint="default" w:cs="仿宋_GB2312"/>
          <w:color w:val="auto"/>
          <w:szCs w:val="32"/>
        </w:rPr>
        <w:t>1.2</w:t>
      </w:r>
      <w:r>
        <w:rPr>
          <w:rFonts w:hint="eastAsia" w:cs="仿宋_GB2312"/>
          <w:color w:val="auto"/>
          <w:szCs w:val="32"/>
        </w:rPr>
        <w:t>亿元</w:t>
      </w:r>
      <w:r>
        <w:rPr>
          <w:rFonts w:hint="eastAsia" w:cs="仿宋_GB2312"/>
          <w:color w:val="auto"/>
          <w:szCs w:val="32"/>
          <w:lang w:eastAsia="zh-CN"/>
        </w:rPr>
        <w:t>、</w:t>
      </w:r>
      <w:r>
        <w:rPr>
          <w:rFonts w:hint="eastAsia" w:cs="仿宋_GB2312"/>
          <w:color w:val="auto"/>
          <w:szCs w:val="32"/>
        </w:rPr>
        <w:t>一般性转移支付收入</w:t>
      </w:r>
      <w:r>
        <w:rPr>
          <w:rFonts w:hint="default" w:cs="仿宋_GB2312"/>
          <w:color w:val="auto"/>
          <w:szCs w:val="32"/>
        </w:rPr>
        <w:t>17.4</w:t>
      </w:r>
      <w:r>
        <w:rPr>
          <w:rFonts w:hint="eastAsia" w:cs="仿宋_GB2312"/>
          <w:color w:val="auto"/>
          <w:szCs w:val="32"/>
        </w:rPr>
        <w:t>亿元</w:t>
      </w:r>
      <w:r>
        <w:rPr>
          <w:rFonts w:hint="eastAsia" w:cs="仿宋_GB2312"/>
          <w:color w:val="auto"/>
          <w:szCs w:val="32"/>
          <w:lang w:eastAsia="zh-CN"/>
        </w:rPr>
        <w:t>、</w:t>
      </w:r>
      <w:r>
        <w:rPr>
          <w:rFonts w:hint="eastAsia" w:cs="仿宋_GB2312"/>
          <w:color w:val="auto"/>
          <w:szCs w:val="32"/>
        </w:rPr>
        <w:t>专项转移支付收入</w:t>
      </w:r>
      <w:r>
        <w:rPr>
          <w:rFonts w:hint="default" w:cs="仿宋_GB2312"/>
          <w:color w:val="auto"/>
          <w:szCs w:val="32"/>
        </w:rPr>
        <w:t>16.5</w:t>
      </w:r>
      <w:r>
        <w:rPr>
          <w:rFonts w:hint="eastAsia" w:cs="仿宋_GB2312"/>
          <w:color w:val="auto"/>
          <w:szCs w:val="32"/>
        </w:rPr>
        <w:t>亿元</w:t>
      </w:r>
      <w:r>
        <w:rPr>
          <w:rFonts w:hint="eastAsia" w:cs="仿宋_GB2312"/>
          <w:color w:val="auto"/>
          <w:szCs w:val="32"/>
          <w:lang w:eastAsia="zh-CN"/>
        </w:rPr>
        <w:t>、</w:t>
      </w:r>
      <w:r>
        <w:rPr>
          <w:rFonts w:hint="eastAsia"/>
          <w:color w:val="auto"/>
        </w:rPr>
        <w:t>调入资金</w:t>
      </w:r>
      <w:r>
        <w:rPr>
          <w:rFonts w:hint="default" w:cs="仿宋_GB2312"/>
          <w:color w:val="auto"/>
          <w:szCs w:val="32"/>
        </w:rPr>
        <w:t>11.7</w:t>
      </w:r>
      <w:r>
        <w:rPr>
          <w:rFonts w:hint="eastAsia"/>
          <w:color w:val="auto"/>
        </w:rPr>
        <w:t>亿元，主要是调入政府性基金</w:t>
      </w:r>
      <w:r>
        <w:rPr>
          <w:rFonts w:hint="default" w:cs="仿宋_GB2312"/>
          <w:color w:val="auto"/>
          <w:szCs w:val="32"/>
        </w:rPr>
        <w:t>8.6</w:t>
      </w:r>
      <w:r>
        <w:rPr>
          <w:rFonts w:hint="eastAsia"/>
          <w:color w:val="auto"/>
        </w:rPr>
        <w:t>亿元，盘活存量资金</w:t>
      </w:r>
      <w:r>
        <w:rPr>
          <w:rFonts w:hint="default" w:cs="仿宋_GB2312"/>
          <w:color w:val="auto"/>
          <w:szCs w:val="32"/>
        </w:rPr>
        <w:t>0.4</w:t>
      </w:r>
      <w:r>
        <w:rPr>
          <w:rFonts w:hint="eastAsia"/>
          <w:color w:val="auto"/>
        </w:rPr>
        <w:t>亿元，调入预算稳定调节基金</w:t>
      </w:r>
      <w:r>
        <w:rPr>
          <w:rFonts w:hint="default" w:cs="仿宋_GB2312"/>
          <w:color w:val="auto"/>
          <w:szCs w:val="32"/>
        </w:rPr>
        <w:t>2.8</w:t>
      </w:r>
      <w:r>
        <w:rPr>
          <w:rFonts w:hint="eastAsia"/>
          <w:color w:val="auto"/>
        </w:rPr>
        <w:t>亿元。</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ascii="楷体" w:hAnsi="楷体" w:eastAsia="楷体" w:cs="仿宋_GB2312"/>
          <w:color w:val="auto"/>
          <w:szCs w:val="32"/>
        </w:rPr>
      </w:pPr>
      <w:r>
        <w:rPr>
          <w:rFonts w:hint="eastAsia" w:ascii="楷体" w:hAnsi="楷体" w:eastAsia="楷体" w:cs="仿宋_GB2312"/>
          <w:color w:val="auto"/>
          <w:szCs w:val="32"/>
        </w:rPr>
        <w:t>（二）一般公共预算支出</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rPr>
      </w:pPr>
      <w:r>
        <w:rPr>
          <w:rFonts w:hint="eastAsia"/>
          <w:color w:val="auto"/>
          <w:highlight w:val="none"/>
        </w:rPr>
        <w:t>根据“标准科学、约束有力”和“收支平衡”的原则，</w:t>
      </w:r>
      <w:r>
        <w:rPr>
          <w:rFonts w:hint="eastAsia"/>
          <w:color w:val="auto"/>
        </w:rPr>
        <w:t>202</w:t>
      </w:r>
      <w:r>
        <w:rPr>
          <w:rFonts w:hint="default"/>
          <w:color w:val="auto"/>
        </w:rPr>
        <w:t>2</w:t>
      </w:r>
      <w:r>
        <w:rPr>
          <w:rFonts w:hint="eastAsia"/>
          <w:color w:val="auto"/>
        </w:rPr>
        <w:t>年新区一般公共预算总收入为</w:t>
      </w:r>
      <w:r>
        <w:rPr>
          <w:rFonts w:hint="default"/>
          <w:color w:val="auto"/>
        </w:rPr>
        <w:t>67.5</w:t>
      </w:r>
      <w:r>
        <w:rPr>
          <w:rFonts w:hint="eastAsia"/>
          <w:color w:val="auto"/>
        </w:rPr>
        <w:t>亿元，相应安排一般公共预算总支出</w:t>
      </w:r>
      <w:r>
        <w:rPr>
          <w:rFonts w:hint="default"/>
          <w:color w:val="auto"/>
        </w:rPr>
        <w:t>67.5</w:t>
      </w:r>
      <w:r>
        <w:rPr>
          <w:rFonts w:hint="eastAsia"/>
          <w:color w:val="auto"/>
        </w:rPr>
        <w:t>亿元</w:t>
      </w:r>
      <w:r>
        <w:rPr>
          <w:rFonts w:hint="eastAsia"/>
          <w:color w:val="auto"/>
          <w:lang w:eastAsia="zh-CN"/>
        </w:rPr>
        <w:t>，</w:t>
      </w:r>
      <w:r>
        <w:rPr>
          <w:rFonts w:hint="eastAsia"/>
          <w:color w:val="auto"/>
        </w:rPr>
        <w:t>其中：一般公共预算支出</w:t>
      </w:r>
      <w:r>
        <w:rPr>
          <w:rFonts w:hint="default"/>
          <w:color w:val="auto"/>
        </w:rPr>
        <w:t>63.7</w:t>
      </w:r>
      <w:r>
        <w:rPr>
          <w:rFonts w:hint="eastAsia"/>
          <w:color w:val="auto"/>
        </w:rPr>
        <w:t>亿元，上解支出3.8亿元。</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rPr>
      </w:pPr>
      <w:r>
        <w:rPr>
          <w:color w:val="auto"/>
        </w:rPr>
        <w:t>20</w:t>
      </w:r>
      <w:r>
        <w:rPr>
          <w:rFonts w:hint="eastAsia"/>
          <w:color w:val="auto"/>
        </w:rPr>
        <w:t>2</w:t>
      </w:r>
      <w:r>
        <w:rPr>
          <w:rFonts w:hint="default"/>
          <w:color w:val="auto"/>
        </w:rPr>
        <w:t>2</w:t>
      </w:r>
      <w:r>
        <w:rPr>
          <w:rFonts w:hint="eastAsia"/>
          <w:color w:val="auto"/>
        </w:rPr>
        <w:t>年新区一般公共预算支出主要项目安排如下：</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rPr>
      </w:pPr>
      <w:r>
        <w:rPr>
          <w:color w:val="auto"/>
        </w:rPr>
        <w:t>1.</w:t>
      </w:r>
      <w:r>
        <w:rPr>
          <w:rFonts w:hint="eastAsia"/>
          <w:color w:val="auto"/>
        </w:rPr>
        <w:t>一般公共服务支出，反映政府提供一般公共服务的支出，计划安排5</w:t>
      </w:r>
      <w:r>
        <w:rPr>
          <w:rFonts w:hint="default"/>
          <w:color w:val="auto"/>
        </w:rPr>
        <w:t>.5</w:t>
      </w:r>
      <w:r>
        <w:rPr>
          <w:rFonts w:hint="eastAsia"/>
          <w:color w:val="auto"/>
        </w:rPr>
        <w:t>亿元，</w:t>
      </w:r>
      <w:r>
        <w:rPr>
          <w:rFonts w:hint="default"/>
          <w:color w:val="auto"/>
        </w:rPr>
        <w:t>下降3.6</w:t>
      </w:r>
      <w:r>
        <w:rPr>
          <w:color w:val="auto"/>
        </w:rPr>
        <w:t>%</w:t>
      </w:r>
      <w:r>
        <w:rPr>
          <w:rFonts w:hint="eastAsia"/>
          <w:color w:val="auto"/>
          <w:lang w:eastAsia="zh-CN"/>
        </w:rPr>
        <w:t>，</w:t>
      </w:r>
      <w:r>
        <w:rPr>
          <w:rFonts w:hint="eastAsia"/>
          <w:color w:val="auto"/>
        </w:rPr>
        <w:t>主要是智慧大鹏等项目</w:t>
      </w:r>
      <w:r>
        <w:rPr>
          <w:rFonts w:hint="eastAsia"/>
          <w:color w:val="auto"/>
          <w:lang w:eastAsia="zh-CN"/>
        </w:rPr>
        <w:t>尾款</w:t>
      </w:r>
      <w:r>
        <w:rPr>
          <w:rFonts w:hint="default"/>
          <w:color w:val="auto"/>
        </w:rPr>
        <w:t>减少</w:t>
      </w:r>
      <w:r>
        <w:rPr>
          <w:rFonts w:hint="eastAsia"/>
          <w:color w:val="auto"/>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rPr>
      </w:pPr>
      <w:r>
        <w:rPr>
          <w:rFonts w:hint="eastAsia"/>
          <w:color w:val="auto"/>
        </w:rPr>
        <w:t>2</w:t>
      </w:r>
      <w:r>
        <w:rPr>
          <w:color w:val="auto"/>
        </w:rPr>
        <w:t>.</w:t>
      </w:r>
      <w:r>
        <w:rPr>
          <w:rFonts w:hint="eastAsia"/>
          <w:color w:val="auto"/>
        </w:rPr>
        <w:t>国防支出，反映政府用于现役部队建设与管理方面的支出，计划安排1</w:t>
      </w:r>
      <w:r>
        <w:rPr>
          <w:rFonts w:hint="default"/>
          <w:color w:val="auto"/>
        </w:rPr>
        <w:t>11</w:t>
      </w:r>
      <w:r>
        <w:rPr>
          <w:rFonts w:hint="eastAsia"/>
          <w:color w:val="auto"/>
        </w:rPr>
        <w:t>万元，</w:t>
      </w:r>
      <w:r>
        <w:rPr>
          <w:rFonts w:hint="default"/>
          <w:color w:val="auto"/>
        </w:rPr>
        <w:t>下降</w:t>
      </w:r>
      <w:r>
        <w:rPr>
          <w:rFonts w:hint="eastAsia"/>
          <w:color w:val="auto"/>
          <w:lang w:val="en-US" w:eastAsia="zh-CN"/>
        </w:rPr>
        <w:t>9.1</w:t>
      </w:r>
      <w:r>
        <w:rPr>
          <w:color w:val="auto"/>
        </w:rPr>
        <w:t>%</w:t>
      </w:r>
      <w:r>
        <w:rPr>
          <w:rFonts w:hint="eastAsia"/>
          <w:color w:val="auto"/>
          <w:lang w:eastAsia="zh-CN"/>
        </w:rPr>
        <w:t>，</w:t>
      </w:r>
      <w:r>
        <w:rPr>
          <w:rFonts w:hint="eastAsia"/>
          <w:color w:val="auto"/>
        </w:rPr>
        <w:t>主要是</w:t>
      </w:r>
      <w:r>
        <w:rPr>
          <w:rFonts w:hint="eastAsia"/>
          <w:color w:val="auto"/>
          <w:lang w:eastAsia="zh-CN"/>
        </w:rPr>
        <w:t>据实保障</w:t>
      </w:r>
      <w:r>
        <w:rPr>
          <w:rFonts w:hint="eastAsia"/>
          <w:color w:val="auto"/>
        </w:rPr>
        <w:t>征兵工作经费。</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rPr>
      </w:pPr>
      <w:r>
        <w:rPr>
          <w:rFonts w:hint="eastAsia"/>
          <w:color w:val="auto"/>
        </w:rPr>
        <w:t>3</w:t>
      </w:r>
      <w:r>
        <w:rPr>
          <w:color w:val="auto"/>
        </w:rPr>
        <w:t>.</w:t>
      </w:r>
      <w:r>
        <w:rPr>
          <w:rFonts w:hint="eastAsia"/>
          <w:color w:val="auto"/>
        </w:rPr>
        <w:t>公共安全支出，反映政府维护社会公共安全方面的支出，计划安排4</w:t>
      </w:r>
      <w:r>
        <w:rPr>
          <w:rFonts w:hint="default"/>
          <w:color w:val="auto"/>
        </w:rPr>
        <w:t>.1</w:t>
      </w:r>
      <w:r>
        <w:rPr>
          <w:rFonts w:hint="eastAsia"/>
          <w:color w:val="auto"/>
        </w:rPr>
        <w:t>亿元，与上年基本持平。</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rPr>
      </w:pPr>
      <w:r>
        <w:rPr>
          <w:rFonts w:hint="eastAsia"/>
          <w:color w:val="auto"/>
        </w:rPr>
        <w:t>4</w:t>
      </w:r>
      <w:r>
        <w:rPr>
          <w:color w:val="auto"/>
        </w:rPr>
        <w:t>.</w:t>
      </w:r>
      <w:r>
        <w:rPr>
          <w:rFonts w:hint="eastAsia"/>
          <w:color w:val="auto"/>
        </w:rPr>
        <w:t>教育支出，反映政府教育事务支出，计划安排</w:t>
      </w:r>
      <w:r>
        <w:rPr>
          <w:rFonts w:hint="default"/>
          <w:color w:val="auto"/>
        </w:rPr>
        <w:t>10.6</w:t>
      </w:r>
      <w:r>
        <w:rPr>
          <w:rFonts w:hint="eastAsia"/>
          <w:color w:val="auto"/>
        </w:rPr>
        <w:t>亿元，增长</w:t>
      </w:r>
      <w:r>
        <w:rPr>
          <w:rFonts w:hint="default"/>
          <w:color w:val="auto"/>
        </w:rPr>
        <w:t>8</w:t>
      </w:r>
      <w:r>
        <w:rPr>
          <w:rFonts w:hint="eastAsia"/>
          <w:color w:val="auto"/>
        </w:rPr>
        <w:t>.5</w:t>
      </w:r>
      <w:r>
        <w:rPr>
          <w:color w:val="auto"/>
        </w:rPr>
        <w:t>%</w:t>
      </w:r>
      <w:r>
        <w:rPr>
          <w:rFonts w:hint="eastAsia"/>
          <w:color w:val="auto"/>
          <w:lang w:eastAsia="zh-CN"/>
        </w:rPr>
        <w:t>，</w:t>
      </w:r>
      <w:r>
        <w:rPr>
          <w:rFonts w:hint="eastAsia"/>
          <w:color w:val="auto"/>
        </w:rPr>
        <w:t>主要是增加基础教育学位扩增</w:t>
      </w:r>
      <w:r>
        <w:rPr>
          <w:rFonts w:hint="default"/>
          <w:color w:val="auto"/>
        </w:rPr>
        <w:t>、</w:t>
      </w:r>
      <w:r>
        <w:rPr>
          <w:rFonts w:hint="eastAsia"/>
          <w:color w:val="auto"/>
        </w:rPr>
        <w:t>中小学生均运行、人大附中深圳学校九年一贯部（二期）开办等</w:t>
      </w:r>
      <w:r>
        <w:rPr>
          <w:rFonts w:hint="eastAsia"/>
          <w:color w:val="auto"/>
          <w:lang w:eastAsia="zh-CN"/>
        </w:rPr>
        <w:t>经费</w:t>
      </w:r>
      <w:r>
        <w:rPr>
          <w:rFonts w:hint="eastAsia"/>
          <w:color w:val="auto"/>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rPr>
      </w:pPr>
      <w:r>
        <w:rPr>
          <w:rFonts w:hint="eastAsia"/>
          <w:color w:val="auto"/>
        </w:rPr>
        <w:t>5</w:t>
      </w:r>
      <w:r>
        <w:rPr>
          <w:color w:val="auto"/>
        </w:rPr>
        <w:t>.</w:t>
      </w:r>
      <w:r>
        <w:rPr>
          <w:rFonts w:hint="eastAsia"/>
          <w:color w:val="auto"/>
        </w:rPr>
        <w:t>科学技术支出，反映科学技术方面的支出，计划安排0.5亿元，</w:t>
      </w:r>
      <w:r>
        <w:rPr>
          <w:rFonts w:hint="default"/>
          <w:color w:val="auto"/>
        </w:rPr>
        <w:t>与上年基本持平</w:t>
      </w:r>
      <w:r>
        <w:rPr>
          <w:rFonts w:hint="eastAsia"/>
          <w:color w:val="auto"/>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rPr>
      </w:pPr>
      <w:r>
        <w:rPr>
          <w:rFonts w:hint="eastAsia"/>
          <w:color w:val="auto"/>
        </w:rPr>
        <w:t>6</w:t>
      </w:r>
      <w:r>
        <w:rPr>
          <w:color w:val="auto"/>
        </w:rPr>
        <w:t>.</w:t>
      </w:r>
      <w:r>
        <w:rPr>
          <w:rFonts w:hint="eastAsia"/>
          <w:color w:val="auto"/>
        </w:rPr>
        <w:t>文化旅游体育与传媒支出，反映政府在文化、文物、体育、广播影视、新闻出版等方面的支出，计划安排1亿元，</w:t>
      </w:r>
      <w:r>
        <w:rPr>
          <w:rFonts w:hint="default"/>
          <w:color w:val="auto"/>
        </w:rPr>
        <w:t>下降7%</w:t>
      </w:r>
      <w:r>
        <w:rPr>
          <w:rFonts w:hint="eastAsia"/>
          <w:color w:val="auto"/>
        </w:rPr>
        <w:t>，主要是</w:t>
      </w:r>
      <w:r>
        <w:rPr>
          <w:rFonts w:hint="eastAsia"/>
          <w:color w:val="auto"/>
          <w:lang w:eastAsia="zh-CN"/>
        </w:rPr>
        <w:t>减少</w:t>
      </w:r>
      <w:r>
        <w:rPr>
          <w:rFonts w:hint="eastAsia"/>
          <w:color w:val="auto"/>
        </w:rPr>
        <w:t>山海大鹏专题宣传、文体活动等</w:t>
      </w:r>
      <w:r>
        <w:rPr>
          <w:rFonts w:hint="eastAsia"/>
          <w:color w:val="auto"/>
          <w:lang w:eastAsia="zh-CN"/>
        </w:rPr>
        <w:t>一次性</w:t>
      </w:r>
      <w:r>
        <w:rPr>
          <w:rFonts w:hint="eastAsia"/>
          <w:color w:val="auto"/>
        </w:rPr>
        <w:t>经费。</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rPr>
      </w:pPr>
      <w:r>
        <w:rPr>
          <w:rFonts w:hint="eastAsia"/>
          <w:color w:val="auto"/>
        </w:rPr>
        <w:t>7</w:t>
      </w:r>
      <w:r>
        <w:rPr>
          <w:color w:val="auto"/>
        </w:rPr>
        <w:t>.</w:t>
      </w:r>
      <w:r>
        <w:rPr>
          <w:rFonts w:hint="eastAsia"/>
          <w:color w:val="auto"/>
        </w:rPr>
        <w:t>社会保障和就业支出，反映政府在社会保障与就业方面的</w:t>
      </w:r>
      <w:r>
        <w:rPr>
          <w:color w:val="auto"/>
        </w:rPr>
        <w:t>支出，计划安排</w:t>
      </w:r>
      <w:r>
        <w:rPr>
          <w:rFonts w:hint="default"/>
          <w:color w:val="auto"/>
        </w:rPr>
        <w:t>3.1</w:t>
      </w:r>
      <w:r>
        <w:rPr>
          <w:color w:val="auto"/>
        </w:rPr>
        <w:t>亿元，</w:t>
      </w:r>
      <w:r>
        <w:rPr>
          <w:rFonts w:hint="default"/>
          <w:color w:val="auto"/>
        </w:rPr>
        <w:t>增长27.6%，主要是增加人才发展专项资金、市级新引进人才住房和生活补助等经费</w:t>
      </w:r>
      <w:r>
        <w:rPr>
          <w:rFonts w:hint="eastAsia"/>
          <w:color w:val="auto"/>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rPr>
      </w:pPr>
      <w:r>
        <w:rPr>
          <w:rFonts w:hint="eastAsia"/>
          <w:color w:val="auto"/>
        </w:rPr>
        <w:t>8</w:t>
      </w:r>
      <w:r>
        <w:rPr>
          <w:color w:val="auto"/>
        </w:rPr>
        <w:t>.卫生健康支出，反映政府医疗卫生与计划生育管理方面的支出，计划安排</w:t>
      </w:r>
      <w:r>
        <w:rPr>
          <w:rFonts w:hint="eastAsia"/>
          <w:color w:val="auto"/>
        </w:rPr>
        <w:t>4.</w:t>
      </w:r>
      <w:r>
        <w:rPr>
          <w:rFonts w:hint="default"/>
          <w:color w:val="auto"/>
        </w:rPr>
        <w:t>5</w:t>
      </w:r>
      <w:r>
        <w:rPr>
          <w:color w:val="auto"/>
        </w:rPr>
        <w:t>亿元，增长</w:t>
      </w:r>
      <w:r>
        <w:rPr>
          <w:rFonts w:hint="default"/>
          <w:color w:val="auto"/>
        </w:rPr>
        <w:t>2.8</w:t>
      </w:r>
      <w:r>
        <w:rPr>
          <w:color w:val="auto"/>
        </w:rPr>
        <w:t>%</w:t>
      </w:r>
      <w:r>
        <w:rPr>
          <w:rFonts w:hint="eastAsia"/>
          <w:color w:val="auto"/>
          <w:lang w:eastAsia="zh-CN"/>
        </w:rPr>
        <w:t>，</w:t>
      </w:r>
      <w:r>
        <w:rPr>
          <w:rFonts w:hint="eastAsia"/>
          <w:color w:val="auto"/>
        </w:rPr>
        <w:t>主要是增加</w:t>
      </w:r>
      <w:r>
        <w:rPr>
          <w:rFonts w:hint="default"/>
          <w:color w:val="auto"/>
        </w:rPr>
        <w:t>基本医疗服务补助</w:t>
      </w:r>
      <w:r>
        <w:rPr>
          <w:rFonts w:hint="eastAsia"/>
          <w:color w:val="auto"/>
        </w:rPr>
        <w:t>等经费</w:t>
      </w:r>
      <w:r>
        <w:rPr>
          <w:color w:val="auto"/>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rPr>
      </w:pPr>
      <w:r>
        <w:rPr>
          <w:rFonts w:hint="eastAsia"/>
          <w:color w:val="auto"/>
        </w:rPr>
        <w:t>9</w:t>
      </w:r>
      <w:r>
        <w:rPr>
          <w:color w:val="auto"/>
        </w:rPr>
        <w:t>.节能环保支出，反映政府节能环保支出，计划安排</w:t>
      </w:r>
      <w:r>
        <w:rPr>
          <w:rFonts w:hint="eastAsia"/>
          <w:color w:val="auto"/>
        </w:rPr>
        <w:t>0.</w:t>
      </w:r>
      <w:r>
        <w:rPr>
          <w:rFonts w:hint="default"/>
          <w:color w:val="auto"/>
        </w:rPr>
        <w:t>9</w:t>
      </w:r>
      <w:r>
        <w:rPr>
          <w:color w:val="auto"/>
        </w:rPr>
        <w:t>亿元，</w:t>
      </w:r>
      <w:r>
        <w:rPr>
          <w:rFonts w:hint="default"/>
          <w:color w:val="auto"/>
        </w:rPr>
        <w:t>增长39</w:t>
      </w:r>
      <w:r>
        <w:rPr>
          <w:color w:val="auto"/>
        </w:rPr>
        <w:t>%</w:t>
      </w:r>
      <w:r>
        <w:rPr>
          <w:rFonts w:hint="eastAsia"/>
          <w:color w:val="auto"/>
          <w:lang w:eastAsia="zh-CN"/>
        </w:rPr>
        <w:t>，</w:t>
      </w:r>
      <w:r>
        <w:rPr>
          <w:color w:val="auto"/>
        </w:rPr>
        <w:t>主要是</w:t>
      </w:r>
      <w:r>
        <w:rPr>
          <w:rFonts w:hint="eastAsia"/>
          <w:color w:val="auto"/>
          <w:lang w:eastAsia="zh-CN"/>
        </w:rPr>
        <w:t>增加部分</w:t>
      </w:r>
      <w:r>
        <w:rPr>
          <w:color w:val="auto"/>
        </w:rPr>
        <w:t>上年</w:t>
      </w:r>
      <w:r>
        <w:rPr>
          <w:rFonts w:hint="default"/>
          <w:color w:val="auto"/>
        </w:rPr>
        <w:t>由</w:t>
      </w:r>
      <w:r>
        <w:rPr>
          <w:rFonts w:hint="eastAsia"/>
          <w:color w:val="auto"/>
        </w:rPr>
        <w:t>专项债券渠道保障</w:t>
      </w:r>
      <w:r>
        <w:rPr>
          <w:rFonts w:hint="eastAsia"/>
          <w:color w:val="auto"/>
          <w:lang w:eastAsia="zh-CN"/>
        </w:rPr>
        <w:t>的</w:t>
      </w:r>
      <w:r>
        <w:rPr>
          <w:rFonts w:hint="eastAsia"/>
          <w:color w:val="auto"/>
        </w:rPr>
        <w:t>流域综合治理等工程</w:t>
      </w:r>
      <w:r>
        <w:rPr>
          <w:rFonts w:hint="eastAsia"/>
          <w:color w:val="auto"/>
          <w:lang w:eastAsia="zh-CN"/>
        </w:rPr>
        <w:t>经费</w:t>
      </w:r>
      <w:r>
        <w:rPr>
          <w:color w:val="auto"/>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rPr>
      </w:pPr>
      <w:r>
        <w:rPr>
          <w:rFonts w:hint="eastAsia"/>
          <w:color w:val="auto"/>
        </w:rPr>
        <w:t>10</w:t>
      </w:r>
      <w:r>
        <w:rPr>
          <w:color w:val="auto"/>
        </w:rPr>
        <w:t>.城乡社区支出，反映政府城乡社区事务支出，计划安排</w:t>
      </w:r>
      <w:r>
        <w:rPr>
          <w:rFonts w:hint="eastAsia"/>
          <w:color w:val="auto"/>
        </w:rPr>
        <w:t>19.</w:t>
      </w:r>
      <w:r>
        <w:rPr>
          <w:rFonts w:hint="default"/>
          <w:color w:val="auto"/>
        </w:rPr>
        <w:t>3</w:t>
      </w:r>
      <w:r>
        <w:rPr>
          <w:color w:val="auto"/>
        </w:rPr>
        <w:t>亿元，</w:t>
      </w:r>
      <w:r>
        <w:rPr>
          <w:rFonts w:hint="default"/>
          <w:color w:val="auto"/>
        </w:rPr>
        <w:t>与上年基本持平</w:t>
      </w:r>
      <w:r>
        <w:rPr>
          <w:color w:val="auto"/>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rPr>
      </w:pPr>
      <w:r>
        <w:rPr>
          <w:color w:val="auto"/>
        </w:rPr>
        <w:t>1</w:t>
      </w:r>
      <w:r>
        <w:rPr>
          <w:rFonts w:hint="eastAsia"/>
          <w:color w:val="auto"/>
        </w:rPr>
        <w:t>1</w:t>
      </w:r>
      <w:r>
        <w:rPr>
          <w:color w:val="auto"/>
        </w:rPr>
        <w:t>.农林水支出，反映政府农林水事务支出，计划安排</w:t>
      </w:r>
      <w:r>
        <w:rPr>
          <w:rFonts w:hint="eastAsia"/>
          <w:color w:val="auto"/>
        </w:rPr>
        <w:t>3.</w:t>
      </w:r>
      <w:r>
        <w:rPr>
          <w:rFonts w:hint="default"/>
          <w:color w:val="auto"/>
        </w:rPr>
        <w:t>8</w:t>
      </w:r>
      <w:r>
        <w:rPr>
          <w:color w:val="auto"/>
        </w:rPr>
        <w:t>亿元，下降</w:t>
      </w:r>
      <w:r>
        <w:rPr>
          <w:rFonts w:hint="default"/>
          <w:color w:val="auto"/>
        </w:rPr>
        <w:t>2.6</w:t>
      </w:r>
      <w:r>
        <w:rPr>
          <w:color w:val="auto"/>
        </w:rPr>
        <w:t>%</w:t>
      </w:r>
      <w:r>
        <w:rPr>
          <w:rFonts w:hint="eastAsia"/>
          <w:color w:val="auto"/>
          <w:lang w:eastAsia="zh-CN"/>
        </w:rPr>
        <w:t>，</w:t>
      </w:r>
      <w:r>
        <w:rPr>
          <w:color w:val="auto"/>
        </w:rPr>
        <w:t>主要是</w:t>
      </w:r>
      <w:r>
        <w:rPr>
          <w:rFonts w:hint="default"/>
          <w:color w:val="auto"/>
        </w:rPr>
        <w:t>上年</w:t>
      </w:r>
      <w:r>
        <w:rPr>
          <w:rFonts w:hint="eastAsia"/>
          <w:color w:val="auto"/>
          <w:lang w:eastAsia="zh-CN"/>
        </w:rPr>
        <w:t>已先行拨付</w:t>
      </w:r>
      <w:r>
        <w:rPr>
          <w:rFonts w:hint="default"/>
          <w:color w:val="auto"/>
        </w:rPr>
        <w:t>部分生态</w:t>
      </w:r>
      <w:r>
        <w:rPr>
          <w:rFonts w:hint="eastAsia"/>
          <w:color w:val="auto"/>
          <w:lang w:eastAsia="zh-CN"/>
        </w:rPr>
        <w:t>补偿</w:t>
      </w:r>
      <w:r>
        <w:rPr>
          <w:rFonts w:hint="default"/>
          <w:color w:val="auto"/>
        </w:rPr>
        <w:t>资金</w:t>
      </w:r>
      <w:r>
        <w:rPr>
          <w:rFonts w:hint="eastAsia"/>
          <w:color w:val="auto"/>
          <w:lang w:eastAsia="zh-CN"/>
        </w:rPr>
        <w:t>，本年据实予以减少</w:t>
      </w:r>
      <w:r>
        <w:rPr>
          <w:color w:val="auto"/>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rPr>
      </w:pPr>
      <w:r>
        <w:rPr>
          <w:color w:val="auto"/>
        </w:rPr>
        <w:t>1</w:t>
      </w:r>
      <w:r>
        <w:rPr>
          <w:rFonts w:hint="eastAsia"/>
          <w:color w:val="auto"/>
        </w:rPr>
        <w:t>2</w:t>
      </w:r>
      <w:r>
        <w:rPr>
          <w:color w:val="auto"/>
        </w:rPr>
        <w:t>.交通运输支出，反映交通运输和邮政业方面的支出，计划安排</w:t>
      </w:r>
      <w:r>
        <w:rPr>
          <w:rFonts w:hint="default"/>
          <w:color w:val="auto"/>
        </w:rPr>
        <w:t>3.7</w:t>
      </w:r>
      <w:r>
        <w:rPr>
          <w:color w:val="auto"/>
        </w:rPr>
        <w:t>亿元，增长</w:t>
      </w:r>
      <w:r>
        <w:rPr>
          <w:rFonts w:hint="default"/>
          <w:color w:val="auto"/>
        </w:rPr>
        <w:t>68.3</w:t>
      </w:r>
      <w:r>
        <w:rPr>
          <w:color w:val="auto"/>
        </w:rPr>
        <w:t>%</w:t>
      </w:r>
      <w:r>
        <w:rPr>
          <w:rFonts w:hint="eastAsia"/>
          <w:color w:val="auto"/>
          <w:lang w:eastAsia="zh-CN"/>
        </w:rPr>
        <w:t>，</w:t>
      </w:r>
      <w:r>
        <w:rPr>
          <w:color w:val="auto"/>
        </w:rPr>
        <w:t>主要是</w:t>
      </w:r>
      <w:r>
        <w:rPr>
          <w:rFonts w:hint="eastAsia"/>
          <w:color w:val="auto"/>
          <w:lang w:eastAsia="zh-CN"/>
        </w:rPr>
        <w:t>全面</w:t>
      </w:r>
      <w:r>
        <w:rPr>
          <w:color w:val="auto"/>
        </w:rPr>
        <w:t>加大交通投入，增加核龙线大鹏段市政化改造、</w:t>
      </w:r>
      <w:r>
        <w:rPr>
          <w:rFonts w:hint="default"/>
          <w:color w:val="auto"/>
        </w:rPr>
        <w:t>龙新路</w:t>
      </w:r>
      <w:r>
        <w:rPr>
          <w:rFonts w:hint="eastAsia"/>
          <w:color w:val="auto"/>
        </w:rPr>
        <w:t>等道路交通改造提升</w:t>
      </w:r>
      <w:r>
        <w:rPr>
          <w:rFonts w:hint="eastAsia"/>
          <w:color w:val="auto"/>
          <w:lang w:eastAsia="zh-CN"/>
        </w:rPr>
        <w:t>经费</w:t>
      </w:r>
      <w:r>
        <w:rPr>
          <w:rFonts w:hint="eastAsia"/>
          <w:color w:val="auto"/>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highlight w:val="none"/>
        </w:rPr>
      </w:pPr>
      <w:r>
        <w:rPr>
          <w:color w:val="auto"/>
        </w:rPr>
        <w:t>1</w:t>
      </w:r>
      <w:r>
        <w:rPr>
          <w:rFonts w:hint="eastAsia"/>
          <w:color w:val="auto"/>
        </w:rPr>
        <w:t>3</w:t>
      </w:r>
      <w:r>
        <w:rPr>
          <w:color w:val="auto"/>
        </w:rPr>
        <w:t>.</w:t>
      </w:r>
      <w:r>
        <w:rPr>
          <w:rFonts w:hint="eastAsia"/>
          <w:color w:val="auto"/>
        </w:rPr>
        <w:t>资源勘探工业信息等支出，反映用于资源勘探、制造业、建</w:t>
      </w:r>
      <w:r>
        <w:rPr>
          <w:color w:val="auto"/>
        </w:rPr>
        <w:t>筑业、工业信息等方面支出，计划安排</w:t>
      </w:r>
      <w:r>
        <w:rPr>
          <w:rFonts w:hint="eastAsia"/>
          <w:color w:val="auto"/>
        </w:rPr>
        <w:t>0.</w:t>
      </w:r>
      <w:r>
        <w:rPr>
          <w:rFonts w:hint="default"/>
          <w:color w:val="auto"/>
        </w:rPr>
        <w:t>3</w:t>
      </w:r>
      <w:r>
        <w:rPr>
          <w:color w:val="auto"/>
          <w:highlight w:val="none"/>
        </w:rPr>
        <w:t>亿元，下降</w:t>
      </w:r>
      <w:r>
        <w:rPr>
          <w:rFonts w:hint="default"/>
          <w:color w:val="auto"/>
          <w:highlight w:val="none"/>
        </w:rPr>
        <w:t>9.5</w:t>
      </w:r>
      <w:r>
        <w:rPr>
          <w:rFonts w:hint="eastAsia"/>
          <w:color w:val="auto"/>
          <w:highlight w:val="none"/>
        </w:rPr>
        <w:t>%，主要是</w:t>
      </w:r>
      <w:r>
        <w:rPr>
          <w:rFonts w:hint="default"/>
          <w:color w:val="auto"/>
          <w:highlight w:val="none"/>
        </w:rPr>
        <w:t>根据申报情况据实减少</w:t>
      </w:r>
      <w:r>
        <w:rPr>
          <w:rFonts w:hint="eastAsia"/>
          <w:color w:val="auto"/>
          <w:highlight w:val="none"/>
          <w:lang w:eastAsia="zh-CN"/>
        </w:rPr>
        <w:t>相关</w:t>
      </w:r>
      <w:r>
        <w:rPr>
          <w:rFonts w:hint="default"/>
          <w:color w:val="auto"/>
          <w:highlight w:val="none"/>
        </w:rPr>
        <w:t>补贴</w:t>
      </w:r>
      <w:r>
        <w:rPr>
          <w:rFonts w:hint="eastAsia"/>
          <w:color w:val="auto"/>
          <w:highlight w:val="none"/>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rPr>
      </w:pPr>
      <w:r>
        <w:rPr>
          <w:color w:val="auto"/>
        </w:rPr>
        <w:t>1</w:t>
      </w:r>
      <w:r>
        <w:rPr>
          <w:rFonts w:hint="eastAsia"/>
          <w:color w:val="auto"/>
        </w:rPr>
        <w:t>4</w:t>
      </w:r>
      <w:r>
        <w:rPr>
          <w:color w:val="auto"/>
        </w:rPr>
        <w:t>.自然资源海洋气象等支出,反映政府用于国土资源、海洋、测绘、地震、气象等公益服务事业方面的支出，计划安</w:t>
      </w:r>
      <w:r>
        <w:rPr>
          <w:rFonts w:hint="eastAsia"/>
          <w:color w:val="auto"/>
        </w:rPr>
        <w:t>排0.5</w:t>
      </w:r>
      <w:r>
        <w:rPr>
          <w:color w:val="auto"/>
        </w:rPr>
        <w:t>亿元，</w:t>
      </w:r>
      <w:r>
        <w:rPr>
          <w:rFonts w:hint="eastAsia"/>
          <w:color w:val="auto"/>
        </w:rPr>
        <w:t>下降</w:t>
      </w:r>
      <w:r>
        <w:rPr>
          <w:rFonts w:hint="default"/>
          <w:color w:val="auto"/>
        </w:rPr>
        <w:t>16.</w:t>
      </w:r>
      <w:r>
        <w:rPr>
          <w:rFonts w:hint="default"/>
          <w:color w:val="auto"/>
          <w:highlight w:val="none"/>
        </w:rPr>
        <w:t>6</w:t>
      </w:r>
      <w:r>
        <w:rPr>
          <w:color w:val="auto"/>
          <w:highlight w:val="none"/>
        </w:rPr>
        <w:t>%</w:t>
      </w:r>
      <w:r>
        <w:rPr>
          <w:rFonts w:hint="eastAsia"/>
          <w:color w:val="auto"/>
          <w:highlight w:val="none"/>
        </w:rPr>
        <w:t>，</w:t>
      </w:r>
      <w:r>
        <w:rPr>
          <w:color w:val="auto"/>
          <w:highlight w:val="none"/>
        </w:rPr>
        <w:t>主要是</w:t>
      </w:r>
      <w:r>
        <w:rPr>
          <w:rFonts w:hint="eastAsia"/>
          <w:color w:val="auto"/>
          <w:highlight w:val="none"/>
          <w:lang w:eastAsia="zh-CN"/>
        </w:rPr>
        <w:t>据实</w:t>
      </w:r>
      <w:r>
        <w:rPr>
          <w:color w:val="auto"/>
          <w:highlight w:val="none"/>
        </w:rPr>
        <w:t>减少设备更新等</w:t>
      </w:r>
      <w:r>
        <w:rPr>
          <w:rFonts w:hint="eastAsia"/>
          <w:color w:val="auto"/>
          <w:highlight w:val="none"/>
        </w:rPr>
        <w:t>一次性项目经费。</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rPr>
      </w:pPr>
      <w:r>
        <w:rPr>
          <w:color w:val="auto"/>
        </w:rPr>
        <w:t>1</w:t>
      </w:r>
      <w:r>
        <w:rPr>
          <w:rFonts w:hint="eastAsia"/>
          <w:color w:val="auto"/>
        </w:rPr>
        <w:t>5</w:t>
      </w:r>
      <w:r>
        <w:rPr>
          <w:color w:val="auto"/>
        </w:rPr>
        <w:t>.住房保障支出，反映政府用于住房方面的支出，计划安排</w:t>
      </w:r>
      <w:r>
        <w:rPr>
          <w:rFonts w:hint="default"/>
          <w:color w:val="auto"/>
        </w:rPr>
        <w:t>3.5</w:t>
      </w:r>
      <w:r>
        <w:rPr>
          <w:color w:val="auto"/>
        </w:rPr>
        <w:t>亿元，</w:t>
      </w:r>
      <w:r>
        <w:rPr>
          <w:rFonts w:hint="default"/>
          <w:color w:val="auto"/>
        </w:rPr>
        <w:t>下降15.5</w:t>
      </w:r>
      <w:r>
        <w:rPr>
          <w:color w:val="auto"/>
        </w:rPr>
        <w:t>%</w:t>
      </w:r>
      <w:r>
        <w:rPr>
          <w:rFonts w:hint="eastAsia"/>
          <w:color w:val="auto"/>
        </w:rPr>
        <w:t>，</w:t>
      </w:r>
      <w:r>
        <w:rPr>
          <w:color w:val="auto"/>
        </w:rPr>
        <w:t>主要是</w:t>
      </w:r>
      <w:r>
        <w:rPr>
          <w:rFonts w:hint="eastAsia"/>
          <w:color w:val="auto"/>
          <w:lang w:eastAsia="zh-CN"/>
        </w:rPr>
        <w:t>相关</w:t>
      </w:r>
      <w:r>
        <w:rPr>
          <w:color w:val="auto"/>
        </w:rPr>
        <w:t>项目转为专项</w:t>
      </w:r>
      <w:r>
        <w:rPr>
          <w:rFonts w:hint="eastAsia"/>
          <w:color w:val="auto"/>
          <w:lang w:eastAsia="zh-CN"/>
        </w:rPr>
        <w:t>债券渠道</w:t>
      </w:r>
      <w:r>
        <w:rPr>
          <w:color w:val="auto"/>
        </w:rPr>
        <w:t>保障</w:t>
      </w:r>
      <w:r>
        <w:rPr>
          <w:rFonts w:hint="eastAsia"/>
          <w:color w:val="auto"/>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color w:val="auto"/>
          <w:lang w:val="en-US" w:eastAsia="zh-CN"/>
        </w:rPr>
      </w:pPr>
      <w:r>
        <w:rPr>
          <w:color w:val="auto"/>
        </w:rPr>
        <w:t>1</w:t>
      </w:r>
      <w:r>
        <w:rPr>
          <w:rFonts w:hint="eastAsia"/>
          <w:color w:val="auto"/>
        </w:rPr>
        <w:t>6</w:t>
      </w:r>
      <w:r>
        <w:rPr>
          <w:color w:val="auto"/>
        </w:rPr>
        <w:t>.灾害防治及应急管理支出，计划安排</w:t>
      </w:r>
      <w:r>
        <w:rPr>
          <w:rFonts w:hint="eastAsia"/>
          <w:color w:val="auto"/>
        </w:rPr>
        <w:t>1.</w:t>
      </w:r>
      <w:r>
        <w:rPr>
          <w:rFonts w:hint="default"/>
          <w:color w:val="auto"/>
        </w:rPr>
        <w:t>5</w:t>
      </w:r>
      <w:r>
        <w:rPr>
          <w:color w:val="auto"/>
        </w:rPr>
        <w:t>亿元，</w:t>
      </w:r>
      <w:r>
        <w:rPr>
          <w:rFonts w:hint="default"/>
          <w:color w:val="auto"/>
        </w:rPr>
        <w:t>增长7.6</w:t>
      </w:r>
      <w:r>
        <w:rPr>
          <w:rFonts w:hint="eastAsia"/>
          <w:color w:val="auto"/>
        </w:rPr>
        <w:t>%</w:t>
      </w:r>
      <w:r>
        <w:rPr>
          <w:rFonts w:hint="eastAsia"/>
          <w:color w:val="auto"/>
          <w:lang w:eastAsia="zh-CN"/>
        </w:rPr>
        <w:t>，</w:t>
      </w:r>
      <w:r>
        <w:rPr>
          <w:color w:val="auto"/>
        </w:rPr>
        <w:t>主要是</w:t>
      </w:r>
      <w:r>
        <w:rPr>
          <w:rFonts w:hint="eastAsia"/>
          <w:color w:val="auto"/>
        </w:rPr>
        <w:t>增加火灾高风险整治经费。</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rPr>
      </w:pPr>
      <w:r>
        <w:rPr>
          <w:color w:val="auto"/>
        </w:rPr>
        <w:t>1</w:t>
      </w:r>
      <w:r>
        <w:rPr>
          <w:rFonts w:hint="eastAsia"/>
          <w:color w:val="auto"/>
        </w:rPr>
        <w:t>7</w:t>
      </w:r>
      <w:r>
        <w:rPr>
          <w:color w:val="auto"/>
        </w:rPr>
        <w:t>.预备费，反映预算中安排的预备费，计划安排</w:t>
      </w:r>
      <w:r>
        <w:rPr>
          <w:rFonts w:hint="eastAsia"/>
          <w:color w:val="auto"/>
        </w:rPr>
        <w:t>0.7</w:t>
      </w:r>
      <w:r>
        <w:rPr>
          <w:color w:val="auto"/>
        </w:rPr>
        <w:t>亿元，增长</w:t>
      </w:r>
      <w:r>
        <w:rPr>
          <w:rFonts w:hint="default"/>
          <w:color w:val="auto"/>
        </w:rPr>
        <w:t>4.6%</w:t>
      </w:r>
      <w:r>
        <w:rPr>
          <w:rFonts w:hint="eastAsia"/>
          <w:color w:val="auto"/>
          <w:lang w:eastAsia="zh-CN"/>
        </w:rPr>
        <w:t>，</w:t>
      </w:r>
      <w:r>
        <w:rPr>
          <w:color w:val="auto"/>
        </w:rPr>
        <w:t>规模占本级一般公共预算支出的比重为</w:t>
      </w:r>
      <w:r>
        <w:rPr>
          <w:rFonts w:hint="eastAsia"/>
          <w:color w:val="auto"/>
        </w:rPr>
        <w:t>1</w:t>
      </w:r>
      <w:r>
        <w:rPr>
          <w:color w:val="auto"/>
        </w:rPr>
        <w:t>%，符合《预算法》按照</w:t>
      </w:r>
      <w:r>
        <w:rPr>
          <w:rFonts w:hint="eastAsia"/>
          <w:color w:val="auto"/>
        </w:rPr>
        <w:t>“</w:t>
      </w:r>
      <w:r>
        <w:rPr>
          <w:color w:val="auto"/>
        </w:rPr>
        <w:t>本级一般公共预算支出额的百分之一至百分之三</w:t>
      </w:r>
      <w:r>
        <w:rPr>
          <w:rFonts w:hint="eastAsia"/>
          <w:color w:val="auto"/>
        </w:rPr>
        <w:t>”</w:t>
      </w:r>
      <w:r>
        <w:rPr>
          <w:color w:val="auto"/>
        </w:rPr>
        <w:t>的比例预留的规定。</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rPr>
      </w:pPr>
    </w:p>
    <w:p>
      <w:pPr>
        <w:keepNext w:val="0"/>
        <w:keepLines w:val="0"/>
        <w:pageBreakBefore w:val="0"/>
        <w:widowControl w:val="0"/>
        <w:numPr>
          <w:ilvl w:val="0"/>
          <w:numId w:val="2"/>
        </w:numPr>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left="0" w:leftChars="0" w:firstLine="0" w:firstLineChars="0"/>
        <w:jc w:val="center"/>
        <w:textAlignment w:val="auto"/>
        <w:rPr>
          <w:rFonts w:hint="eastAsia" w:ascii="黑体" w:hAnsi="黑体" w:eastAsia="黑体" w:cs="宋体"/>
          <w:color w:val="auto"/>
          <w:kern w:val="0"/>
          <w:szCs w:val="32"/>
        </w:rPr>
      </w:pPr>
      <w:r>
        <w:rPr>
          <w:rFonts w:hint="eastAsia" w:ascii="黑体" w:hAnsi="黑体" w:eastAsia="黑体" w:cs="宋体"/>
          <w:color w:val="auto"/>
          <w:kern w:val="0"/>
          <w:szCs w:val="32"/>
        </w:rPr>
        <w:t xml:space="preserve"> 202</w:t>
      </w:r>
      <w:r>
        <w:rPr>
          <w:rFonts w:hint="default" w:ascii="黑体" w:hAnsi="黑体" w:eastAsia="黑体" w:cs="宋体"/>
          <w:color w:val="auto"/>
          <w:kern w:val="0"/>
          <w:szCs w:val="32"/>
        </w:rPr>
        <w:t>2</w:t>
      </w:r>
      <w:r>
        <w:rPr>
          <w:rFonts w:hint="eastAsia" w:ascii="黑体" w:hAnsi="黑体" w:eastAsia="黑体" w:cs="宋体"/>
          <w:color w:val="auto"/>
          <w:kern w:val="0"/>
          <w:szCs w:val="32"/>
        </w:rPr>
        <w:t>年政府性基金预算</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leftChars="0" w:firstLine="628" w:firstLineChars="200"/>
        <w:jc w:val="both"/>
        <w:textAlignment w:val="auto"/>
        <w:rPr>
          <w:rFonts w:hint="eastAsia"/>
          <w:color w:val="auto"/>
          <w:szCs w:val="32"/>
        </w:rPr>
      </w:pP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leftChars="0" w:firstLine="628" w:firstLineChars="200"/>
        <w:jc w:val="both"/>
        <w:textAlignment w:val="auto"/>
        <w:rPr>
          <w:rFonts w:hint="eastAsia"/>
          <w:color w:val="auto"/>
          <w:szCs w:val="32"/>
        </w:rPr>
      </w:pPr>
      <w:r>
        <w:rPr>
          <w:rFonts w:hint="eastAsia"/>
          <w:color w:val="auto"/>
          <w:szCs w:val="32"/>
        </w:rPr>
        <w:t>202</w:t>
      </w:r>
      <w:r>
        <w:rPr>
          <w:rFonts w:hint="default"/>
          <w:color w:val="auto"/>
          <w:szCs w:val="32"/>
        </w:rPr>
        <w:t>2</w:t>
      </w:r>
      <w:r>
        <w:rPr>
          <w:rFonts w:hint="eastAsia"/>
          <w:color w:val="auto"/>
          <w:szCs w:val="32"/>
        </w:rPr>
        <w:t>年新区政府性基金全部纳入预算管理，并将收支预算全部细化到项级科目填报。具体安排如下：</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val="0"/>
        <w:bidi w:val="0"/>
        <w:adjustRightInd w:val="0"/>
        <w:snapToGrid w:val="0"/>
        <w:spacing w:line="560" w:lineRule="exact"/>
        <w:ind w:leftChars="0" w:firstLine="628" w:firstLineChars="200"/>
        <w:jc w:val="both"/>
        <w:textAlignment w:val="auto"/>
        <w:rPr>
          <w:rFonts w:hint="eastAsia" w:ascii="黑体" w:hAnsi="黑体" w:eastAsia="黑体"/>
          <w:color w:val="auto"/>
          <w:szCs w:val="32"/>
        </w:rPr>
      </w:pPr>
      <w:r>
        <w:rPr>
          <w:rFonts w:hint="eastAsia" w:ascii="黑体" w:hAnsi="黑体" w:eastAsia="黑体"/>
          <w:color w:val="auto"/>
          <w:szCs w:val="32"/>
        </w:rPr>
        <w:t>一、202</w:t>
      </w:r>
      <w:r>
        <w:rPr>
          <w:rFonts w:hint="default" w:ascii="黑体" w:hAnsi="黑体" w:eastAsia="黑体"/>
          <w:color w:val="auto"/>
          <w:szCs w:val="32"/>
        </w:rPr>
        <w:t>2</w:t>
      </w:r>
      <w:r>
        <w:rPr>
          <w:rFonts w:hint="eastAsia" w:ascii="黑体" w:hAnsi="黑体" w:eastAsia="黑体"/>
          <w:color w:val="auto"/>
          <w:szCs w:val="32"/>
        </w:rPr>
        <w:t>年新区政府性基金收入预算</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color w:val="auto"/>
          <w:szCs w:val="22"/>
        </w:rPr>
      </w:pPr>
      <w:r>
        <w:rPr>
          <w:rFonts w:hint="eastAsia"/>
          <w:color w:val="auto"/>
          <w:szCs w:val="32"/>
        </w:rPr>
        <w:t>202</w:t>
      </w:r>
      <w:r>
        <w:rPr>
          <w:rFonts w:hint="default"/>
          <w:color w:val="auto"/>
          <w:szCs w:val="32"/>
        </w:rPr>
        <w:t>2</w:t>
      </w:r>
      <w:r>
        <w:rPr>
          <w:rFonts w:hint="eastAsia"/>
          <w:color w:val="auto"/>
          <w:szCs w:val="32"/>
        </w:rPr>
        <w:t>年新区</w:t>
      </w:r>
      <w:r>
        <w:rPr>
          <w:rFonts w:hint="eastAsia" w:hAnsi="楷体"/>
          <w:color w:val="auto"/>
          <w:spacing w:val="-6"/>
          <w:szCs w:val="32"/>
        </w:rPr>
        <w:t>政府性基金预算总收入</w:t>
      </w:r>
      <w:r>
        <w:rPr>
          <w:rFonts w:hint="default" w:hAnsi="楷体"/>
          <w:color w:val="auto"/>
          <w:spacing w:val="-6"/>
          <w:szCs w:val="32"/>
        </w:rPr>
        <w:t>14.4</w:t>
      </w:r>
      <w:r>
        <w:rPr>
          <w:rFonts w:hint="eastAsia" w:hAnsi="楷体"/>
          <w:color w:val="auto"/>
          <w:spacing w:val="-6"/>
          <w:szCs w:val="32"/>
        </w:rPr>
        <w:t>亿元，</w:t>
      </w:r>
      <w:r>
        <w:rPr>
          <w:rFonts w:hint="eastAsia" w:hAnsi="仿宋_GB2312" w:cs="仿宋_GB2312"/>
          <w:color w:val="auto"/>
          <w:kern w:val="0"/>
          <w:szCs w:val="32"/>
        </w:rPr>
        <w:t>比202</w:t>
      </w:r>
      <w:r>
        <w:rPr>
          <w:rFonts w:hint="default" w:hAnsi="仿宋_GB2312" w:cs="仿宋_GB2312"/>
          <w:color w:val="auto"/>
          <w:kern w:val="0"/>
          <w:szCs w:val="32"/>
        </w:rPr>
        <w:t>1</w:t>
      </w:r>
      <w:r>
        <w:rPr>
          <w:rFonts w:hint="eastAsia" w:hAnsi="仿宋_GB2312" w:cs="仿宋_GB2312"/>
          <w:color w:val="auto"/>
          <w:kern w:val="0"/>
          <w:szCs w:val="32"/>
        </w:rPr>
        <w:t>年</w:t>
      </w:r>
      <w:r>
        <w:rPr>
          <w:rFonts w:hint="eastAsia" w:hAnsi="仿宋_GB2312" w:cs="仿宋_GB2312"/>
          <w:color w:val="auto"/>
          <w:kern w:val="0"/>
          <w:szCs w:val="32"/>
          <w:lang w:eastAsia="zh-CN"/>
        </w:rPr>
        <w:t>预计</w:t>
      </w:r>
      <w:r>
        <w:rPr>
          <w:rFonts w:hint="eastAsia" w:hAnsi="仿宋_GB2312" w:cs="仿宋_GB2312"/>
          <w:color w:val="auto"/>
          <w:kern w:val="0"/>
          <w:szCs w:val="32"/>
        </w:rPr>
        <w:t>完成数</w:t>
      </w:r>
      <w:r>
        <w:rPr>
          <w:rFonts w:hint="default" w:hAnsi="仿宋_GB2312" w:cs="仿宋_GB2312"/>
          <w:color w:val="auto"/>
          <w:kern w:val="0"/>
          <w:szCs w:val="32"/>
        </w:rPr>
        <w:t>减少12</w:t>
      </w:r>
      <w:r>
        <w:rPr>
          <w:rFonts w:hint="eastAsia" w:hAnsi="仿宋_GB2312" w:cs="仿宋_GB2312"/>
          <w:color w:val="auto"/>
          <w:kern w:val="0"/>
          <w:szCs w:val="32"/>
        </w:rPr>
        <w:t>亿元。其中：本级收入</w:t>
      </w:r>
      <w:r>
        <w:rPr>
          <w:rFonts w:hint="default" w:hAnsi="仿宋_GB2312" w:cs="仿宋_GB2312"/>
          <w:color w:val="auto"/>
          <w:kern w:val="0"/>
          <w:szCs w:val="32"/>
        </w:rPr>
        <w:t>0.2亿</w:t>
      </w:r>
      <w:r>
        <w:rPr>
          <w:rFonts w:hint="eastAsia" w:hAnsi="仿宋_GB2312" w:cs="仿宋_GB2312"/>
          <w:color w:val="auto"/>
          <w:kern w:val="0"/>
          <w:szCs w:val="32"/>
        </w:rPr>
        <w:t>元，转移性收</w:t>
      </w:r>
      <w:r>
        <w:rPr>
          <w:rFonts w:hint="eastAsia"/>
          <w:color w:val="auto"/>
          <w:szCs w:val="22"/>
        </w:rPr>
        <w:t>入</w:t>
      </w:r>
      <w:r>
        <w:rPr>
          <w:rFonts w:hint="default"/>
          <w:color w:val="auto"/>
          <w:szCs w:val="22"/>
        </w:rPr>
        <w:t>14.2</w:t>
      </w:r>
      <w:r>
        <w:rPr>
          <w:rFonts w:hint="eastAsia"/>
          <w:color w:val="auto"/>
          <w:szCs w:val="22"/>
        </w:rPr>
        <w:t>亿元。</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hAnsi="楷体"/>
          <w:color w:val="auto"/>
          <w:spacing w:val="-6"/>
          <w:szCs w:val="32"/>
        </w:rPr>
      </w:pPr>
      <w:r>
        <w:rPr>
          <w:rFonts w:hint="eastAsia"/>
          <w:color w:val="auto"/>
          <w:szCs w:val="22"/>
        </w:rPr>
        <w:t>2</w:t>
      </w:r>
      <w:r>
        <w:rPr>
          <w:rFonts w:hint="eastAsia" w:hAnsi="楷体"/>
          <w:color w:val="auto"/>
          <w:spacing w:val="-6"/>
          <w:szCs w:val="32"/>
        </w:rPr>
        <w:t>0</w:t>
      </w:r>
      <w:r>
        <w:rPr>
          <w:rFonts w:hint="default" w:hAnsi="楷体"/>
          <w:color w:val="auto"/>
          <w:spacing w:val="-6"/>
          <w:szCs w:val="32"/>
        </w:rPr>
        <w:t>22</w:t>
      </w:r>
      <w:r>
        <w:rPr>
          <w:rFonts w:hint="eastAsia" w:hAnsi="楷体"/>
          <w:color w:val="auto"/>
          <w:spacing w:val="-6"/>
          <w:szCs w:val="32"/>
        </w:rPr>
        <w:t>年新区政府性基金预算收入主要包括：</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hAnsi="楷体"/>
          <w:color w:val="auto"/>
          <w:spacing w:val="-6"/>
          <w:szCs w:val="32"/>
        </w:rPr>
      </w:pPr>
      <w:r>
        <w:rPr>
          <w:rFonts w:hint="eastAsia" w:hAnsi="楷体"/>
          <w:color w:val="auto"/>
          <w:spacing w:val="-6"/>
          <w:szCs w:val="32"/>
        </w:rPr>
        <w:t>1.体育彩票公益金收入</w:t>
      </w:r>
      <w:r>
        <w:rPr>
          <w:rFonts w:hint="default" w:hAnsi="楷体"/>
          <w:color w:val="auto"/>
          <w:spacing w:val="-6"/>
          <w:szCs w:val="32"/>
        </w:rPr>
        <w:t>2</w:t>
      </w:r>
      <w:r>
        <w:rPr>
          <w:rFonts w:hint="eastAsia" w:hAnsi="楷体"/>
          <w:color w:val="auto"/>
          <w:spacing w:val="-6"/>
          <w:szCs w:val="32"/>
        </w:rPr>
        <w:t>0万元。</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hAnsi="楷体"/>
          <w:color w:val="auto"/>
          <w:spacing w:val="-6"/>
          <w:szCs w:val="32"/>
        </w:rPr>
      </w:pPr>
      <w:r>
        <w:rPr>
          <w:rFonts w:hint="eastAsia" w:hAnsi="楷体"/>
          <w:color w:val="auto"/>
          <w:spacing w:val="-6"/>
          <w:szCs w:val="32"/>
        </w:rPr>
        <w:t>2.专项债券对应项目专项收入</w:t>
      </w:r>
      <w:r>
        <w:rPr>
          <w:rFonts w:hint="default" w:hAnsi="楷体"/>
          <w:color w:val="auto"/>
          <w:spacing w:val="-6"/>
          <w:szCs w:val="32"/>
        </w:rPr>
        <w:t>0.2亿</w:t>
      </w:r>
      <w:r>
        <w:rPr>
          <w:rFonts w:hint="eastAsia" w:hAnsi="楷体"/>
          <w:color w:val="auto"/>
          <w:spacing w:val="-6"/>
          <w:szCs w:val="32"/>
        </w:rPr>
        <w:t>元。</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hAnsi="楷体"/>
          <w:color w:val="auto"/>
          <w:spacing w:val="-6"/>
          <w:szCs w:val="32"/>
        </w:rPr>
      </w:pPr>
      <w:r>
        <w:rPr>
          <w:rFonts w:hint="default" w:hAnsi="楷体"/>
          <w:color w:val="auto"/>
          <w:spacing w:val="-6"/>
          <w:szCs w:val="32"/>
        </w:rPr>
        <w:t>3</w:t>
      </w:r>
      <w:r>
        <w:rPr>
          <w:rFonts w:hint="eastAsia" w:hAnsi="楷体"/>
          <w:color w:val="auto"/>
          <w:spacing w:val="-6"/>
          <w:szCs w:val="32"/>
        </w:rPr>
        <w:t>.转移性收入</w:t>
      </w:r>
      <w:r>
        <w:rPr>
          <w:rFonts w:hint="default" w:hAnsi="楷体"/>
          <w:color w:val="auto"/>
          <w:spacing w:val="-6"/>
          <w:szCs w:val="32"/>
        </w:rPr>
        <w:t>14.2</w:t>
      </w:r>
      <w:r>
        <w:rPr>
          <w:rFonts w:hint="eastAsia" w:hAnsi="楷体"/>
          <w:color w:val="auto"/>
          <w:spacing w:val="-6"/>
          <w:szCs w:val="32"/>
        </w:rPr>
        <w:t>亿元。其中:</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hAnsi="楷体"/>
          <w:color w:val="auto"/>
          <w:spacing w:val="-6"/>
          <w:szCs w:val="32"/>
        </w:rPr>
      </w:pPr>
      <w:r>
        <w:rPr>
          <w:rFonts w:hint="eastAsia" w:hAnsi="楷体"/>
          <w:color w:val="auto"/>
          <w:spacing w:val="-6"/>
          <w:szCs w:val="32"/>
        </w:rPr>
        <w:t>（1）政府性基金补助收入</w:t>
      </w:r>
      <w:r>
        <w:rPr>
          <w:rFonts w:hint="default" w:hAnsi="楷体"/>
          <w:color w:val="auto"/>
          <w:spacing w:val="-6"/>
          <w:szCs w:val="32"/>
        </w:rPr>
        <w:t>10</w:t>
      </w:r>
      <w:r>
        <w:rPr>
          <w:rFonts w:hint="eastAsia" w:hAnsi="楷体"/>
          <w:color w:val="auto"/>
          <w:spacing w:val="-6"/>
          <w:szCs w:val="32"/>
        </w:rPr>
        <w:t>亿元，</w:t>
      </w:r>
      <w:r>
        <w:rPr>
          <w:rFonts w:hint="default" w:hAnsi="楷体"/>
          <w:color w:val="auto"/>
          <w:spacing w:val="-6"/>
          <w:szCs w:val="32"/>
        </w:rPr>
        <w:t>增加3.5</w:t>
      </w:r>
      <w:r>
        <w:rPr>
          <w:rFonts w:hint="eastAsia" w:hAnsi="楷体"/>
          <w:color w:val="auto"/>
          <w:spacing w:val="-6"/>
          <w:szCs w:val="32"/>
        </w:rPr>
        <w:t>亿元，主要是预计国有土地使用权出让分成收入</w:t>
      </w:r>
      <w:r>
        <w:rPr>
          <w:rFonts w:hint="default" w:hAnsi="楷体"/>
          <w:color w:val="auto"/>
          <w:spacing w:val="-6"/>
          <w:szCs w:val="32"/>
        </w:rPr>
        <w:t>增加</w:t>
      </w:r>
      <w:r>
        <w:rPr>
          <w:rFonts w:hint="eastAsia" w:hAnsi="楷体"/>
          <w:color w:val="auto"/>
          <w:spacing w:val="-6"/>
          <w:szCs w:val="32"/>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hAnsi="楷体"/>
          <w:color w:val="auto"/>
          <w:spacing w:val="-6"/>
          <w:szCs w:val="32"/>
        </w:rPr>
      </w:pPr>
      <w:r>
        <w:rPr>
          <w:rFonts w:hint="eastAsia" w:hAnsi="楷体"/>
          <w:color w:val="auto"/>
          <w:spacing w:val="-6"/>
          <w:szCs w:val="32"/>
        </w:rPr>
        <w:t>（2）上年结余收入</w:t>
      </w:r>
      <w:r>
        <w:rPr>
          <w:rFonts w:hint="default" w:hAnsi="楷体"/>
          <w:color w:val="auto"/>
          <w:spacing w:val="-6"/>
          <w:szCs w:val="32"/>
        </w:rPr>
        <w:t>3.5</w:t>
      </w:r>
      <w:r>
        <w:rPr>
          <w:rFonts w:hint="eastAsia" w:hAnsi="楷体"/>
          <w:color w:val="auto"/>
          <w:spacing w:val="-6"/>
          <w:szCs w:val="32"/>
        </w:rPr>
        <w:t>亿元，减少</w:t>
      </w:r>
      <w:r>
        <w:rPr>
          <w:rFonts w:hint="default" w:hAnsi="楷体"/>
          <w:color w:val="auto"/>
          <w:spacing w:val="-6"/>
          <w:szCs w:val="32"/>
        </w:rPr>
        <w:t>8</w:t>
      </w:r>
      <w:r>
        <w:rPr>
          <w:rFonts w:hint="eastAsia" w:hAnsi="楷体"/>
          <w:color w:val="auto"/>
          <w:spacing w:val="-6"/>
          <w:szCs w:val="32"/>
        </w:rPr>
        <w:t>亿元。</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hAnsi="楷体"/>
          <w:color w:val="auto"/>
          <w:spacing w:val="-6"/>
          <w:szCs w:val="32"/>
        </w:rPr>
      </w:pPr>
      <w:r>
        <w:rPr>
          <w:rFonts w:hint="eastAsia" w:hAnsi="楷体"/>
          <w:color w:val="auto"/>
          <w:spacing w:val="-6"/>
          <w:szCs w:val="32"/>
        </w:rPr>
        <w:t>（3）地方政府专项债务转贷收入</w:t>
      </w:r>
      <w:r>
        <w:rPr>
          <w:rFonts w:hint="default" w:hAnsi="楷体"/>
          <w:color w:val="auto"/>
          <w:spacing w:val="-6"/>
          <w:szCs w:val="32"/>
        </w:rPr>
        <w:t>0.</w:t>
      </w:r>
      <w:r>
        <w:rPr>
          <w:rFonts w:hint="eastAsia" w:hAnsi="楷体"/>
          <w:color w:val="auto"/>
          <w:spacing w:val="-6"/>
          <w:szCs w:val="32"/>
        </w:rPr>
        <w:t>6亿元，</w:t>
      </w:r>
      <w:r>
        <w:rPr>
          <w:rFonts w:hint="default" w:hAnsi="楷体"/>
          <w:color w:val="auto"/>
          <w:spacing w:val="-6"/>
          <w:szCs w:val="32"/>
        </w:rPr>
        <w:t>减少7</w:t>
      </w:r>
      <w:r>
        <w:rPr>
          <w:rFonts w:hint="eastAsia" w:hAnsi="楷体"/>
          <w:color w:val="auto"/>
          <w:spacing w:val="-6"/>
          <w:szCs w:val="32"/>
        </w:rPr>
        <w:t>.6亿元，主要是</w:t>
      </w:r>
      <w:r>
        <w:rPr>
          <w:rFonts w:hint="eastAsia" w:hAnsi="楷体"/>
          <w:color w:val="auto"/>
          <w:spacing w:val="-6"/>
          <w:szCs w:val="32"/>
          <w:lang w:eastAsia="zh-CN"/>
        </w:rPr>
        <w:t>根据</w:t>
      </w:r>
      <w:r>
        <w:rPr>
          <w:rFonts w:hint="default" w:hAnsi="楷体"/>
          <w:color w:val="auto"/>
          <w:spacing w:val="-6"/>
          <w:szCs w:val="32"/>
        </w:rPr>
        <w:t>提前告知</w:t>
      </w:r>
      <w:r>
        <w:rPr>
          <w:rFonts w:hint="eastAsia" w:hAnsi="楷体"/>
          <w:color w:val="auto"/>
          <w:spacing w:val="-6"/>
          <w:szCs w:val="32"/>
          <w:lang w:eastAsia="zh-CN"/>
        </w:rPr>
        <w:t>据实减少</w:t>
      </w:r>
      <w:r>
        <w:rPr>
          <w:rFonts w:hint="eastAsia" w:hAnsi="楷体"/>
          <w:color w:val="auto"/>
          <w:spacing w:val="-6"/>
          <w:szCs w:val="32"/>
        </w:rPr>
        <w:t>专项债券</w:t>
      </w:r>
      <w:r>
        <w:rPr>
          <w:rFonts w:hint="eastAsia" w:hAnsi="楷体"/>
          <w:color w:val="auto"/>
          <w:spacing w:val="-6"/>
          <w:szCs w:val="32"/>
          <w:lang w:eastAsia="zh-CN"/>
        </w:rPr>
        <w:t>年初额度</w:t>
      </w:r>
      <w:r>
        <w:rPr>
          <w:rFonts w:hint="eastAsia" w:hAnsi="楷体"/>
          <w:color w:val="auto"/>
          <w:spacing w:val="-6"/>
          <w:szCs w:val="32"/>
        </w:rPr>
        <w:t>。</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val="0"/>
        <w:bidi w:val="0"/>
        <w:adjustRightInd w:val="0"/>
        <w:snapToGrid w:val="0"/>
        <w:spacing w:line="560" w:lineRule="exact"/>
        <w:ind w:leftChars="0" w:firstLine="628" w:firstLineChars="200"/>
        <w:jc w:val="both"/>
        <w:textAlignment w:val="auto"/>
        <w:rPr>
          <w:rFonts w:hint="eastAsia" w:ascii="黑体" w:hAnsi="黑体" w:eastAsia="黑体"/>
          <w:color w:val="auto"/>
          <w:szCs w:val="32"/>
        </w:rPr>
      </w:pPr>
      <w:r>
        <w:rPr>
          <w:rFonts w:hint="eastAsia" w:ascii="黑体" w:hAnsi="黑体" w:eastAsia="黑体"/>
          <w:color w:val="auto"/>
          <w:szCs w:val="32"/>
        </w:rPr>
        <w:t>二、202</w:t>
      </w:r>
      <w:r>
        <w:rPr>
          <w:rFonts w:hint="default" w:ascii="黑体" w:hAnsi="黑体" w:eastAsia="黑体"/>
          <w:color w:val="auto"/>
          <w:szCs w:val="32"/>
        </w:rPr>
        <w:t>2</w:t>
      </w:r>
      <w:r>
        <w:rPr>
          <w:rFonts w:hint="eastAsia" w:ascii="黑体" w:hAnsi="黑体" w:eastAsia="黑体"/>
          <w:color w:val="auto"/>
          <w:szCs w:val="32"/>
        </w:rPr>
        <w:t>年新区政府性基金支出预算</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hAnsi="楷体"/>
          <w:color w:val="auto"/>
          <w:spacing w:val="-6"/>
          <w:szCs w:val="32"/>
        </w:rPr>
      </w:pPr>
      <w:r>
        <w:rPr>
          <w:rFonts w:hint="eastAsia" w:hAnsi="楷体"/>
          <w:color w:val="auto"/>
          <w:spacing w:val="-6"/>
          <w:szCs w:val="32"/>
        </w:rPr>
        <w:t>按照以收定支的原则，相应安排202</w:t>
      </w:r>
      <w:r>
        <w:rPr>
          <w:rFonts w:hint="default" w:hAnsi="楷体"/>
          <w:color w:val="auto"/>
          <w:spacing w:val="-6"/>
          <w:szCs w:val="32"/>
        </w:rPr>
        <w:t>2</w:t>
      </w:r>
      <w:r>
        <w:rPr>
          <w:rFonts w:hint="eastAsia" w:hAnsi="楷体"/>
          <w:color w:val="auto"/>
          <w:spacing w:val="-6"/>
          <w:szCs w:val="32"/>
        </w:rPr>
        <w:t>年新区政府性基金预算总支出计划</w:t>
      </w:r>
      <w:r>
        <w:rPr>
          <w:rFonts w:hint="default" w:hAnsi="楷体"/>
          <w:color w:val="auto"/>
          <w:spacing w:val="-6"/>
          <w:szCs w:val="32"/>
        </w:rPr>
        <w:t>14.4</w:t>
      </w:r>
      <w:r>
        <w:rPr>
          <w:rFonts w:hint="eastAsia" w:hAnsi="楷体"/>
          <w:color w:val="auto"/>
          <w:spacing w:val="-6"/>
          <w:szCs w:val="32"/>
        </w:rPr>
        <w:t>亿元。主要包括：</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hAnsi="楷体"/>
          <w:color w:val="auto"/>
          <w:spacing w:val="-6"/>
          <w:szCs w:val="32"/>
        </w:rPr>
      </w:pPr>
      <w:r>
        <w:rPr>
          <w:rFonts w:hint="eastAsia" w:hAnsi="楷体"/>
          <w:color w:val="auto"/>
          <w:spacing w:val="-6"/>
          <w:szCs w:val="32"/>
        </w:rPr>
        <w:t>1.城乡社区支出</w:t>
      </w:r>
      <w:r>
        <w:rPr>
          <w:rFonts w:hint="default" w:hAnsi="楷体"/>
          <w:color w:val="auto"/>
          <w:spacing w:val="-6"/>
          <w:szCs w:val="32"/>
        </w:rPr>
        <w:t>2</w:t>
      </w:r>
      <w:r>
        <w:rPr>
          <w:rFonts w:hint="eastAsia" w:hAnsi="楷体"/>
          <w:color w:val="auto"/>
          <w:spacing w:val="-6"/>
          <w:szCs w:val="32"/>
        </w:rPr>
        <w:t>亿元，主要是征地拆迁支出0.</w:t>
      </w:r>
      <w:r>
        <w:rPr>
          <w:rFonts w:hint="default" w:hAnsi="楷体"/>
          <w:color w:val="auto"/>
          <w:spacing w:val="-6"/>
          <w:szCs w:val="32"/>
        </w:rPr>
        <w:t>3</w:t>
      </w:r>
      <w:r>
        <w:rPr>
          <w:rFonts w:hint="eastAsia" w:hAnsi="楷体"/>
          <w:color w:val="auto"/>
          <w:spacing w:val="-6"/>
          <w:szCs w:val="32"/>
        </w:rPr>
        <w:t>亿元，城市建设支出0</w:t>
      </w:r>
      <w:r>
        <w:rPr>
          <w:rFonts w:hint="default" w:hAnsi="楷体"/>
          <w:color w:val="auto"/>
          <w:spacing w:val="-6"/>
          <w:szCs w:val="32"/>
        </w:rPr>
        <w:t>.7</w:t>
      </w:r>
      <w:r>
        <w:rPr>
          <w:rFonts w:hint="eastAsia" w:hAnsi="楷体"/>
          <w:color w:val="auto"/>
          <w:spacing w:val="-6"/>
          <w:szCs w:val="32"/>
        </w:rPr>
        <w:t>亿元，公共租赁住房支出0.</w:t>
      </w:r>
      <w:r>
        <w:rPr>
          <w:rFonts w:hint="default" w:hAnsi="楷体"/>
          <w:color w:val="auto"/>
          <w:spacing w:val="-6"/>
          <w:szCs w:val="32"/>
        </w:rPr>
        <w:t>2</w:t>
      </w:r>
      <w:r>
        <w:rPr>
          <w:rFonts w:hint="eastAsia" w:hAnsi="楷体"/>
          <w:color w:val="auto"/>
          <w:spacing w:val="-6"/>
          <w:szCs w:val="32"/>
        </w:rPr>
        <w:t>亿元，</w:t>
      </w:r>
      <w:r>
        <w:rPr>
          <w:rFonts w:hint="default" w:hAnsi="楷体"/>
          <w:color w:val="auto"/>
          <w:spacing w:val="-6"/>
          <w:szCs w:val="32"/>
        </w:rPr>
        <w:t>农业生产发展支出0.5亿元，</w:t>
      </w:r>
      <w:r>
        <w:rPr>
          <w:rFonts w:hint="eastAsia" w:hAnsi="楷体"/>
          <w:color w:val="auto"/>
          <w:spacing w:val="-6"/>
          <w:szCs w:val="32"/>
        </w:rPr>
        <w:t>其他国土基金支出0.1亿元</w:t>
      </w:r>
      <w:r>
        <w:rPr>
          <w:rFonts w:hint="default" w:hAnsi="楷体"/>
          <w:color w:val="auto"/>
          <w:spacing w:val="-6"/>
          <w:szCs w:val="32"/>
        </w:rPr>
        <w:t>，污水处理费对应专项债务收入安排的支出0.3亿元</w:t>
      </w:r>
      <w:r>
        <w:rPr>
          <w:rFonts w:hint="eastAsia" w:hAnsi="楷体"/>
          <w:color w:val="auto"/>
          <w:spacing w:val="-6"/>
          <w:szCs w:val="32"/>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hAnsi="楷体"/>
          <w:color w:val="auto"/>
          <w:spacing w:val="-6"/>
          <w:szCs w:val="32"/>
        </w:rPr>
      </w:pPr>
      <w:r>
        <w:rPr>
          <w:rFonts w:hint="eastAsia" w:hAnsi="楷体"/>
          <w:color w:val="auto"/>
          <w:spacing w:val="-6"/>
          <w:szCs w:val="32"/>
        </w:rPr>
        <w:t>2.其他支出</w:t>
      </w:r>
      <w:r>
        <w:rPr>
          <w:rFonts w:hint="default" w:hAnsi="楷体"/>
          <w:color w:val="auto"/>
          <w:spacing w:val="-6"/>
          <w:szCs w:val="32"/>
        </w:rPr>
        <w:t>0.4</w:t>
      </w:r>
      <w:r>
        <w:rPr>
          <w:rFonts w:hint="eastAsia" w:hAnsi="楷体"/>
          <w:color w:val="auto"/>
          <w:spacing w:val="-6"/>
          <w:szCs w:val="32"/>
        </w:rPr>
        <w:t>亿元，主要是彩票公益金安排的支出</w:t>
      </w:r>
      <w:r>
        <w:rPr>
          <w:rFonts w:hint="default" w:hAnsi="楷体"/>
          <w:color w:val="auto"/>
          <w:spacing w:val="-6"/>
          <w:szCs w:val="32"/>
        </w:rPr>
        <w:t>884</w:t>
      </w:r>
      <w:r>
        <w:rPr>
          <w:rFonts w:hint="eastAsia" w:hAnsi="楷体"/>
          <w:color w:val="auto"/>
          <w:spacing w:val="-6"/>
          <w:szCs w:val="32"/>
        </w:rPr>
        <w:t>万元，其他政府性基金</w:t>
      </w:r>
      <w:r>
        <w:rPr>
          <w:rFonts w:hint="eastAsia" w:hAnsi="楷体"/>
          <w:color w:val="auto"/>
          <w:spacing w:val="-6"/>
          <w:szCs w:val="32"/>
          <w:lang w:eastAsia="zh-CN"/>
        </w:rPr>
        <w:t>及</w:t>
      </w:r>
      <w:r>
        <w:rPr>
          <w:rFonts w:hint="default" w:hAnsi="楷体"/>
          <w:color w:val="auto"/>
          <w:spacing w:val="-6"/>
          <w:szCs w:val="32"/>
        </w:rPr>
        <w:t>对应专项</w:t>
      </w:r>
      <w:r>
        <w:rPr>
          <w:rFonts w:hint="eastAsia" w:hAnsi="楷体"/>
          <w:color w:val="auto"/>
          <w:spacing w:val="-6"/>
          <w:szCs w:val="32"/>
        </w:rPr>
        <w:t>债务收入安排的支出</w:t>
      </w:r>
      <w:r>
        <w:rPr>
          <w:rFonts w:hint="default" w:hAnsi="楷体"/>
          <w:color w:val="auto"/>
          <w:spacing w:val="-6"/>
          <w:szCs w:val="32"/>
        </w:rPr>
        <w:t>0.3</w:t>
      </w:r>
      <w:r>
        <w:rPr>
          <w:rFonts w:hint="eastAsia" w:hAnsi="楷体"/>
          <w:color w:val="auto"/>
          <w:spacing w:val="-6"/>
          <w:szCs w:val="32"/>
        </w:rPr>
        <w:t>亿元。</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hAnsi="仿宋_GB2312" w:cs="仿宋_GB2312"/>
          <w:color w:val="auto"/>
          <w:kern w:val="0"/>
          <w:szCs w:val="32"/>
        </w:rPr>
      </w:pPr>
      <w:r>
        <w:rPr>
          <w:rFonts w:hint="eastAsia" w:hAnsi="仿宋_GB2312" w:cs="仿宋_GB2312"/>
          <w:color w:val="auto"/>
          <w:kern w:val="0"/>
          <w:szCs w:val="32"/>
        </w:rPr>
        <w:t>3.债务付息支出0.</w:t>
      </w:r>
      <w:r>
        <w:rPr>
          <w:rFonts w:hint="default" w:hAnsi="仿宋_GB2312" w:cs="仿宋_GB2312"/>
          <w:color w:val="auto"/>
          <w:kern w:val="0"/>
          <w:szCs w:val="32"/>
        </w:rPr>
        <w:t>4</w:t>
      </w:r>
      <w:r>
        <w:rPr>
          <w:rFonts w:hint="eastAsia" w:hAnsi="仿宋_GB2312" w:cs="仿宋_GB2312"/>
          <w:color w:val="auto"/>
          <w:kern w:val="0"/>
          <w:szCs w:val="32"/>
        </w:rPr>
        <w:t>亿元，主要是</w:t>
      </w:r>
      <w:r>
        <w:rPr>
          <w:rFonts w:hint="eastAsia" w:hAnsi="仿宋_GB2312" w:cs="仿宋_GB2312"/>
          <w:color w:val="auto"/>
          <w:kern w:val="0"/>
          <w:szCs w:val="32"/>
          <w:lang w:val="en-US" w:eastAsia="zh-CN"/>
        </w:rPr>
        <w:t>归还债务利息的支出</w:t>
      </w:r>
      <w:r>
        <w:rPr>
          <w:rFonts w:hint="eastAsia" w:hAnsi="仿宋_GB2312" w:cs="仿宋_GB2312"/>
          <w:color w:val="auto"/>
          <w:kern w:val="0"/>
          <w:szCs w:val="32"/>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left="634" w:leftChars="202" w:firstLine="0" w:firstLineChars="0"/>
        <w:textAlignment w:val="auto"/>
        <w:rPr>
          <w:rFonts w:hint="eastAsia" w:hAnsi="仿宋_GB2312" w:cs="仿宋_GB2312"/>
          <w:color w:val="auto"/>
          <w:kern w:val="0"/>
          <w:szCs w:val="32"/>
        </w:rPr>
      </w:pPr>
      <w:r>
        <w:rPr>
          <w:rFonts w:hint="eastAsia" w:hAnsi="仿宋_GB2312" w:cs="仿宋_GB2312"/>
          <w:color w:val="auto"/>
          <w:kern w:val="0"/>
          <w:szCs w:val="32"/>
        </w:rPr>
        <w:t>4.债务发行费用支出5万元，主要是发行</w:t>
      </w:r>
      <w:r>
        <w:rPr>
          <w:rFonts w:hint="eastAsia" w:hAnsi="仿宋_GB2312" w:cs="仿宋_GB2312"/>
          <w:color w:val="auto"/>
          <w:kern w:val="0"/>
          <w:szCs w:val="32"/>
          <w:lang w:eastAsia="zh-CN"/>
        </w:rPr>
        <w:t>债务</w:t>
      </w:r>
      <w:r>
        <w:rPr>
          <w:rFonts w:hint="eastAsia" w:hAnsi="仿宋_GB2312" w:cs="仿宋_GB2312"/>
          <w:color w:val="auto"/>
          <w:kern w:val="0"/>
          <w:szCs w:val="32"/>
        </w:rPr>
        <w:t>费用支出。</w:t>
      </w:r>
    </w:p>
    <w:p>
      <w:pPr>
        <w:rPr>
          <w:rFonts w:hint="eastAsia"/>
          <w:color w:val="auto"/>
        </w:rPr>
      </w:pPr>
      <w:r>
        <w:rPr>
          <w:rFonts w:hint="eastAsia"/>
          <w:color w:val="auto"/>
        </w:rPr>
        <w:t>5.转移性支出1</w:t>
      </w:r>
      <w:r>
        <w:rPr>
          <w:rFonts w:hint="default"/>
          <w:color w:val="auto"/>
        </w:rPr>
        <w:t>1.7</w:t>
      </w:r>
      <w:r>
        <w:rPr>
          <w:rFonts w:hint="eastAsia"/>
          <w:color w:val="auto"/>
        </w:rPr>
        <w:t>亿元，主要是调出至一般公共预算资金</w:t>
      </w:r>
      <w:r>
        <w:rPr>
          <w:rFonts w:hint="default"/>
          <w:color w:val="auto"/>
        </w:rPr>
        <w:t>8.6</w:t>
      </w:r>
      <w:r>
        <w:rPr>
          <w:rFonts w:hint="eastAsia"/>
          <w:color w:val="auto"/>
        </w:rPr>
        <w:t>亿元，年终结余</w:t>
      </w:r>
      <w:r>
        <w:rPr>
          <w:rFonts w:hint="default"/>
          <w:color w:val="auto"/>
        </w:rPr>
        <w:t>3.1</w:t>
      </w:r>
      <w:r>
        <w:rPr>
          <w:rFonts w:hint="eastAsia"/>
          <w:color w:val="auto"/>
        </w:rPr>
        <w:t>亿元。</w:t>
      </w:r>
    </w:p>
    <w:p>
      <w:pPr>
        <w:pStyle w:val="2"/>
        <w:rPr>
          <w:rFonts w:hint="eastAsia"/>
          <w:color w:val="auto"/>
        </w:rPr>
      </w:pPr>
    </w:p>
    <w:p>
      <w:pPr>
        <w:ind w:left="0" w:leftChars="0" w:firstLine="0" w:firstLineChars="0"/>
        <w:jc w:val="center"/>
        <w:rPr>
          <w:color w:val="auto"/>
          <w:szCs w:val="32"/>
        </w:rPr>
      </w:pPr>
      <w:r>
        <w:rPr>
          <w:rFonts w:hint="eastAsia" w:ascii="黑体" w:hAnsi="黑体" w:eastAsia="黑体" w:cs="宋体"/>
          <w:color w:val="auto"/>
          <w:kern w:val="0"/>
          <w:szCs w:val="32"/>
        </w:rPr>
        <w:t>第三部分   202</w:t>
      </w:r>
      <w:r>
        <w:rPr>
          <w:rFonts w:hint="default" w:ascii="黑体" w:hAnsi="黑体" w:eastAsia="黑体" w:cs="宋体"/>
          <w:color w:val="auto"/>
          <w:kern w:val="0"/>
          <w:szCs w:val="32"/>
        </w:rPr>
        <w:t>2</w:t>
      </w:r>
      <w:r>
        <w:rPr>
          <w:rFonts w:hint="eastAsia" w:ascii="黑体" w:hAnsi="黑体" w:eastAsia="黑体" w:cs="宋体"/>
          <w:color w:val="auto"/>
          <w:kern w:val="0"/>
          <w:szCs w:val="32"/>
        </w:rPr>
        <w:t>年国有资本经营收益预算</w:t>
      </w:r>
    </w:p>
    <w:p>
      <w:pPr>
        <w:keepNext w:val="0"/>
        <w:keepLines w:val="0"/>
        <w:pageBreakBefore w:val="0"/>
        <w:widowControl w:val="0"/>
        <w:kinsoku/>
        <w:wordWrap/>
        <w:overflowPunct/>
        <w:topLinePunct w:val="0"/>
        <w:autoSpaceDE w:val="0"/>
        <w:autoSpaceDN w:val="0"/>
        <w:bidi w:val="0"/>
        <w:adjustRightInd w:val="0"/>
        <w:spacing w:line="560" w:lineRule="exact"/>
        <w:ind w:firstLine="628"/>
        <w:jc w:val="left"/>
        <w:textAlignment w:val="auto"/>
        <w:rPr>
          <w:color w:val="auto"/>
          <w:szCs w:val="32"/>
        </w:rPr>
      </w:pPr>
    </w:p>
    <w:p>
      <w:pPr>
        <w:keepNext w:val="0"/>
        <w:keepLines w:val="0"/>
        <w:pageBreakBefore w:val="0"/>
        <w:widowControl w:val="0"/>
        <w:kinsoku/>
        <w:wordWrap/>
        <w:overflowPunct/>
        <w:topLinePunct w:val="0"/>
        <w:autoSpaceDE w:val="0"/>
        <w:autoSpaceDN w:val="0"/>
        <w:bidi w:val="0"/>
        <w:adjustRightInd w:val="0"/>
        <w:spacing w:line="560" w:lineRule="exact"/>
        <w:ind w:firstLine="628"/>
        <w:jc w:val="left"/>
        <w:textAlignment w:val="auto"/>
        <w:rPr>
          <w:rFonts w:ascii="黑体" w:hAnsi="黑体" w:eastAsia="黑体"/>
          <w:color w:val="auto"/>
          <w:szCs w:val="32"/>
        </w:rPr>
      </w:pPr>
      <w:r>
        <w:rPr>
          <w:rFonts w:hint="eastAsia" w:ascii="黑体" w:hAnsi="黑体" w:eastAsia="黑体"/>
          <w:color w:val="auto"/>
          <w:szCs w:val="32"/>
        </w:rPr>
        <w:t>一、</w:t>
      </w:r>
      <w:r>
        <w:rPr>
          <w:rFonts w:hint="eastAsia" w:ascii="黑体" w:eastAsia="黑体"/>
          <w:color w:val="auto"/>
        </w:rPr>
        <w:t>202</w:t>
      </w:r>
      <w:r>
        <w:rPr>
          <w:rFonts w:hint="default" w:ascii="黑体" w:eastAsia="黑体"/>
          <w:color w:val="auto"/>
        </w:rPr>
        <w:t>2</w:t>
      </w:r>
      <w:r>
        <w:rPr>
          <w:rFonts w:hint="eastAsia" w:ascii="黑体" w:eastAsia="黑体"/>
          <w:color w:val="auto"/>
        </w:rPr>
        <w:t>年国有资本经营</w:t>
      </w:r>
      <w:r>
        <w:rPr>
          <w:rFonts w:hint="eastAsia" w:ascii="黑体" w:hAnsi="黑体" w:eastAsia="黑体"/>
          <w:color w:val="auto"/>
          <w:szCs w:val="32"/>
        </w:rPr>
        <w:t>收入预算</w:t>
      </w:r>
    </w:p>
    <w:p>
      <w:pPr>
        <w:keepNext w:val="0"/>
        <w:keepLines w:val="0"/>
        <w:pageBreakBefore w:val="0"/>
        <w:widowControl w:val="0"/>
        <w:kinsoku/>
        <w:wordWrap/>
        <w:overflowPunct/>
        <w:topLinePunct w:val="0"/>
        <w:autoSpaceDE w:val="0"/>
        <w:autoSpaceDN w:val="0"/>
        <w:bidi w:val="0"/>
        <w:adjustRightInd w:val="0"/>
        <w:spacing w:line="560" w:lineRule="exact"/>
        <w:ind w:firstLine="628"/>
        <w:jc w:val="left"/>
        <w:textAlignment w:val="auto"/>
        <w:rPr>
          <w:color w:val="auto"/>
          <w:szCs w:val="32"/>
        </w:rPr>
      </w:pPr>
      <w:r>
        <w:rPr>
          <w:rFonts w:hint="eastAsia"/>
          <w:color w:val="auto"/>
          <w:szCs w:val="32"/>
        </w:rPr>
        <w:t>国有资本经营预算总收入1万元，主要是市财政部门下达新区202</w:t>
      </w:r>
      <w:r>
        <w:rPr>
          <w:rFonts w:hint="default"/>
          <w:color w:val="auto"/>
          <w:szCs w:val="32"/>
        </w:rPr>
        <w:t>2</w:t>
      </w:r>
      <w:r>
        <w:rPr>
          <w:rFonts w:hint="eastAsia"/>
          <w:color w:val="auto"/>
          <w:szCs w:val="32"/>
        </w:rPr>
        <w:t>年国有企业退休人员社会化管理补助资金。</w:t>
      </w:r>
    </w:p>
    <w:p>
      <w:pPr>
        <w:keepNext w:val="0"/>
        <w:keepLines w:val="0"/>
        <w:pageBreakBefore w:val="0"/>
        <w:widowControl w:val="0"/>
        <w:kinsoku/>
        <w:wordWrap/>
        <w:overflowPunct/>
        <w:topLinePunct w:val="0"/>
        <w:autoSpaceDE w:val="0"/>
        <w:autoSpaceDN w:val="0"/>
        <w:bidi w:val="0"/>
        <w:adjustRightInd w:val="0"/>
        <w:spacing w:line="560" w:lineRule="exact"/>
        <w:ind w:firstLine="628"/>
        <w:jc w:val="left"/>
        <w:textAlignment w:val="auto"/>
        <w:rPr>
          <w:rFonts w:ascii="黑体" w:hAnsi="黑体" w:eastAsia="黑体"/>
          <w:color w:val="auto"/>
          <w:szCs w:val="32"/>
        </w:rPr>
      </w:pPr>
      <w:r>
        <w:rPr>
          <w:rFonts w:hint="eastAsia" w:ascii="黑体" w:hAnsi="黑体" w:eastAsia="黑体"/>
          <w:color w:val="auto"/>
          <w:szCs w:val="32"/>
        </w:rPr>
        <w:t>二、</w:t>
      </w:r>
      <w:r>
        <w:rPr>
          <w:rFonts w:hint="eastAsia" w:ascii="黑体" w:eastAsia="黑体"/>
          <w:color w:val="auto"/>
        </w:rPr>
        <w:t>202</w:t>
      </w:r>
      <w:r>
        <w:rPr>
          <w:rFonts w:hint="default" w:ascii="黑体" w:eastAsia="黑体"/>
          <w:color w:val="auto"/>
        </w:rPr>
        <w:t>2</w:t>
      </w:r>
      <w:r>
        <w:rPr>
          <w:rFonts w:hint="eastAsia" w:ascii="黑体" w:eastAsia="黑体"/>
          <w:color w:val="auto"/>
        </w:rPr>
        <w:t>年国有资本经营</w:t>
      </w:r>
      <w:r>
        <w:rPr>
          <w:rFonts w:hint="eastAsia" w:ascii="黑体" w:hAnsi="黑体" w:eastAsia="黑体"/>
          <w:color w:val="auto"/>
          <w:szCs w:val="32"/>
        </w:rPr>
        <w:t>支出预算</w:t>
      </w:r>
    </w:p>
    <w:p>
      <w:pPr>
        <w:keepNext w:val="0"/>
        <w:keepLines w:val="0"/>
        <w:pageBreakBefore w:val="0"/>
        <w:widowControl w:val="0"/>
        <w:kinsoku/>
        <w:wordWrap/>
        <w:overflowPunct/>
        <w:topLinePunct w:val="0"/>
        <w:autoSpaceDE w:val="0"/>
        <w:autoSpaceDN w:val="0"/>
        <w:bidi w:val="0"/>
        <w:adjustRightInd w:val="0"/>
        <w:spacing w:line="560" w:lineRule="exact"/>
        <w:ind w:firstLine="628"/>
        <w:jc w:val="left"/>
        <w:textAlignment w:val="auto"/>
        <w:rPr>
          <w:rFonts w:hAnsi="宋体" w:cs="宋体"/>
          <w:color w:val="auto"/>
          <w:kern w:val="0"/>
          <w:szCs w:val="32"/>
        </w:rPr>
      </w:pPr>
      <w:r>
        <w:rPr>
          <w:rFonts w:hint="eastAsia"/>
          <w:color w:val="auto"/>
          <w:szCs w:val="32"/>
        </w:rPr>
        <w:t>按照收支平衡的原则，相应安排202</w:t>
      </w:r>
      <w:r>
        <w:rPr>
          <w:rFonts w:hint="default"/>
          <w:color w:val="auto"/>
          <w:szCs w:val="32"/>
        </w:rPr>
        <w:t>2</w:t>
      </w:r>
      <w:r>
        <w:rPr>
          <w:rFonts w:hint="eastAsia"/>
          <w:color w:val="auto"/>
          <w:szCs w:val="32"/>
        </w:rPr>
        <w:t>年国有资本经营收益预算总支出1万元，主要是国有</w:t>
      </w:r>
      <w:r>
        <w:rPr>
          <w:rFonts w:hint="eastAsia" w:hAnsi="仿宋_GB2312" w:cs="仿宋_GB2312"/>
          <w:color w:val="auto"/>
          <w:kern w:val="0"/>
          <w:szCs w:val="32"/>
        </w:rPr>
        <w:t>企业退休人员社会化管理补助</w:t>
      </w:r>
      <w:r>
        <w:rPr>
          <w:rFonts w:hint="eastAsia" w:hAnsi="宋体" w:cs="宋体"/>
          <w:color w:val="auto"/>
          <w:kern w:val="0"/>
          <w:szCs w:val="32"/>
        </w:rPr>
        <w:t>。</w:t>
      </w:r>
    </w:p>
    <w:p>
      <w:pPr>
        <w:keepNext w:val="0"/>
        <w:keepLines w:val="0"/>
        <w:pageBreakBefore w:val="0"/>
        <w:widowControl w:val="0"/>
        <w:shd w:val="clear" w:color="auto" w:fill="FFFFFF"/>
        <w:kinsoku/>
        <w:wordWrap/>
        <w:overflowPunct/>
        <w:topLinePunct w:val="0"/>
        <w:bidi w:val="0"/>
        <w:spacing w:line="560" w:lineRule="exact"/>
        <w:ind w:firstLine="197" w:firstLineChars="63"/>
        <w:jc w:val="center"/>
        <w:textAlignment w:val="auto"/>
        <w:rPr>
          <w:rFonts w:ascii="黑体" w:hAnsi="黑体" w:eastAsia="黑体" w:cs="宋体"/>
          <w:color w:val="auto"/>
          <w:kern w:val="0"/>
          <w:szCs w:val="32"/>
        </w:rPr>
      </w:pPr>
    </w:p>
    <w:p>
      <w:pPr>
        <w:keepNext w:val="0"/>
        <w:keepLines w:val="0"/>
        <w:pageBreakBefore w:val="0"/>
        <w:widowControl w:val="0"/>
        <w:shd w:val="clear" w:color="auto" w:fill="FFFFFF"/>
        <w:kinsoku/>
        <w:wordWrap/>
        <w:overflowPunct/>
        <w:topLinePunct w:val="0"/>
        <w:bidi w:val="0"/>
        <w:spacing w:line="560" w:lineRule="exact"/>
        <w:ind w:firstLine="197" w:firstLineChars="63"/>
        <w:jc w:val="center"/>
        <w:textAlignment w:val="auto"/>
        <w:rPr>
          <w:rFonts w:ascii="黑体" w:hAnsi="黑体" w:eastAsia="黑体" w:cs="宋体"/>
          <w:color w:val="auto"/>
          <w:kern w:val="0"/>
          <w:szCs w:val="32"/>
        </w:rPr>
      </w:pPr>
      <w:r>
        <w:rPr>
          <w:rFonts w:hint="eastAsia" w:ascii="黑体" w:hAnsi="黑体" w:eastAsia="黑体" w:cs="宋体"/>
          <w:color w:val="auto"/>
          <w:kern w:val="0"/>
          <w:szCs w:val="32"/>
        </w:rPr>
        <w:t>第四部分  其他说明事项</w:t>
      </w:r>
    </w:p>
    <w:p>
      <w:pPr>
        <w:pStyle w:val="2"/>
        <w:keepNext w:val="0"/>
        <w:keepLines w:val="0"/>
        <w:pageBreakBefore w:val="0"/>
        <w:widowControl w:val="0"/>
        <w:kinsoku/>
        <w:wordWrap/>
        <w:overflowPunct/>
        <w:topLinePunct w:val="0"/>
        <w:bidi w:val="0"/>
        <w:ind w:firstLine="314"/>
        <w:textAlignment w:val="auto"/>
        <w:rPr>
          <w:color w:val="auto"/>
        </w:rPr>
      </w:pPr>
    </w:p>
    <w:p>
      <w:pPr>
        <w:keepNext w:val="0"/>
        <w:keepLines w:val="0"/>
        <w:pageBreakBefore w:val="0"/>
        <w:widowControl w:val="0"/>
        <w:shd w:val="clear" w:color="auto" w:fill="FFFFFF"/>
        <w:kinsoku/>
        <w:wordWrap/>
        <w:overflowPunct/>
        <w:topLinePunct w:val="0"/>
        <w:bidi w:val="0"/>
        <w:spacing w:line="560" w:lineRule="exact"/>
        <w:ind w:firstLine="628"/>
        <w:jc w:val="left"/>
        <w:textAlignment w:val="auto"/>
        <w:outlineLvl w:val="3"/>
        <w:rPr>
          <w:rFonts w:hAnsi="ˎ̥" w:cs="宋体"/>
          <w:color w:val="auto"/>
          <w:kern w:val="0"/>
          <w:szCs w:val="32"/>
        </w:rPr>
      </w:pPr>
      <w:r>
        <w:rPr>
          <w:rFonts w:hint="eastAsia" w:ascii="黑体" w:hAnsi="黑体" w:eastAsia="黑体" w:cs="黑体"/>
          <w:color w:val="auto"/>
          <w:szCs w:val="32"/>
        </w:rPr>
        <w:t>一、</w:t>
      </w:r>
      <w:r>
        <w:rPr>
          <w:rFonts w:hint="eastAsia" w:ascii="黑体" w:hAnsi="黑体" w:eastAsia="黑体"/>
          <w:color w:val="auto"/>
          <w:szCs w:val="32"/>
        </w:rPr>
        <w:t>财政转移支付安排情况</w:t>
      </w:r>
    </w:p>
    <w:p>
      <w:pPr>
        <w:keepNext w:val="0"/>
        <w:keepLines w:val="0"/>
        <w:pageBreakBefore w:val="0"/>
        <w:widowControl w:val="0"/>
        <w:shd w:val="clear" w:color="auto" w:fill="FFFFFF"/>
        <w:kinsoku/>
        <w:wordWrap/>
        <w:overflowPunct/>
        <w:topLinePunct w:val="0"/>
        <w:bidi w:val="0"/>
        <w:spacing w:line="560" w:lineRule="exact"/>
        <w:ind w:firstLine="631"/>
        <w:jc w:val="left"/>
        <w:textAlignment w:val="auto"/>
        <w:rPr>
          <w:color w:val="auto"/>
        </w:rPr>
      </w:pPr>
      <w:r>
        <w:rPr>
          <w:rFonts w:hint="eastAsia" w:hAnsi="仿宋_GB2312" w:cs="仿宋_GB2312"/>
          <w:b w:val="0"/>
          <w:bCs/>
          <w:color w:val="auto"/>
          <w:kern w:val="0"/>
          <w:szCs w:val="32"/>
          <w:lang w:val="en-US" w:eastAsia="zh-CN"/>
        </w:rPr>
        <w:t>2022年新区转移支付</w:t>
      </w:r>
      <w:r>
        <w:rPr>
          <w:rFonts w:hint="eastAsia" w:hAnsi="仿宋_GB2312" w:cs="仿宋_GB2312"/>
          <w:b/>
          <w:color w:val="auto"/>
          <w:kern w:val="0"/>
          <w:szCs w:val="32"/>
        </w:rPr>
        <w:t>一是</w:t>
      </w:r>
      <w:r>
        <w:rPr>
          <w:rFonts w:hint="eastAsia" w:hAnsi="仿宋_GB2312" w:cs="仿宋_GB2312"/>
          <w:color w:val="auto"/>
          <w:kern w:val="0"/>
          <w:szCs w:val="32"/>
        </w:rPr>
        <w:t>返还性收入1.</w:t>
      </w:r>
      <w:r>
        <w:rPr>
          <w:rFonts w:hint="default" w:hAnsi="仿宋_GB2312" w:cs="仿宋_GB2312"/>
          <w:color w:val="auto"/>
          <w:kern w:val="0"/>
          <w:szCs w:val="32"/>
        </w:rPr>
        <w:t>2</w:t>
      </w:r>
      <w:r>
        <w:rPr>
          <w:rFonts w:hint="eastAsia" w:hAnsi="仿宋_GB2312" w:cs="仿宋_GB2312"/>
          <w:color w:val="auto"/>
          <w:kern w:val="0"/>
          <w:szCs w:val="32"/>
        </w:rPr>
        <w:t>亿元</w:t>
      </w:r>
      <w:r>
        <w:rPr>
          <w:rFonts w:hint="eastAsia" w:cs="仿宋_GB2312"/>
          <w:color w:val="auto"/>
          <w:szCs w:val="32"/>
        </w:rPr>
        <w:t>，主要是提前告知的返还收入</w:t>
      </w:r>
      <w:r>
        <w:rPr>
          <w:rFonts w:hint="eastAsia" w:hAnsi="仿宋_GB2312" w:cs="仿宋_GB2312"/>
          <w:color w:val="auto"/>
          <w:kern w:val="0"/>
          <w:szCs w:val="32"/>
          <w:lang w:eastAsia="zh-CN"/>
        </w:rPr>
        <w:t>；</w:t>
      </w:r>
      <w:r>
        <w:rPr>
          <w:rFonts w:hint="eastAsia" w:hAnsi="仿宋_GB2312" w:cs="仿宋_GB2312"/>
          <w:b/>
          <w:color w:val="auto"/>
          <w:kern w:val="0"/>
          <w:szCs w:val="32"/>
        </w:rPr>
        <w:t>二是</w:t>
      </w:r>
      <w:r>
        <w:rPr>
          <w:rFonts w:hint="eastAsia" w:cs="仿宋_GB2312"/>
          <w:color w:val="auto"/>
          <w:szCs w:val="32"/>
        </w:rPr>
        <w:t>一般性转移支付收入</w:t>
      </w:r>
      <w:r>
        <w:rPr>
          <w:rFonts w:hint="default" w:cs="仿宋_GB2312"/>
          <w:color w:val="auto"/>
          <w:szCs w:val="32"/>
        </w:rPr>
        <w:t>17.4</w:t>
      </w:r>
      <w:r>
        <w:rPr>
          <w:rFonts w:hint="eastAsia" w:cs="仿宋_GB2312"/>
          <w:color w:val="auto"/>
          <w:szCs w:val="32"/>
        </w:rPr>
        <w:t>亿元，主要是生态转移支付资金</w:t>
      </w:r>
      <w:r>
        <w:rPr>
          <w:rFonts w:hint="eastAsia" w:cs="仿宋_GB2312"/>
          <w:color w:val="auto"/>
          <w:szCs w:val="32"/>
          <w:lang w:eastAsia="zh-CN"/>
        </w:rPr>
        <w:t>等</w:t>
      </w:r>
      <w:r>
        <w:rPr>
          <w:rFonts w:hAnsi="仿宋_GB2312" w:cs="仿宋_GB2312"/>
          <w:color w:val="auto"/>
          <w:kern w:val="0"/>
          <w:szCs w:val="32"/>
        </w:rPr>
        <w:t>;</w:t>
      </w:r>
      <w:r>
        <w:rPr>
          <w:rFonts w:hint="eastAsia" w:hAnsi="仿宋_GB2312" w:cs="仿宋_GB2312"/>
          <w:b/>
          <w:color w:val="auto"/>
          <w:kern w:val="0"/>
          <w:szCs w:val="32"/>
          <w:lang w:eastAsia="zh-CN"/>
        </w:rPr>
        <w:t>三</w:t>
      </w:r>
      <w:r>
        <w:rPr>
          <w:rFonts w:hint="eastAsia" w:hAnsi="仿宋_GB2312" w:cs="仿宋_GB2312"/>
          <w:b/>
          <w:color w:val="auto"/>
          <w:kern w:val="0"/>
          <w:szCs w:val="32"/>
        </w:rPr>
        <w:t>是</w:t>
      </w:r>
      <w:r>
        <w:rPr>
          <w:rFonts w:hint="eastAsia" w:cs="仿宋_GB2312"/>
          <w:color w:val="auto"/>
          <w:szCs w:val="32"/>
        </w:rPr>
        <w:t>专项转移支付收入</w:t>
      </w:r>
      <w:r>
        <w:rPr>
          <w:rFonts w:hint="default" w:cs="仿宋_GB2312"/>
          <w:color w:val="auto"/>
          <w:szCs w:val="32"/>
        </w:rPr>
        <w:t>16.5</w:t>
      </w:r>
      <w:r>
        <w:rPr>
          <w:rFonts w:hint="eastAsia" w:cs="仿宋_GB2312"/>
          <w:color w:val="auto"/>
          <w:szCs w:val="32"/>
        </w:rPr>
        <w:t>亿元，主要是基础</w:t>
      </w:r>
      <w:r>
        <w:rPr>
          <w:rFonts w:hint="eastAsia" w:cs="仿宋_GB2312"/>
          <w:color w:val="auto"/>
          <w:szCs w:val="32"/>
          <w:lang w:eastAsia="zh-CN"/>
        </w:rPr>
        <w:t>设施</w:t>
      </w:r>
      <w:r>
        <w:rPr>
          <w:rFonts w:hint="eastAsia" w:cs="仿宋_GB2312"/>
          <w:color w:val="auto"/>
          <w:szCs w:val="32"/>
        </w:rPr>
        <w:t>建设资金</w:t>
      </w:r>
      <w:r>
        <w:rPr>
          <w:rFonts w:hint="eastAsia" w:cs="仿宋_GB2312"/>
          <w:color w:val="auto"/>
          <w:szCs w:val="32"/>
          <w:lang w:eastAsia="zh-CN"/>
        </w:rPr>
        <w:t>等</w:t>
      </w:r>
      <w:r>
        <w:rPr>
          <w:rFonts w:hint="eastAsia" w:hAnsi="仿宋_GB2312" w:cs="仿宋_GB2312"/>
          <w:color w:val="auto"/>
          <w:kern w:val="0"/>
          <w:szCs w:val="32"/>
          <w:highlight w:val="none"/>
        </w:rPr>
        <w:t>，主要投向新区综合交通、科技创新、民生保障、资源保障、生态环境和城市安全等六大类项目的资金建设需求</w:t>
      </w:r>
      <w:r>
        <w:rPr>
          <w:rFonts w:hint="eastAsia" w:hAnsi="仿宋_GB2312" w:cs="仿宋_GB2312"/>
          <w:color w:val="auto"/>
          <w:kern w:val="0"/>
          <w:szCs w:val="32"/>
          <w:highlight w:val="none"/>
          <w:lang w:eastAsia="zh-CN"/>
        </w:rPr>
        <w:t>；</w:t>
      </w:r>
      <w:r>
        <w:rPr>
          <w:rFonts w:hint="eastAsia" w:hAnsi="仿宋_GB2312" w:cs="仿宋_GB2312"/>
          <w:b/>
          <w:color w:val="auto"/>
          <w:kern w:val="0"/>
          <w:szCs w:val="32"/>
          <w:lang w:eastAsia="zh-CN"/>
        </w:rPr>
        <w:t>四</w:t>
      </w:r>
      <w:r>
        <w:rPr>
          <w:rFonts w:hint="eastAsia" w:hAnsi="仿宋_GB2312" w:cs="仿宋_GB2312"/>
          <w:b/>
          <w:color w:val="auto"/>
          <w:kern w:val="0"/>
          <w:szCs w:val="32"/>
        </w:rPr>
        <w:t>是</w:t>
      </w:r>
      <w:r>
        <w:rPr>
          <w:rFonts w:hAnsi="仿宋_GB2312" w:cs="仿宋_GB2312"/>
          <w:color w:val="auto"/>
          <w:kern w:val="0"/>
          <w:szCs w:val="32"/>
        </w:rPr>
        <w:t>政府性基金</w:t>
      </w:r>
      <w:r>
        <w:rPr>
          <w:rFonts w:hint="eastAsia" w:hAnsi="仿宋_GB2312" w:cs="仿宋_GB2312"/>
          <w:color w:val="auto"/>
          <w:kern w:val="0"/>
          <w:szCs w:val="32"/>
          <w:lang w:eastAsia="zh-CN"/>
        </w:rPr>
        <w:t>转移支付</w:t>
      </w:r>
      <w:r>
        <w:rPr>
          <w:rFonts w:hint="eastAsia"/>
          <w:color w:val="auto"/>
          <w:lang w:val="en-US" w:eastAsia="zh-CN"/>
        </w:rPr>
        <w:t>10</w:t>
      </w:r>
      <w:r>
        <w:rPr>
          <w:rFonts w:hint="default"/>
          <w:color w:val="auto"/>
        </w:rPr>
        <w:t>亿</w:t>
      </w:r>
      <w:r>
        <w:rPr>
          <w:rFonts w:hAnsi="仿宋_GB2312" w:cs="仿宋_GB2312"/>
          <w:color w:val="auto"/>
          <w:kern w:val="0"/>
          <w:szCs w:val="32"/>
        </w:rPr>
        <w:t>元</w:t>
      </w:r>
      <w:r>
        <w:rPr>
          <w:rFonts w:hint="eastAsia" w:hAnsi="仿宋_GB2312" w:cs="仿宋_GB2312"/>
          <w:color w:val="auto"/>
          <w:kern w:val="0"/>
          <w:szCs w:val="32"/>
        </w:rPr>
        <w:t>，主要是</w:t>
      </w:r>
      <w:r>
        <w:rPr>
          <w:rFonts w:hint="eastAsia" w:hAnsi="楷体"/>
          <w:color w:val="auto"/>
          <w:spacing w:val="-6"/>
          <w:szCs w:val="32"/>
        </w:rPr>
        <w:t>国有土地使用权出让分成</w:t>
      </w:r>
      <w:r>
        <w:rPr>
          <w:rFonts w:hint="eastAsia" w:hAnsi="楷体"/>
          <w:color w:val="auto"/>
          <w:spacing w:val="-6"/>
          <w:szCs w:val="32"/>
          <w:lang w:val="en-US" w:eastAsia="zh-CN"/>
        </w:rPr>
        <w:t>9.5亿元、</w:t>
      </w:r>
      <w:r>
        <w:rPr>
          <w:rFonts w:hint="default" w:hAnsi="仿宋_GB2312" w:cs="仿宋_GB2312"/>
          <w:color w:val="auto"/>
          <w:kern w:val="0"/>
          <w:szCs w:val="32"/>
        </w:rPr>
        <w:t>农业发展专项资金0.5亿元、</w:t>
      </w:r>
      <w:r>
        <w:rPr>
          <w:rFonts w:hint="eastAsia" w:hAnsi="仿宋_GB2312" w:cs="仿宋_GB2312"/>
          <w:color w:val="auto"/>
          <w:kern w:val="0"/>
          <w:szCs w:val="32"/>
        </w:rPr>
        <w:t>彩票</w:t>
      </w:r>
      <w:r>
        <w:rPr>
          <w:rFonts w:hAnsi="仿宋_GB2312" w:cs="仿宋_GB2312"/>
          <w:color w:val="auto"/>
          <w:kern w:val="0"/>
          <w:szCs w:val="32"/>
        </w:rPr>
        <w:t>公益金收入</w:t>
      </w:r>
      <w:r>
        <w:rPr>
          <w:rFonts w:hint="default" w:hAnsi="仿宋_GB2312" w:cs="仿宋_GB2312"/>
          <w:color w:val="auto"/>
          <w:kern w:val="0"/>
          <w:szCs w:val="32"/>
        </w:rPr>
        <w:t>864万元</w:t>
      </w:r>
      <w:r>
        <w:rPr>
          <w:rFonts w:hAnsi="仿宋_GB2312" w:cs="仿宋_GB2312"/>
          <w:color w:val="auto"/>
          <w:kern w:val="0"/>
          <w:szCs w:val="32"/>
        </w:rPr>
        <w:t>。</w:t>
      </w:r>
    </w:p>
    <w:p>
      <w:pPr>
        <w:keepNext w:val="0"/>
        <w:keepLines w:val="0"/>
        <w:pageBreakBefore w:val="0"/>
        <w:widowControl w:val="0"/>
        <w:shd w:val="clear" w:color="auto" w:fill="FFFFFF"/>
        <w:kinsoku/>
        <w:wordWrap/>
        <w:overflowPunct/>
        <w:topLinePunct w:val="0"/>
        <w:bidi w:val="0"/>
        <w:spacing w:line="560" w:lineRule="exact"/>
        <w:ind w:firstLine="628"/>
        <w:jc w:val="left"/>
        <w:textAlignment w:val="auto"/>
        <w:rPr>
          <w:rFonts w:hAnsi="仿宋_GB2312" w:cs="仿宋_GB2312"/>
          <w:color w:val="auto"/>
          <w:kern w:val="0"/>
          <w:szCs w:val="32"/>
        </w:rPr>
      </w:pPr>
      <w:r>
        <w:rPr>
          <w:rFonts w:hint="eastAsia" w:hAnsi="仿宋_GB2312" w:cs="仿宋_GB2312"/>
          <w:color w:val="auto"/>
          <w:kern w:val="0"/>
          <w:szCs w:val="32"/>
        </w:rPr>
        <w:t>202</w:t>
      </w:r>
      <w:r>
        <w:rPr>
          <w:rFonts w:hint="default" w:hAnsi="仿宋_GB2312" w:cs="仿宋_GB2312"/>
          <w:color w:val="auto"/>
          <w:kern w:val="0"/>
          <w:szCs w:val="32"/>
        </w:rPr>
        <w:t>2</w:t>
      </w:r>
      <w:r>
        <w:rPr>
          <w:rFonts w:hint="eastAsia" w:hAnsi="仿宋_GB2312" w:cs="仿宋_GB2312"/>
          <w:color w:val="auto"/>
          <w:kern w:val="0"/>
          <w:szCs w:val="32"/>
        </w:rPr>
        <w:t>年新区本级无向下级安排财政转移支付资金。</w:t>
      </w:r>
    </w:p>
    <w:p>
      <w:pPr>
        <w:keepNext w:val="0"/>
        <w:keepLines w:val="0"/>
        <w:pageBreakBefore w:val="0"/>
        <w:widowControl w:val="0"/>
        <w:shd w:val="clear" w:color="auto" w:fill="FFFFFF"/>
        <w:kinsoku/>
        <w:wordWrap/>
        <w:overflowPunct/>
        <w:topLinePunct w:val="0"/>
        <w:bidi w:val="0"/>
        <w:spacing w:line="560" w:lineRule="exact"/>
        <w:ind w:firstLine="628"/>
        <w:jc w:val="left"/>
        <w:textAlignment w:val="auto"/>
        <w:outlineLvl w:val="3"/>
        <w:rPr>
          <w:color w:val="auto"/>
          <w:szCs w:val="32"/>
        </w:rPr>
      </w:pPr>
      <w:r>
        <w:rPr>
          <w:rFonts w:hint="eastAsia" w:ascii="黑体" w:hAnsi="黑体" w:eastAsia="黑体"/>
          <w:color w:val="auto"/>
          <w:szCs w:val="32"/>
        </w:rPr>
        <w:t>二、</w:t>
      </w:r>
      <w:r>
        <w:rPr>
          <w:rFonts w:hint="eastAsia" w:ascii="黑体" w:hAnsi="黑体" w:eastAsia="黑体" w:cs="黑体"/>
          <w:color w:val="auto"/>
          <w:szCs w:val="32"/>
        </w:rPr>
        <w:t>关于“三公”经费预算控制情况</w:t>
      </w:r>
    </w:p>
    <w:p>
      <w:pPr>
        <w:keepNext w:val="0"/>
        <w:keepLines w:val="0"/>
        <w:pageBreakBefore w:val="0"/>
        <w:widowControl w:val="0"/>
        <w:kinsoku/>
        <w:wordWrap/>
        <w:overflowPunct/>
        <w:topLinePunct w:val="0"/>
        <w:bidi w:val="0"/>
        <w:spacing w:line="560" w:lineRule="exact"/>
        <w:ind w:firstLine="628"/>
        <w:jc w:val="left"/>
        <w:textAlignment w:val="auto"/>
        <w:rPr>
          <w:rFonts w:hint="eastAsia" w:hAnsi="仿宋_GB2312" w:cs="仿宋_GB2312"/>
          <w:color w:val="auto"/>
          <w:kern w:val="0"/>
          <w:szCs w:val="32"/>
        </w:rPr>
      </w:pPr>
      <w:r>
        <w:rPr>
          <w:rFonts w:hint="eastAsia" w:hAnsi="仿宋_GB2312" w:cs="仿宋_GB2312"/>
          <w:color w:val="auto"/>
          <w:kern w:val="0"/>
          <w:szCs w:val="32"/>
        </w:rPr>
        <w:t>大鹏新区2022年“三公”经费预算数为</w:t>
      </w:r>
      <w:r>
        <w:rPr>
          <w:rFonts w:hint="default" w:hAnsi="仿宋_GB2312" w:cs="仿宋_GB2312"/>
          <w:color w:val="auto"/>
          <w:kern w:val="0"/>
          <w:szCs w:val="32"/>
        </w:rPr>
        <w:t>1687万</w:t>
      </w:r>
      <w:r>
        <w:rPr>
          <w:rFonts w:hint="eastAsia" w:hAnsi="仿宋_GB2312" w:cs="仿宋_GB2312"/>
          <w:color w:val="auto"/>
          <w:kern w:val="0"/>
          <w:szCs w:val="32"/>
        </w:rPr>
        <w:t>元，较2021年减少</w:t>
      </w:r>
      <w:r>
        <w:rPr>
          <w:rFonts w:hint="default" w:hAnsi="仿宋_GB2312" w:cs="仿宋_GB2312"/>
          <w:color w:val="auto"/>
          <w:kern w:val="0"/>
          <w:szCs w:val="32"/>
        </w:rPr>
        <w:t>664万</w:t>
      </w:r>
      <w:r>
        <w:rPr>
          <w:rFonts w:hint="eastAsia" w:hAnsi="仿宋_GB2312" w:cs="仿宋_GB2312"/>
          <w:color w:val="auto"/>
          <w:kern w:val="0"/>
          <w:szCs w:val="32"/>
        </w:rPr>
        <w:t>元，下降28.2%。其中：因公出国（境）费0元(</w:t>
      </w:r>
      <w:r>
        <w:rPr>
          <w:rFonts w:hAnsi="仿宋_GB2312" w:cs="仿宋_GB2312"/>
          <w:color w:val="auto"/>
          <w:kern w:val="0"/>
          <w:szCs w:val="32"/>
        </w:rPr>
        <w:t>不单独编制年初预算，确需开展相关公务活动，走临时请款相关审批流程</w:t>
      </w:r>
      <w:r>
        <w:rPr>
          <w:rFonts w:hint="eastAsia" w:hAnsi="仿宋_GB2312" w:cs="仿宋_GB2312"/>
          <w:color w:val="auto"/>
          <w:kern w:val="0"/>
          <w:szCs w:val="32"/>
        </w:rPr>
        <w:t>)，公务接待费</w:t>
      </w:r>
      <w:r>
        <w:rPr>
          <w:rFonts w:hint="default" w:hAnsi="仿宋_GB2312" w:cs="仿宋_GB2312"/>
          <w:color w:val="auto"/>
          <w:kern w:val="0"/>
          <w:szCs w:val="32"/>
        </w:rPr>
        <w:t>56万</w:t>
      </w:r>
      <w:r>
        <w:rPr>
          <w:rFonts w:hint="eastAsia" w:hAnsi="仿宋_GB2312" w:cs="仿宋_GB2312"/>
          <w:color w:val="auto"/>
          <w:kern w:val="0"/>
          <w:szCs w:val="32"/>
        </w:rPr>
        <w:t>元；公务用车购置及运行维护费</w:t>
      </w:r>
      <w:r>
        <w:rPr>
          <w:rFonts w:hint="default" w:hAnsi="仿宋_GB2312" w:cs="仿宋_GB2312"/>
          <w:color w:val="auto"/>
          <w:kern w:val="0"/>
          <w:szCs w:val="32"/>
        </w:rPr>
        <w:t>1631万</w:t>
      </w:r>
      <w:r>
        <w:rPr>
          <w:rFonts w:hint="eastAsia" w:hAnsi="仿宋_GB2312" w:cs="仿宋_GB2312"/>
          <w:color w:val="auto"/>
          <w:kern w:val="0"/>
          <w:szCs w:val="32"/>
        </w:rPr>
        <w:t>元，由公务用车运行维护费</w:t>
      </w:r>
      <w:r>
        <w:rPr>
          <w:rFonts w:hint="default" w:hAnsi="仿宋_GB2312" w:cs="仿宋_GB2312"/>
          <w:color w:val="auto"/>
          <w:kern w:val="0"/>
          <w:szCs w:val="32"/>
        </w:rPr>
        <w:t>1495万</w:t>
      </w:r>
      <w:r>
        <w:rPr>
          <w:rFonts w:hint="eastAsia" w:hAnsi="仿宋_GB2312" w:cs="仿宋_GB2312"/>
          <w:color w:val="auto"/>
          <w:kern w:val="0"/>
          <w:szCs w:val="32"/>
        </w:rPr>
        <w:t>元和公务用车购置费</w:t>
      </w:r>
      <w:r>
        <w:rPr>
          <w:rFonts w:hint="default" w:hAnsi="仿宋_GB2312" w:cs="仿宋_GB2312"/>
          <w:color w:val="auto"/>
          <w:kern w:val="0"/>
          <w:szCs w:val="32"/>
        </w:rPr>
        <w:t>136万</w:t>
      </w:r>
      <w:r>
        <w:rPr>
          <w:rFonts w:hint="eastAsia" w:hAnsi="仿宋_GB2312" w:cs="仿宋_GB2312"/>
          <w:color w:val="auto"/>
          <w:kern w:val="0"/>
          <w:szCs w:val="32"/>
        </w:rPr>
        <w:t>元构成。主要是严格贯彻过紧日子思想，大力压减“三公”经费。具体情况见下表：</w:t>
      </w:r>
    </w:p>
    <w:p>
      <w:pPr>
        <w:adjustRightInd w:val="0"/>
        <w:snapToGrid w:val="0"/>
        <w:spacing w:afterLines="50" w:line="560" w:lineRule="exact"/>
        <w:ind w:firstLine="560"/>
        <w:jc w:val="center"/>
        <w:rPr>
          <w:rFonts w:hAnsi="Calibri"/>
          <w:b/>
          <w:bCs/>
          <w:color w:val="auto"/>
          <w:spacing w:val="0"/>
          <w:kern w:val="2"/>
          <w:sz w:val="28"/>
          <w:szCs w:val="28"/>
        </w:rPr>
      </w:pPr>
      <w:r>
        <w:rPr>
          <w:rFonts w:hint="eastAsia" w:hAnsi="Calibri"/>
          <w:b/>
          <w:bCs/>
          <w:color w:val="auto"/>
          <w:spacing w:val="0"/>
          <w:kern w:val="2"/>
          <w:sz w:val="28"/>
          <w:szCs w:val="28"/>
        </w:rPr>
        <w:t>202</w:t>
      </w:r>
      <w:r>
        <w:rPr>
          <w:rFonts w:hint="default" w:hAnsi="Calibri"/>
          <w:b/>
          <w:bCs/>
          <w:color w:val="auto"/>
          <w:spacing w:val="0"/>
          <w:kern w:val="2"/>
          <w:sz w:val="28"/>
          <w:szCs w:val="28"/>
        </w:rPr>
        <w:t>2</w:t>
      </w:r>
      <w:r>
        <w:rPr>
          <w:rFonts w:hint="eastAsia" w:hAnsi="Calibri"/>
          <w:b/>
          <w:bCs/>
          <w:color w:val="auto"/>
          <w:spacing w:val="0"/>
          <w:kern w:val="2"/>
          <w:sz w:val="28"/>
          <w:szCs w:val="28"/>
        </w:rPr>
        <w:t>年“三公”经费预算控制数情况表</w:t>
      </w:r>
    </w:p>
    <w:tbl>
      <w:tblPr>
        <w:tblStyle w:val="14"/>
        <w:tblW w:w="7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1"/>
        <w:gridCol w:w="1701"/>
        <w:gridCol w:w="1735"/>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361" w:type="dxa"/>
            <w:vAlign w:val="center"/>
          </w:tcPr>
          <w:p>
            <w:pPr>
              <w:spacing w:line="240" w:lineRule="auto"/>
              <w:ind w:firstLine="0" w:firstLineChars="0"/>
              <w:jc w:val="center"/>
              <w:rPr>
                <w:rFonts w:hAnsi="仿宋_GB2312" w:cs="仿宋_GB2312"/>
                <w:color w:val="auto"/>
                <w:spacing w:val="0"/>
                <w:kern w:val="0"/>
                <w:sz w:val="24"/>
                <w:szCs w:val="22"/>
              </w:rPr>
            </w:pPr>
            <w:r>
              <w:rPr>
                <w:rFonts w:hint="eastAsia" w:hAnsi="仿宋_GB2312" w:cs="仿宋_GB2312"/>
                <w:color w:val="auto"/>
                <w:spacing w:val="0"/>
                <w:kern w:val="0"/>
                <w:sz w:val="24"/>
                <w:szCs w:val="22"/>
              </w:rPr>
              <w:t>项  目</w:t>
            </w:r>
          </w:p>
        </w:tc>
        <w:tc>
          <w:tcPr>
            <w:tcW w:w="1701" w:type="dxa"/>
            <w:vAlign w:val="center"/>
          </w:tcPr>
          <w:p>
            <w:pPr>
              <w:spacing w:line="240" w:lineRule="auto"/>
              <w:ind w:firstLine="0" w:firstLineChars="0"/>
              <w:jc w:val="center"/>
              <w:rPr>
                <w:rFonts w:hAnsi="仿宋_GB2312" w:cs="仿宋_GB2312"/>
                <w:color w:val="auto"/>
                <w:spacing w:val="0"/>
                <w:kern w:val="0"/>
                <w:sz w:val="24"/>
                <w:szCs w:val="22"/>
              </w:rPr>
            </w:pPr>
            <w:r>
              <w:rPr>
                <w:rFonts w:hint="eastAsia" w:hAnsi="仿宋_GB2312" w:cs="仿宋_GB2312"/>
                <w:color w:val="auto"/>
                <w:spacing w:val="0"/>
                <w:kern w:val="0"/>
                <w:sz w:val="24"/>
                <w:szCs w:val="22"/>
              </w:rPr>
              <w:t>202</w:t>
            </w:r>
            <w:r>
              <w:rPr>
                <w:rFonts w:hint="default" w:hAnsi="仿宋_GB2312" w:cs="仿宋_GB2312"/>
                <w:color w:val="auto"/>
                <w:spacing w:val="0"/>
                <w:kern w:val="0"/>
                <w:sz w:val="24"/>
                <w:szCs w:val="22"/>
              </w:rPr>
              <w:t>2</w:t>
            </w:r>
            <w:r>
              <w:rPr>
                <w:rFonts w:hint="eastAsia" w:hAnsi="仿宋_GB2312" w:cs="仿宋_GB2312"/>
                <w:color w:val="auto"/>
                <w:spacing w:val="0"/>
                <w:kern w:val="0"/>
                <w:sz w:val="24"/>
                <w:szCs w:val="22"/>
              </w:rPr>
              <w:t>年预算</w:t>
            </w:r>
          </w:p>
          <w:p>
            <w:pPr>
              <w:spacing w:line="240" w:lineRule="auto"/>
              <w:ind w:firstLine="0" w:firstLineChars="0"/>
              <w:jc w:val="center"/>
              <w:rPr>
                <w:rFonts w:hAnsi="Calibri"/>
                <w:color w:val="auto"/>
                <w:spacing w:val="0"/>
                <w:kern w:val="2"/>
                <w:sz w:val="24"/>
                <w:szCs w:val="22"/>
              </w:rPr>
            </w:pPr>
            <w:r>
              <w:rPr>
                <w:rFonts w:hint="eastAsia" w:hAnsi="仿宋_GB2312" w:cs="仿宋_GB2312"/>
                <w:color w:val="auto"/>
                <w:spacing w:val="0"/>
                <w:kern w:val="0"/>
                <w:sz w:val="24"/>
                <w:szCs w:val="22"/>
              </w:rPr>
              <w:t>控制数（万元）</w:t>
            </w:r>
          </w:p>
        </w:tc>
        <w:tc>
          <w:tcPr>
            <w:tcW w:w="1735" w:type="dxa"/>
            <w:vAlign w:val="center"/>
          </w:tcPr>
          <w:p>
            <w:pPr>
              <w:spacing w:line="240" w:lineRule="auto"/>
              <w:ind w:firstLine="0" w:firstLineChars="0"/>
              <w:jc w:val="center"/>
              <w:rPr>
                <w:rFonts w:hAnsi="仿宋_GB2312" w:cs="仿宋_GB2312"/>
                <w:color w:val="auto"/>
                <w:spacing w:val="0"/>
                <w:kern w:val="0"/>
                <w:sz w:val="24"/>
                <w:szCs w:val="22"/>
              </w:rPr>
            </w:pPr>
            <w:r>
              <w:rPr>
                <w:rFonts w:hint="eastAsia" w:hAnsi="仿宋_GB2312" w:cs="仿宋_GB2312"/>
                <w:color w:val="auto"/>
                <w:spacing w:val="0"/>
                <w:kern w:val="0"/>
                <w:sz w:val="24"/>
                <w:szCs w:val="22"/>
              </w:rPr>
              <w:t>20</w:t>
            </w:r>
            <w:r>
              <w:rPr>
                <w:rFonts w:hint="default" w:hAnsi="仿宋_GB2312" w:cs="仿宋_GB2312"/>
                <w:color w:val="auto"/>
                <w:spacing w:val="0"/>
                <w:kern w:val="0"/>
                <w:sz w:val="24"/>
                <w:szCs w:val="22"/>
              </w:rPr>
              <w:t>21</w:t>
            </w:r>
            <w:r>
              <w:rPr>
                <w:rFonts w:hint="eastAsia" w:hAnsi="仿宋_GB2312" w:cs="仿宋_GB2312"/>
                <w:color w:val="auto"/>
                <w:spacing w:val="0"/>
                <w:kern w:val="0"/>
                <w:sz w:val="24"/>
                <w:szCs w:val="22"/>
              </w:rPr>
              <w:t>年预算</w:t>
            </w:r>
          </w:p>
          <w:p>
            <w:pPr>
              <w:spacing w:line="240" w:lineRule="auto"/>
              <w:ind w:firstLine="0" w:firstLineChars="0"/>
              <w:jc w:val="center"/>
              <w:rPr>
                <w:rFonts w:hAnsi="仿宋_GB2312" w:cs="仿宋_GB2312"/>
                <w:color w:val="auto"/>
                <w:spacing w:val="0"/>
                <w:kern w:val="0"/>
                <w:sz w:val="24"/>
                <w:szCs w:val="22"/>
              </w:rPr>
            </w:pPr>
            <w:r>
              <w:rPr>
                <w:rFonts w:hint="eastAsia" w:hAnsi="仿宋_GB2312" w:cs="仿宋_GB2312"/>
                <w:color w:val="auto"/>
                <w:spacing w:val="0"/>
                <w:kern w:val="0"/>
                <w:sz w:val="24"/>
                <w:szCs w:val="22"/>
              </w:rPr>
              <w:t>控制数（万元）</w:t>
            </w:r>
          </w:p>
        </w:tc>
        <w:tc>
          <w:tcPr>
            <w:tcW w:w="983" w:type="dxa"/>
            <w:vAlign w:val="center"/>
          </w:tcPr>
          <w:p>
            <w:pPr>
              <w:spacing w:line="240" w:lineRule="auto"/>
              <w:ind w:firstLine="0" w:firstLineChars="0"/>
              <w:jc w:val="center"/>
              <w:rPr>
                <w:rFonts w:hAnsi="仿宋_GB2312" w:cs="仿宋_GB2312"/>
                <w:color w:val="auto"/>
                <w:spacing w:val="0"/>
                <w:kern w:val="0"/>
                <w:sz w:val="24"/>
                <w:szCs w:val="22"/>
              </w:rPr>
            </w:pPr>
            <w:r>
              <w:rPr>
                <w:rFonts w:hint="eastAsia" w:hAnsi="仿宋_GB2312" w:cs="仿宋_GB2312"/>
                <w:color w:val="auto"/>
                <w:spacing w:val="0"/>
                <w:kern w:val="0"/>
                <w:sz w:val="24"/>
                <w:szCs w:val="22"/>
              </w:rPr>
              <w:t>增减幅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61" w:type="dxa"/>
            <w:vAlign w:val="center"/>
          </w:tcPr>
          <w:p>
            <w:pPr>
              <w:spacing w:line="240" w:lineRule="auto"/>
              <w:ind w:firstLine="0" w:firstLineChars="0"/>
              <w:jc w:val="center"/>
              <w:rPr>
                <w:rFonts w:hAnsi="仿宋_GB2312" w:cs="仿宋_GB2312"/>
                <w:color w:val="auto"/>
                <w:spacing w:val="0"/>
                <w:kern w:val="0"/>
                <w:sz w:val="24"/>
                <w:szCs w:val="22"/>
              </w:rPr>
            </w:pPr>
            <w:r>
              <w:rPr>
                <w:rFonts w:hint="eastAsia" w:hAnsi="仿宋_GB2312" w:cs="仿宋_GB2312"/>
                <w:color w:val="auto"/>
                <w:spacing w:val="0"/>
                <w:kern w:val="0"/>
                <w:sz w:val="24"/>
                <w:szCs w:val="22"/>
              </w:rPr>
              <w:t>合   计</w:t>
            </w:r>
          </w:p>
        </w:tc>
        <w:tc>
          <w:tcPr>
            <w:tcW w:w="1701" w:type="dxa"/>
            <w:vAlign w:val="center"/>
          </w:tcPr>
          <w:p>
            <w:pPr>
              <w:spacing w:line="240" w:lineRule="auto"/>
              <w:ind w:firstLine="0" w:firstLineChars="0"/>
              <w:jc w:val="center"/>
              <w:rPr>
                <w:rFonts w:hint="default" w:hAnsi="Calibri"/>
                <w:color w:val="auto"/>
                <w:spacing w:val="0"/>
                <w:kern w:val="2"/>
                <w:sz w:val="24"/>
                <w:szCs w:val="22"/>
              </w:rPr>
            </w:pPr>
            <w:r>
              <w:rPr>
                <w:rFonts w:hint="default" w:hAnsi="仿宋_GB2312" w:cs="仿宋_GB2312"/>
                <w:color w:val="auto"/>
                <w:spacing w:val="0"/>
                <w:kern w:val="0"/>
                <w:sz w:val="24"/>
                <w:szCs w:val="22"/>
              </w:rPr>
              <w:t>1</w:t>
            </w:r>
            <w:r>
              <w:rPr>
                <w:rFonts w:hint="eastAsia" w:hAnsi="仿宋_GB2312" w:cs="仿宋_GB2312"/>
                <w:color w:val="auto"/>
                <w:spacing w:val="0"/>
                <w:kern w:val="0"/>
                <w:sz w:val="24"/>
                <w:szCs w:val="22"/>
              </w:rPr>
              <w:t>,</w:t>
            </w:r>
            <w:r>
              <w:rPr>
                <w:rFonts w:hint="default" w:hAnsi="仿宋_GB2312" w:cs="仿宋_GB2312"/>
                <w:color w:val="auto"/>
                <w:spacing w:val="0"/>
                <w:kern w:val="0"/>
                <w:sz w:val="24"/>
                <w:szCs w:val="22"/>
              </w:rPr>
              <w:t>687</w:t>
            </w:r>
          </w:p>
        </w:tc>
        <w:tc>
          <w:tcPr>
            <w:tcW w:w="1735" w:type="dxa"/>
            <w:vAlign w:val="center"/>
          </w:tcPr>
          <w:p>
            <w:pPr>
              <w:spacing w:line="240" w:lineRule="auto"/>
              <w:ind w:firstLine="0" w:firstLineChars="0"/>
              <w:jc w:val="center"/>
              <w:rPr>
                <w:rFonts w:hint="default" w:hAnsi="仿宋_GB2312" w:cs="仿宋_GB2312"/>
                <w:color w:val="auto"/>
                <w:spacing w:val="0"/>
                <w:kern w:val="0"/>
                <w:sz w:val="24"/>
                <w:szCs w:val="22"/>
              </w:rPr>
            </w:pPr>
            <w:r>
              <w:rPr>
                <w:rFonts w:hint="default" w:hAnsi="仿宋_GB2312" w:cs="仿宋_GB2312"/>
                <w:color w:val="auto"/>
                <w:spacing w:val="0"/>
                <w:kern w:val="0"/>
                <w:sz w:val="24"/>
                <w:szCs w:val="22"/>
              </w:rPr>
              <w:t>2,351</w:t>
            </w:r>
          </w:p>
        </w:tc>
        <w:tc>
          <w:tcPr>
            <w:tcW w:w="983" w:type="dxa"/>
            <w:vAlign w:val="center"/>
          </w:tcPr>
          <w:p>
            <w:pPr>
              <w:spacing w:line="240" w:lineRule="auto"/>
              <w:ind w:firstLine="0" w:firstLineChars="0"/>
              <w:jc w:val="center"/>
              <w:rPr>
                <w:rFonts w:hAnsi="仿宋_GB2312" w:cs="仿宋_GB2312"/>
                <w:color w:val="auto"/>
                <w:spacing w:val="0"/>
                <w:kern w:val="2"/>
                <w:sz w:val="24"/>
                <w:szCs w:val="22"/>
              </w:rPr>
            </w:pPr>
            <w:r>
              <w:rPr>
                <w:rFonts w:hint="eastAsia" w:hAnsi="仿宋_GB2312" w:cs="仿宋_GB2312"/>
                <w:color w:val="auto"/>
                <w:spacing w:val="0"/>
                <w:kern w:val="2"/>
                <w:sz w:val="24"/>
                <w:szCs w:val="22"/>
              </w:rPr>
              <w:t>-</w:t>
            </w:r>
            <w:r>
              <w:rPr>
                <w:rFonts w:hint="default" w:hAnsi="仿宋_GB2312" w:cs="仿宋_GB2312"/>
                <w:color w:val="auto"/>
                <w:spacing w:val="0"/>
                <w:kern w:val="2"/>
                <w:sz w:val="24"/>
                <w:szCs w:val="22"/>
              </w:rPr>
              <w:t>28.2</w:t>
            </w:r>
            <w:r>
              <w:rPr>
                <w:rFonts w:hint="eastAsia" w:hAnsi="仿宋_GB2312" w:cs="仿宋_GB2312"/>
                <w:color w:val="auto"/>
                <w:spacing w:val="0"/>
                <w:kern w:val="2"/>
                <w:sz w:val="24"/>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3361" w:type="dxa"/>
            <w:vAlign w:val="center"/>
          </w:tcPr>
          <w:p>
            <w:pPr>
              <w:spacing w:line="240" w:lineRule="auto"/>
              <w:ind w:firstLine="0" w:firstLineChars="0"/>
              <w:rPr>
                <w:rFonts w:hAnsi="仿宋_GB2312" w:cs="仿宋_GB2312"/>
                <w:color w:val="auto"/>
                <w:spacing w:val="0"/>
                <w:kern w:val="0"/>
                <w:sz w:val="24"/>
                <w:szCs w:val="22"/>
              </w:rPr>
            </w:pPr>
            <w:r>
              <w:rPr>
                <w:rFonts w:hint="eastAsia" w:hAnsi="仿宋_GB2312" w:cs="仿宋_GB2312"/>
                <w:color w:val="auto"/>
                <w:spacing w:val="0"/>
                <w:kern w:val="0"/>
                <w:sz w:val="24"/>
                <w:szCs w:val="22"/>
              </w:rPr>
              <w:t>1、因公出国（境）费</w:t>
            </w:r>
          </w:p>
        </w:tc>
        <w:tc>
          <w:tcPr>
            <w:tcW w:w="1701" w:type="dxa"/>
            <w:vAlign w:val="center"/>
          </w:tcPr>
          <w:p>
            <w:pPr>
              <w:spacing w:line="240" w:lineRule="auto"/>
              <w:ind w:firstLine="0" w:firstLineChars="0"/>
              <w:jc w:val="center"/>
              <w:rPr>
                <w:rFonts w:hint="default" w:hAnsi="仿宋_GB2312" w:cs="仿宋_GB2312"/>
                <w:color w:val="auto"/>
                <w:spacing w:val="0"/>
                <w:kern w:val="0"/>
                <w:sz w:val="24"/>
                <w:szCs w:val="22"/>
              </w:rPr>
            </w:pPr>
            <w:r>
              <w:rPr>
                <w:rFonts w:hint="default" w:hAnsi="仿宋_GB2312" w:cs="仿宋_GB2312"/>
                <w:color w:val="auto"/>
                <w:spacing w:val="0"/>
                <w:kern w:val="0"/>
                <w:sz w:val="24"/>
                <w:szCs w:val="22"/>
              </w:rPr>
              <w:t>0</w:t>
            </w:r>
          </w:p>
        </w:tc>
        <w:tc>
          <w:tcPr>
            <w:tcW w:w="1735" w:type="dxa"/>
            <w:vAlign w:val="center"/>
          </w:tcPr>
          <w:p>
            <w:pPr>
              <w:spacing w:line="240" w:lineRule="auto"/>
              <w:ind w:firstLine="0" w:firstLineChars="0"/>
              <w:jc w:val="center"/>
              <w:rPr>
                <w:rFonts w:hint="default" w:hAnsi="仿宋_GB2312" w:cs="仿宋_GB2312"/>
                <w:color w:val="auto"/>
                <w:spacing w:val="0"/>
                <w:kern w:val="0"/>
                <w:sz w:val="24"/>
                <w:szCs w:val="22"/>
              </w:rPr>
            </w:pPr>
            <w:r>
              <w:rPr>
                <w:rFonts w:hint="default" w:hAnsi="仿宋_GB2312" w:cs="仿宋_GB2312"/>
                <w:color w:val="auto"/>
                <w:spacing w:val="0"/>
                <w:kern w:val="0"/>
                <w:sz w:val="24"/>
                <w:szCs w:val="22"/>
              </w:rPr>
              <w:t>0</w:t>
            </w:r>
          </w:p>
        </w:tc>
        <w:tc>
          <w:tcPr>
            <w:tcW w:w="983" w:type="dxa"/>
            <w:vAlign w:val="center"/>
          </w:tcPr>
          <w:p>
            <w:pPr>
              <w:spacing w:line="240" w:lineRule="auto"/>
              <w:ind w:firstLine="0" w:firstLineChars="0"/>
              <w:jc w:val="center"/>
              <w:rPr>
                <w:rFonts w:hAnsi="仿宋_GB2312" w:cs="仿宋_GB2312"/>
                <w:color w:val="auto"/>
                <w:spacing w:val="0"/>
                <w:kern w:val="2"/>
                <w:sz w:val="24"/>
                <w:szCs w:val="22"/>
              </w:rPr>
            </w:pPr>
            <w:r>
              <w:rPr>
                <w:rFonts w:hint="eastAsia" w:hAnsi="仿宋_GB2312" w:cs="仿宋_GB2312"/>
                <w:color w:val="auto"/>
                <w:spacing w:val="0"/>
                <w:kern w:val="2"/>
                <w:sz w:val="24"/>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61" w:type="dxa"/>
            <w:vAlign w:val="center"/>
          </w:tcPr>
          <w:p>
            <w:pPr>
              <w:spacing w:line="240" w:lineRule="auto"/>
              <w:ind w:firstLine="0" w:firstLineChars="0"/>
              <w:rPr>
                <w:rFonts w:hAnsi="仿宋_GB2312" w:cs="仿宋_GB2312"/>
                <w:color w:val="auto"/>
                <w:spacing w:val="0"/>
                <w:kern w:val="0"/>
                <w:sz w:val="24"/>
                <w:szCs w:val="22"/>
              </w:rPr>
            </w:pPr>
            <w:r>
              <w:rPr>
                <w:rFonts w:hint="eastAsia" w:hAnsi="仿宋_GB2312" w:cs="仿宋_GB2312"/>
                <w:color w:val="auto"/>
                <w:spacing w:val="0"/>
                <w:kern w:val="0"/>
                <w:sz w:val="24"/>
                <w:szCs w:val="22"/>
              </w:rPr>
              <w:t>2、公务接待费</w:t>
            </w:r>
          </w:p>
        </w:tc>
        <w:tc>
          <w:tcPr>
            <w:tcW w:w="1701" w:type="dxa"/>
            <w:vAlign w:val="center"/>
          </w:tcPr>
          <w:p>
            <w:pPr>
              <w:spacing w:line="240" w:lineRule="auto"/>
              <w:ind w:firstLine="0" w:firstLineChars="0"/>
              <w:jc w:val="center"/>
              <w:rPr>
                <w:rFonts w:hint="default" w:hAnsi="仿宋_GB2312" w:cs="仿宋_GB2312"/>
                <w:color w:val="auto"/>
                <w:spacing w:val="0"/>
                <w:kern w:val="0"/>
                <w:sz w:val="24"/>
                <w:szCs w:val="22"/>
              </w:rPr>
            </w:pPr>
            <w:r>
              <w:rPr>
                <w:rFonts w:hint="default" w:hAnsi="仿宋_GB2312" w:cs="仿宋_GB2312"/>
                <w:color w:val="auto"/>
                <w:spacing w:val="0"/>
                <w:kern w:val="0"/>
                <w:sz w:val="24"/>
                <w:szCs w:val="22"/>
              </w:rPr>
              <w:t>56</w:t>
            </w:r>
          </w:p>
        </w:tc>
        <w:tc>
          <w:tcPr>
            <w:tcW w:w="1735" w:type="dxa"/>
            <w:vAlign w:val="center"/>
          </w:tcPr>
          <w:p>
            <w:pPr>
              <w:spacing w:line="240" w:lineRule="auto"/>
              <w:ind w:firstLine="0" w:firstLineChars="0"/>
              <w:jc w:val="center"/>
              <w:rPr>
                <w:rFonts w:hint="default" w:hAnsi="仿宋_GB2312" w:cs="仿宋_GB2312"/>
                <w:color w:val="auto"/>
                <w:spacing w:val="0"/>
                <w:kern w:val="0"/>
                <w:sz w:val="24"/>
                <w:szCs w:val="22"/>
              </w:rPr>
            </w:pPr>
            <w:r>
              <w:rPr>
                <w:rFonts w:hint="default" w:hAnsi="仿宋_GB2312" w:cs="仿宋_GB2312"/>
                <w:color w:val="auto"/>
                <w:spacing w:val="0"/>
                <w:kern w:val="0"/>
                <w:sz w:val="24"/>
                <w:szCs w:val="22"/>
              </w:rPr>
              <w:t>71</w:t>
            </w:r>
          </w:p>
        </w:tc>
        <w:tc>
          <w:tcPr>
            <w:tcW w:w="983" w:type="dxa"/>
            <w:vAlign w:val="center"/>
          </w:tcPr>
          <w:p>
            <w:pPr>
              <w:spacing w:line="240" w:lineRule="auto"/>
              <w:ind w:firstLine="0" w:firstLineChars="0"/>
              <w:jc w:val="center"/>
              <w:rPr>
                <w:rFonts w:hAnsi="仿宋_GB2312" w:cs="仿宋_GB2312"/>
                <w:color w:val="auto"/>
                <w:spacing w:val="0"/>
                <w:kern w:val="2"/>
                <w:sz w:val="24"/>
                <w:szCs w:val="22"/>
              </w:rPr>
            </w:pPr>
            <w:r>
              <w:rPr>
                <w:rFonts w:hint="eastAsia" w:hAnsi="仿宋_GB2312" w:cs="仿宋_GB2312"/>
                <w:color w:val="auto"/>
                <w:spacing w:val="0"/>
                <w:kern w:val="2"/>
                <w:sz w:val="24"/>
                <w:szCs w:val="22"/>
              </w:rPr>
              <w:t>-2</w:t>
            </w:r>
            <w:r>
              <w:rPr>
                <w:rFonts w:hint="default" w:hAnsi="仿宋_GB2312" w:cs="仿宋_GB2312"/>
                <w:color w:val="auto"/>
                <w:spacing w:val="0"/>
                <w:kern w:val="2"/>
                <w:sz w:val="24"/>
                <w:szCs w:val="22"/>
              </w:rPr>
              <w:t>1.1</w:t>
            </w:r>
            <w:r>
              <w:rPr>
                <w:rFonts w:hint="eastAsia" w:hAnsi="仿宋_GB2312" w:cs="仿宋_GB2312"/>
                <w:color w:val="auto"/>
                <w:spacing w:val="0"/>
                <w:kern w:val="2"/>
                <w:sz w:val="24"/>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61" w:type="dxa"/>
            <w:vAlign w:val="center"/>
          </w:tcPr>
          <w:p>
            <w:pPr>
              <w:spacing w:line="240" w:lineRule="auto"/>
              <w:ind w:firstLine="0" w:firstLineChars="0"/>
              <w:rPr>
                <w:rFonts w:hAnsi="仿宋_GB2312" w:cs="仿宋_GB2312"/>
                <w:color w:val="auto"/>
                <w:spacing w:val="0"/>
                <w:kern w:val="0"/>
                <w:sz w:val="24"/>
                <w:szCs w:val="22"/>
              </w:rPr>
            </w:pPr>
            <w:r>
              <w:rPr>
                <w:rFonts w:hint="eastAsia" w:hAnsi="仿宋_GB2312" w:cs="仿宋_GB2312"/>
                <w:color w:val="auto"/>
                <w:spacing w:val="0"/>
                <w:kern w:val="0"/>
                <w:sz w:val="24"/>
                <w:szCs w:val="22"/>
              </w:rPr>
              <w:t>3、公务用车购置和运行维护费</w:t>
            </w:r>
          </w:p>
        </w:tc>
        <w:tc>
          <w:tcPr>
            <w:tcW w:w="1701" w:type="dxa"/>
            <w:vAlign w:val="center"/>
          </w:tcPr>
          <w:p>
            <w:pPr>
              <w:spacing w:line="240" w:lineRule="auto"/>
              <w:ind w:firstLine="0" w:firstLineChars="0"/>
              <w:jc w:val="center"/>
              <w:rPr>
                <w:rFonts w:hint="default" w:hAnsi="仿宋_GB2312" w:cs="仿宋_GB2312"/>
                <w:color w:val="auto"/>
                <w:spacing w:val="0"/>
                <w:kern w:val="0"/>
                <w:sz w:val="24"/>
                <w:szCs w:val="22"/>
              </w:rPr>
            </w:pPr>
            <w:r>
              <w:rPr>
                <w:rFonts w:hint="default" w:hAnsi="仿宋_GB2312" w:cs="仿宋_GB2312"/>
                <w:color w:val="auto"/>
                <w:spacing w:val="0"/>
                <w:kern w:val="0"/>
                <w:sz w:val="24"/>
                <w:szCs w:val="22"/>
              </w:rPr>
              <w:t>1</w:t>
            </w:r>
            <w:r>
              <w:rPr>
                <w:rFonts w:hint="eastAsia" w:hAnsi="仿宋_GB2312" w:cs="仿宋_GB2312"/>
                <w:color w:val="auto"/>
                <w:spacing w:val="0"/>
                <w:kern w:val="0"/>
                <w:sz w:val="24"/>
                <w:szCs w:val="22"/>
              </w:rPr>
              <w:t>,</w:t>
            </w:r>
            <w:r>
              <w:rPr>
                <w:rFonts w:hint="default" w:hAnsi="仿宋_GB2312" w:cs="仿宋_GB2312"/>
                <w:color w:val="auto"/>
                <w:spacing w:val="0"/>
                <w:kern w:val="0"/>
                <w:sz w:val="24"/>
                <w:szCs w:val="22"/>
              </w:rPr>
              <w:t>631</w:t>
            </w:r>
          </w:p>
        </w:tc>
        <w:tc>
          <w:tcPr>
            <w:tcW w:w="1735" w:type="dxa"/>
            <w:vAlign w:val="center"/>
          </w:tcPr>
          <w:p>
            <w:pPr>
              <w:spacing w:line="240" w:lineRule="auto"/>
              <w:ind w:firstLine="0" w:firstLineChars="0"/>
              <w:jc w:val="center"/>
              <w:rPr>
                <w:rFonts w:hint="default" w:hAnsi="仿宋_GB2312" w:cs="仿宋_GB2312"/>
                <w:color w:val="auto"/>
                <w:spacing w:val="0"/>
                <w:kern w:val="0"/>
                <w:sz w:val="24"/>
                <w:szCs w:val="22"/>
              </w:rPr>
            </w:pPr>
            <w:r>
              <w:rPr>
                <w:rFonts w:hint="default" w:hAnsi="仿宋_GB2312" w:cs="仿宋_GB2312"/>
                <w:color w:val="auto"/>
                <w:spacing w:val="0"/>
                <w:kern w:val="0"/>
                <w:sz w:val="24"/>
                <w:szCs w:val="22"/>
              </w:rPr>
              <w:t>2</w:t>
            </w:r>
            <w:r>
              <w:rPr>
                <w:rFonts w:hint="eastAsia" w:hAnsi="仿宋_GB2312" w:cs="仿宋_GB2312"/>
                <w:color w:val="auto"/>
                <w:spacing w:val="0"/>
                <w:kern w:val="0"/>
                <w:sz w:val="24"/>
                <w:szCs w:val="22"/>
              </w:rPr>
              <w:t>,</w:t>
            </w:r>
            <w:r>
              <w:rPr>
                <w:rFonts w:hint="default" w:hAnsi="仿宋_GB2312" w:cs="仿宋_GB2312"/>
                <w:color w:val="auto"/>
                <w:spacing w:val="0"/>
                <w:kern w:val="0"/>
                <w:sz w:val="24"/>
                <w:szCs w:val="22"/>
              </w:rPr>
              <w:t>280</w:t>
            </w:r>
          </w:p>
        </w:tc>
        <w:tc>
          <w:tcPr>
            <w:tcW w:w="983" w:type="dxa"/>
            <w:vAlign w:val="center"/>
          </w:tcPr>
          <w:p>
            <w:pPr>
              <w:spacing w:line="240" w:lineRule="auto"/>
              <w:ind w:firstLine="0" w:firstLineChars="0"/>
              <w:jc w:val="center"/>
              <w:rPr>
                <w:rFonts w:hAnsi="仿宋_GB2312" w:cs="仿宋_GB2312"/>
                <w:color w:val="auto"/>
                <w:spacing w:val="0"/>
                <w:kern w:val="2"/>
                <w:sz w:val="24"/>
                <w:szCs w:val="22"/>
              </w:rPr>
            </w:pPr>
            <w:r>
              <w:rPr>
                <w:rFonts w:hint="eastAsia" w:hAnsi="仿宋_GB2312" w:cs="仿宋_GB2312"/>
                <w:color w:val="auto"/>
                <w:spacing w:val="0"/>
                <w:kern w:val="2"/>
                <w:sz w:val="24"/>
                <w:szCs w:val="22"/>
              </w:rPr>
              <w:t>-</w:t>
            </w:r>
            <w:r>
              <w:rPr>
                <w:rFonts w:hint="default" w:hAnsi="仿宋_GB2312" w:cs="仿宋_GB2312"/>
                <w:color w:val="auto"/>
                <w:spacing w:val="0"/>
                <w:kern w:val="2"/>
                <w:sz w:val="24"/>
                <w:szCs w:val="22"/>
              </w:rPr>
              <w:t>28.</w:t>
            </w:r>
            <w:r>
              <w:rPr>
                <w:rFonts w:hint="default" w:hAnsi="仿宋_GB2312" w:cs="仿宋_GB2312"/>
                <w:color w:val="auto"/>
                <w:spacing w:val="0"/>
                <w:kern w:val="2"/>
                <w:sz w:val="24"/>
                <w:szCs w:val="22"/>
              </w:rPr>
              <w:t>5</w:t>
            </w:r>
            <w:bookmarkStart w:id="0" w:name="_GoBack"/>
            <w:bookmarkEnd w:id="0"/>
            <w:r>
              <w:rPr>
                <w:rFonts w:hint="eastAsia" w:hAnsi="仿宋_GB2312" w:cs="仿宋_GB2312"/>
                <w:color w:val="auto"/>
                <w:spacing w:val="0"/>
                <w:kern w:val="2"/>
                <w:sz w:val="24"/>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3361" w:type="dxa"/>
            <w:vAlign w:val="center"/>
          </w:tcPr>
          <w:p>
            <w:pPr>
              <w:spacing w:line="240" w:lineRule="auto"/>
              <w:ind w:firstLine="360" w:firstLineChars="150"/>
              <w:rPr>
                <w:rFonts w:hAnsi="仿宋_GB2312" w:cs="仿宋_GB2312"/>
                <w:color w:val="auto"/>
                <w:spacing w:val="0"/>
                <w:kern w:val="0"/>
                <w:sz w:val="24"/>
                <w:szCs w:val="22"/>
              </w:rPr>
            </w:pPr>
            <w:r>
              <w:rPr>
                <w:rFonts w:hint="eastAsia" w:hAnsi="仿宋_GB2312" w:cs="仿宋_GB2312"/>
                <w:color w:val="auto"/>
                <w:spacing w:val="0"/>
                <w:kern w:val="0"/>
                <w:sz w:val="24"/>
                <w:szCs w:val="22"/>
              </w:rPr>
              <w:t>其中：公务用车运行维护费</w:t>
            </w:r>
          </w:p>
        </w:tc>
        <w:tc>
          <w:tcPr>
            <w:tcW w:w="1701" w:type="dxa"/>
            <w:vAlign w:val="center"/>
          </w:tcPr>
          <w:p>
            <w:pPr>
              <w:spacing w:line="240" w:lineRule="auto"/>
              <w:ind w:firstLine="0" w:firstLineChars="0"/>
              <w:jc w:val="center"/>
              <w:rPr>
                <w:rFonts w:hint="default" w:hAnsi="仿宋_GB2312" w:cs="仿宋_GB2312"/>
                <w:color w:val="auto"/>
                <w:spacing w:val="0"/>
                <w:kern w:val="0"/>
                <w:sz w:val="24"/>
                <w:szCs w:val="22"/>
              </w:rPr>
            </w:pPr>
            <w:r>
              <w:rPr>
                <w:rFonts w:hint="eastAsia" w:hAnsi="仿宋_GB2312" w:cs="仿宋_GB2312"/>
                <w:color w:val="auto"/>
                <w:spacing w:val="0"/>
                <w:kern w:val="0"/>
                <w:sz w:val="24"/>
                <w:szCs w:val="22"/>
              </w:rPr>
              <w:t>1,</w:t>
            </w:r>
            <w:r>
              <w:rPr>
                <w:rFonts w:hint="default" w:hAnsi="仿宋_GB2312" w:cs="仿宋_GB2312"/>
                <w:color w:val="auto"/>
                <w:spacing w:val="0"/>
                <w:kern w:val="0"/>
                <w:sz w:val="24"/>
                <w:szCs w:val="22"/>
              </w:rPr>
              <w:t>495</w:t>
            </w:r>
          </w:p>
        </w:tc>
        <w:tc>
          <w:tcPr>
            <w:tcW w:w="1735" w:type="dxa"/>
            <w:vAlign w:val="center"/>
          </w:tcPr>
          <w:p>
            <w:pPr>
              <w:spacing w:line="240" w:lineRule="auto"/>
              <w:ind w:firstLine="0" w:firstLineChars="0"/>
              <w:jc w:val="center"/>
              <w:rPr>
                <w:rFonts w:hint="default" w:hAnsi="仿宋_GB2312" w:cs="仿宋_GB2312"/>
                <w:color w:val="auto"/>
                <w:spacing w:val="0"/>
                <w:kern w:val="0"/>
                <w:sz w:val="24"/>
                <w:szCs w:val="22"/>
              </w:rPr>
            </w:pPr>
            <w:r>
              <w:rPr>
                <w:rFonts w:hint="eastAsia" w:hAnsi="仿宋_GB2312" w:cs="仿宋_GB2312"/>
                <w:color w:val="auto"/>
                <w:spacing w:val="0"/>
                <w:kern w:val="0"/>
                <w:sz w:val="24"/>
                <w:szCs w:val="22"/>
              </w:rPr>
              <w:t>1,</w:t>
            </w:r>
            <w:r>
              <w:rPr>
                <w:rFonts w:hint="default" w:hAnsi="仿宋_GB2312" w:cs="仿宋_GB2312"/>
                <w:color w:val="auto"/>
                <w:spacing w:val="0"/>
                <w:kern w:val="0"/>
                <w:sz w:val="24"/>
                <w:szCs w:val="22"/>
              </w:rPr>
              <w:t>544</w:t>
            </w:r>
          </w:p>
        </w:tc>
        <w:tc>
          <w:tcPr>
            <w:tcW w:w="983" w:type="dxa"/>
            <w:vAlign w:val="center"/>
          </w:tcPr>
          <w:p>
            <w:pPr>
              <w:spacing w:line="240" w:lineRule="auto"/>
              <w:ind w:firstLine="0" w:firstLineChars="0"/>
              <w:jc w:val="center"/>
              <w:rPr>
                <w:rFonts w:hAnsi="仿宋_GB2312" w:cs="仿宋_GB2312"/>
                <w:color w:val="auto"/>
                <w:spacing w:val="0"/>
                <w:kern w:val="2"/>
                <w:sz w:val="24"/>
                <w:szCs w:val="22"/>
              </w:rPr>
            </w:pPr>
            <w:r>
              <w:rPr>
                <w:rFonts w:hint="eastAsia" w:hAnsi="仿宋_GB2312" w:cs="仿宋_GB2312"/>
                <w:color w:val="auto"/>
                <w:spacing w:val="0"/>
                <w:kern w:val="2"/>
                <w:sz w:val="24"/>
                <w:szCs w:val="22"/>
              </w:rPr>
              <w:t>-</w:t>
            </w:r>
            <w:r>
              <w:rPr>
                <w:rFonts w:hint="default" w:hAnsi="仿宋_GB2312" w:cs="仿宋_GB2312"/>
                <w:color w:val="auto"/>
                <w:spacing w:val="0"/>
                <w:kern w:val="2"/>
                <w:sz w:val="24"/>
                <w:szCs w:val="22"/>
              </w:rPr>
              <w:t>3.2</w:t>
            </w:r>
            <w:r>
              <w:rPr>
                <w:rFonts w:hint="eastAsia" w:hAnsi="仿宋_GB2312" w:cs="仿宋_GB2312"/>
                <w:color w:val="auto"/>
                <w:spacing w:val="0"/>
                <w:kern w:val="2"/>
                <w:sz w:val="24"/>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61" w:type="dxa"/>
            <w:vAlign w:val="center"/>
          </w:tcPr>
          <w:p>
            <w:pPr>
              <w:spacing w:line="240" w:lineRule="auto"/>
              <w:ind w:firstLine="1080" w:firstLineChars="450"/>
              <w:jc w:val="left"/>
              <w:rPr>
                <w:rFonts w:hAnsi="仿宋_GB2312" w:cs="仿宋_GB2312"/>
                <w:color w:val="auto"/>
                <w:spacing w:val="0"/>
                <w:kern w:val="0"/>
                <w:sz w:val="24"/>
                <w:szCs w:val="22"/>
              </w:rPr>
            </w:pPr>
            <w:r>
              <w:rPr>
                <w:rFonts w:hint="eastAsia" w:hAnsi="仿宋_GB2312" w:cs="仿宋_GB2312"/>
                <w:color w:val="auto"/>
                <w:spacing w:val="0"/>
                <w:kern w:val="0"/>
                <w:sz w:val="24"/>
                <w:szCs w:val="22"/>
              </w:rPr>
              <w:t>公务用车购置费</w:t>
            </w:r>
          </w:p>
        </w:tc>
        <w:tc>
          <w:tcPr>
            <w:tcW w:w="1701" w:type="dxa"/>
            <w:vAlign w:val="center"/>
          </w:tcPr>
          <w:p>
            <w:pPr>
              <w:spacing w:line="240" w:lineRule="auto"/>
              <w:ind w:firstLine="436" w:firstLineChars="182"/>
              <w:jc w:val="left"/>
              <w:rPr>
                <w:rFonts w:hint="default" w:hAnsi="仿宋_GB2312" w:cs="仿宋_GB2312"/>
                <w:color w:val="auto"/>
                <w:spacing w:val="0"/>
                <w:kern w:val="0"/>
                <w:sz w:val="24"/>
                <w:szCs w:val="22"/>
              </w:rPr>
            </w:pPr>
            <w:r>
              <w:rPr>
                <w:rFonts w:hint="default" w:hAnsi="仿宋_GB2312" w:cs="仿宋_GB2312"/>
                <w:color w:val="auto"/>
                <w:spacing w:val="0"/>
                <w:kern w:val="0"/>
                <w:sz w:val="24"/>
                <w:szCs w:val="22"/>
              </w:rPr>
              <w:t>136</w:t>
            </w:r>
          </w:p>
        </w:tc>
        <w:tc>
          <w:tcPr>
            <w:tcW w:w="1735" w:type="dxa"/>
            <w:vAlign w:val="center"/>
          </w:tcPr>
          <w:p>
            <w:pPr>
              <w:spacing w:line="240" w:lineRule="auto"/>
              <w:ind w:firstLine="480"/>
              <w:jc w:val="left"/>
              <w:rPr>
                <w:rFonts w:hint="default" w:hAnsi="仿宋_GB2312" w:cs="仿宋_GB2312"/>
                <w:color w:val="auto"/>
                <w:spacing w:val="0"/>
                <w:kern w:val="0"/>
                <w:sz w:val="24"/>
                <w:szCs w:val="22"/>
              </w:rPr>
            </w:pPr>
            <w:r>
              <w:rPr>
                <w:rFonts w:hint="default" w:hAnsi="仿宋_GB2312" w:cs="仿宋_GB2312"/>
                <w:color w:val="auto"/>
                <w:spacing w:val="0"/>
                <w:kern w:val="0"/>
                <w:sz w:val="24"/>
                <w:szCs w:val="22"/>
              </w:rPr>
              <w:t>736</w:t>
            </w:r>
          </w:p>
        </w:tc>
        <w:tc>
          <w:tcPr>
            <w:tcW w:w="983" w:type="dxa"/>
            <w:vAlign w:val="center"/>
          </w:tcPr>
          <w:p>
            <w:pPr>
              <w:spacing w:line="240" w:lineRule="auto"/>
              <w:ind w:firstLine="0" w:firstLineChars="0"/>
              <w:jc w:val="left"/>
              <w:rPr>
                <w:rFonts w:hAnsi="仿宋_GB2312" w:cs="仿宋_GB2312"/>
                <w:color w:val="auto"/>
                <w:spacing w:val="0"/>
                <w:kern w:val="2"/>
                <w:sz w:val="24"/>
                <w:szCs w:val="22"/>
              </w:rPr>
            </w:pPr>
            <w:r>
              <w:rPr>
                <w:rFonts w:hint="eastAsia" w:hAnsi="仿宋_GB2312" w:cs="仿宋_GB2312"/>
                <w:color w:val="auto"/>
                <w:spacing w:val="0"/>
                <w:kern w:val="2"/>
                <w:sz w:val="24"/>
                <w:szCs w:val="22"/>
              </w:rPr>
              <w:t>-</w:t>
            </w:r>
            <w:r>
              <w:rPr>
                <w:rFonts w:hint="default" w:hAnsi="仿宋_GB2312" w:cs="仿宋_GB2312"/>
                <w:color w:val="auto"/>
                <w:spacing w:val="0"/>
                <w:kern w:val="2"/>
                <w:sz w:val="24"/>
                <w:szCs w:val="22"/>
              </w:rPr>
              <w:t>81.5</w:t>
            </w:r>
            <w:r>
              <w:rPr>
                <w:rFonts w:hint="eastAsia" w:hAnsi="仿宋_GB2312" w:cs="仿宋_GB2312"/>
                <w:color w:val="auto"/>
                <w:spacing w:val="0"/>
                <w:kern w:val="2"/>
                <w:sz w:val="24"/>
                <w:szCs w:val="22"/>
              </w:rPr>
              <w:t>%</w:t>
            </w:r>
          </w:p>
        </w:tc>
      </w:tr>
    </w:tbl>
    <w:p>
      <w:pPr>
        <w:keepNext w:val="0"/>
        <w:keepLines w:val="0"/>
        <w:pageBreakBefore w:val="0"/>
        <w:widowControl w:val="0"/>
        <w:kinsoku/>
        <w:wordWrap/>
        <w:overflowPunct/>
        <w:topLinePunct w:val="0"/>
        <w:bidi w:val="0"/>
        <w:spacing w:line="560" w:lineRule="exact"/>
        <w:ind w:left="0" w:leftChars="0" w:firstLine="628" w:firstLineChars="200"/>
        <w:jc w:val="left"/>
        <w:textAlignment w:val="auto"/>
        <w:rPr>
          <w:rFonts w:ascii="黑体" w:hAnsi="黑体" w:eastAsia="黑体" w:cs="黑体"/>
          <w:color w:val="auto"/>
          <w:szCs w:val="32"/>
        </w:rPr>
      </w:pPr>
      <w:r>
        <w:rPr>
          <w:rFonts w:hint="eastAsia" w:ascii="黑体" w:hAnsi="黑体" w:eastAsia="黑体" w:cs="黑体"/>
          <w:color w:val="auto"/>
          <w:szCs w:val="32"/>
        </w:rPr>
        <w:t>三、关于举借债务情况的说明</w:t>
      </w:r>
    </w:p>
    <w:p>
      <w:pPr>
        <w:keepNext w:val="0"/>
        <w:keepLines w:val="0"/>
        <w:pageBreakBefore w:val="0"/>
        <w:widowControl w:val="0"/>
        <w:kinsoku/>
        <w:wordWrap/>
        <w:overflowPunct/>
        <w:topLinePunct w:val="0"/>
        <w:bidi w:val="0"/>
        <w:spacing w:line="560" w:lineRule="exact"/>
        <w:ind w:firstLine="628"/>
        <w:jc w:val="left"/>
        <w:textAlignment w:val="auto"/>
        <w:rPr>
          <w:rFonts w:hint="eastAsia" w:hAnsi="仿宋_GB2312" w:cs="仿宋_GB2312"/>
          <w:color w:val="auto"/>
          <w:kern w:val="0"/>
          <w:szCs w:val="32"/>
        </w:rPr>
      </w:pPr>
      <w:r>
        <w:rPr>
          <w:rFonts w:hint="default" w:hAnsi="仿宋_GB2312" w:cs="仿宋_GB2312"/>
          <w:color w:val="auto"/>
          <w:kern w:val="0"/>
          <w:szCs w:val="32"/>
        </w:rPr>
        <w:t>新区</w:t>
      </w:r>
      <w:r>
        <w:rPr>
          <w:rFonts w:hint="eastAsia" w:hAnsi="仿宋_GB2312" w:cs="仿宋_GB2312"/>
          <w:color w:val="auto"/>
          <w:kern w:val="0"/>
          <w:szCs w:val="32"/>
        </w:rPr>
        <w:t>2020年</w:t>
      </w:r>
      <w:r>
        <w:rPr>
          <w:rFonts w:hint="default" w:hAnsi="仿宋_GB2312" w:cs="仿宋_GB2312"/>
          <w:color w:val="auto"/>
          <w:kern w:val="0"/>
          <w:szCs w:val="32"/>
        </w:rPr>
        <w:t>首次发行</w:t>
      </w:r>
      <w:r>
        <w:rPr>
          <w:rFonts w:hint="eastAsia" w:hAnsi="仿宋_GB2312" w:cs="仿宋_GB2312"/>
          <w:color w:val="auto"/>
          <w:kern w:val="0"/>
          <w:szCs w:val="32"/>
        </w:rPr>
        <w:t>地方政府专项债券</w:t>
      </w:r>
      <w:r>
        <w:rPr>
          <w:rFonts w:hint="default" w:hAnsi="仿宋_GB2312" w:cs="仿宋_GB2312"/>
          <w:color w:val="auto"/>
          <w:kern w:val="0"/>
          <w:szCs w:val="32"/>
        </w:rPr>
        <w:t>，2020-2021年累计发行地方政府专项债券9.6亿元</w:t>
      </w:r>
      <w:r>
        <w:rPr>
          <w:rFonts w:hint="eastAsia" w:hAnsi="仿宋_GB2312" w:cs="仿宋_GB2312"/>
          <w:color w:val="auto"/>
          <w:kern w:val="0"/>
          <w:szCs w:val="32"/>
        </w:rPr>
        <w:t>，其中投向水环境治理领域的债券资金共</w:t>
      </w:r>
      <w:r>
        <w:rPr>
          <w:rFonts w:hint="default" w:hAnsi="宋体" w:cs="宋体"/>
          <w:color w:val="auto"/>
          <w:kern w:val="0"/>
          <w:szCs w:val="32"/>
        </w:rPr>
        <w:t>4</w:t>
      </w:r>
      <w:r>
        <w:rPr>
          <w:rFonts w:hint="eastAsia" w:hAnsi="宋体" w:cs="宋体"/>
          <w:color w:val="auto"/>
          <w:kern w:val="0"/>
          <w:szCs w:val="32"/>
        </w:rPr>
        <w:t>亿元</w:t>
      </w:r>
      <w:r>
        <w:rPr>
          <w:rFonts w:hint="eastAsia" w:hAnsi="仿宋_GB2312" w:cs="仿宋_GB2312"/>
          <w:color w:val="auto"/>
          <w:kern w:val="0"/>
          <w:szCs w:val="32"/>
        </w:rPr>
        <w:t>、产业园区基础设施领域的债券资金共</w:t>
      </w:r>
      <w:r>
        <w:rPr>
          <w:rFonts w:hint="default" w:hAnsi="仿宋_GB2312" w:cs="仿宋_GB2312"/>
          <w:color w:val="auto"/>
          <w:kern w:val="0"/>
          <w:szCs w:val="32"/>
        </w:rPr>
        <w:t>3.8</w:t>
      </w:r>
      <w:r>
        <w:rPr>
          <w:rFonts w:hint="eastAsia" w:hAnsi="仿宋_GB2312" w:cs="仿宋_GB2312"/>
          <w:color w:val="auto"/>
          <w:kern w:val="0"/>
          <w:szCs w:val="32"/>
        </w:rPr>
        <w:t>亿元、医疗设备购置领域的债券资金共</w:t>
      </w:r>
      <w:r>
        <w:rPr>
          <w:rFonts w:hint="default" w:hAnsi="仿宋_GB2312" w:cs="仿宋_GB2312"/>
          <w:color w:val="auto"/>
          <w:kern w:val="0"/>
          <w:szCs w:val="32"/>
        </w:rPr>
        <w:t>1.3</w:t>
      </w:r>
      <w:r>
        <w:rPr>
          <w:rFonts w:hint="eastAsia" w:hAnsi="仿宋_GB2312" w:cs="仿宋_GB2312"/>
          <w:color w:val="auto"/>
          <w:kern w:val="0"/>
          <w:szCs w:val="32"/>
        </w:rPr>
        <w:t>亿元、城乡冷链物流基础设施领域的债券资金共0.4亿元。</w:t>
      </w:r>
    </w:p>
    <w:p>
      <w:pPr>
        <w:keepNext w:val="0"/>
        <w:keepLines w:val="0"/>
        <w:pageBreakBefore w:val="0"/>
        <w:widowControl w:val="0"/>
        <w:kinsoku/>
        <w:wordWrap/>
        <w:overflowPunct/>
        <w:topLinePunct w:val="0"/>
        <w:bidi w:val="0"/>
        <w:spacing w:line="560" w:lineRule="exact"/>
        <w:ind w:firstLine="628"/>
        <w:jc w:val="left"/>
        <w:textAlignment w:val="auto"/>
        <w:rPr>
          <w:rFonts w:hint="default" w:hAnsi="仿宋_GB2312" w:cs="仿宋_GB2312"/>
          <w:color w:val="auto"/>
          <w:kern w:val="0"/>
          <w:szCs w:val="32"/>
        </w:rPr>
      </w:pPr>
      <w:r>
        <w:rPr>
          <w:rFonts w:hint="eastAsia" w:hAnsi="仿宋_GB2312" w:cs="仿宋_GB2312"/>
          <w:color w:val="auto"/>
          <w:kern w:val="0"/>
          <w:szCs w:val="32"/>
        </w:rPr>
        <w:t>202</w:t>
      </w:r>
      <w:r>
        <w:rPr>
          <w:rFonts w:hint="default" w:hAnsi="仿宋_GB2312" w:cs="仿宋_GB2312"/>
          <w:color w:val="auto"/>
          <w:kern w:val="0"/>
          <w:szCs w:val="32"/>
        </w:rPr>
        <w:t>2</w:t>
      </w:r>
      <w:r>
        <w:rPr>
          <w:rFonts w:hint="eastAsia" w:hAnsi="仿宋_GB2312" w:cs="仿宋_GB2312"/>
          <w:color w:val="auto"/>
          <w:kern w:val="0"/>
          <w:szCs w:val="32"/>
        </w:rPr>
        <w:t>年大鹏新区拟发行</w:t>
      </w:r>
      <w:r>
        <w:rPr>
          <w:rFonts w:hint="default" w:hAnsi="仿宋_GB2312" w:cs="仿宋_GB2312"/>
          <w:color w:val="auto"/>
          <w:kern w:val="0"/>
          <w:szCs w:val="32"/>
        </w:rPr>
        <w:t>第一批</w:t>
      </w:r>
      <w:r>
        <w:rPr>
          <w:rFonts w:hint="eastAsia" w:hAnsi="仿宋_GB2312" w:cs="仿宋_GB2312"/>
          <w:color w:val="auto"/>
          <w:kern w:val="0"/>
          <w:szCs w:val="32"/>
        </w:rPr>
        <w:t>地方政府专项债券</w:t>
      </w:r>
      <w:r>
        <w:rPr>
          <w:rFonts w:hint="default" w:hAnsi="仿宋_GB2312" w:cs="仿宋_GB2312"/>
          <w:color w:val="auto"/>
          <w:kern w:val="0"/>
          <w:szCs w:val="32"/>
        </w:rPr>
        <w:t>0.6</w:t>
      </w:r>
      <w:r>
        <w:rPr>
          <w:rFonts w:hint="eastAsia" w:hAnsi="仿宋_GB2312" w:cs="仿宋_GB2312"/>
          <w:color w:val="auto"/>
          <w:kern w:val="0"/>
          <w:szCs w:val="32"/>
        </w:rPr>
        <w:t>亿元，其中投向水环境治理领域的债券资金共</w:t>
      </w:r>
      <w:r>
        <w:rPr>
          <w:rFonts w:hint="default" w:hAnsi="仿宋_GB2312" w:cs="仿宋_GB2312"/>
          <w:color w:val="auto"/>
          <w:kern w:val="0"/>
          <w:szCs w:val="32"/>
        </w:rPr>
        <w:t>0.3</w:t>
      </w:r>
      <w:r>
        <w:rPr>
          <w:rFonts w:hint="eastAsia" w:hAnsi="仿宋_GB2312" w:cs="仿宋_GB2312"/>
          <w:color w:val="auto"/>
          <w:kern w:val="0"/>
          <w:szCs w:val="32"/>
        </w:rPr>
        <w:t>亿元、</w:t>
      </w:r>
      <w:r>
        <w:rPr>
          <w:rFonts w:hint="default" w:hAnsi="仿宋_GB2312" w:cs="仿宋_GB2312"/>
          <w:color w:val="auto"/>
          <w:kern w:val="0"/>
          <w:szCs w:val="32"/>
        </w:rPr>
        <w:t>保障性住房</w:t>
      </w:r>
      <w:r>
        <w:rPr>
          <w:rFonts w:hint="eastAsia" w:hAnsi="仿宋_GB2312" w:cs="仿宋_GB2312"/>
          <w:color w:val="auto"/>
          <w:kern w:val="0"/>
          <w:szCs w:val="32"/>
        </w:rPr>
        <w:t>建设领域的债券资金共0.</w:t>
      </w:r>
      <w:r>
        <w:rPr>
          <w:rFonts w:hint="default" w:hAnsi="仿宋_GB2312" w:cs="仿宋_GB2312"/>
          <w:color w:val="auto"/>
          <w:kern w:val="0"/>
          <w:szCs w:val="32"/>
        </w:rPr>
        <w:t>3</w:t>
      </w:r>
      <w:r>
        <w:rPr>
          <w:rFonts w:hint="eastAsia" w:hAnsi="仿宋_GB2312" w:cs="仿宋_GB2312"/>
          <w:color w:val="auto"/>
          <w:kern w:val="0"/>
          <w:szCs w:val="32"/>
        </w:rPr>
        <w:t>亿元</w:t>
      </w:r>
      <w:r>
        <w:rPr>
          <w:rFonts w:hint="default" w:hAnsi="仿宋_GB2312" w:cs="仿宋_GB2312"/>
          <w:color w:val="auto"/>
          <w:kern w:val="0"/>
          <w:szCs w:val="32"/>
        </w:rPr>
        <w:t>。</w:t>
      </w:r>
      <w:r>
        <w:rPr>
          <w:rFonts w:hint="eastAsia" w:hAnsi="仿宋_GB2312" w:cs="仿宋_GB2312"/>
          <w:color w:val="auto"/>
          <w:kern w:val="0"/>
          <w:szCs w:val="32"/>
          <w:lang w:eastAsia="zh-CN"/>
        </w:rPr>
        <w:t>后续</w:t>
      </w:r>
      <w:r>
        <w:rPr>
          <w:rFonts w:hint="default" w:hAnsi="仿宋_GB2312" w:cs="仿宋_GB2312"/>
          <w:color w:val="auto"/>
          <w:kern w:val="0"/>
          <w:szCs w:val="32"/>
        </w:rPr>
        <w:t>专项</w:t>
      </w:r>
      <w:r>
        <w:rPr>
          <w:rFonts w:hint="eastAsia" w:hAnsi="仿宋_GB2312" w:cs="仿宋_GB2312"/>
          <w:color w:val="auto"/>
          <w:kern w:val="0"/>
          <w:szCs w:val="32"/>
          <w:lang w:eastAsia="zh-CN"/>
        </w:rPr>
        <w:t>债券</w:t>
      </w:r>
      <w:r>
        <w:rPr>
          <w:rFonts w:hint="default" w:hAnsi="仿宋_GB2312" w:cs="仿宋_GB2312"/>
          <w:color w:val="auto"/>
          <w:kern w:val="0"/>
          <w:szCs w:val="32"/>
        </w:rPr>
        <w:t>资金需求</w:t>
      </w:r>
      <w:r>
        <w:rPr>
          <w:rFonts w:hint="eastAsia" w:hAnsi="仿宋_GB2312" w:cs="仿宋_GB2312"/>
          <w:color w:val="auto"/>
          <w:kern w:val="0"/>
          <w:szCs w:val="32"/>
          <w:lang w:eastAsia="zh-CN"/>
        </w:rPr>
        <w:t>将通过</w:t>
      </w:r>
      <w:r>
        <w:rPr>
          <w:rFonts w:hint="default" w:hAnsi="仿宋_GB2312" w:cs="仿宋_GB2312"/>
          <w:color w:val="auto"/>
          <w:kern w:val="0"/>
          <w:szCs w:val="32"/>
        </w:rPr>
        <w:t>公共</w:t>
      </w:r>
      <w:r>
        <w:rPr>
          <w:rFonts w:hint="eastAsia" w:hAnsi="仿宋_GB2312" w:cs="仿宋_GB2312"/>
          <w:color w:val="auto"/>
          <w:kern w:val="0"/>
          <w:szCs w:val="32"/>
          <w:lang w:eastAsia="zh-CN"/>
        </w:rPr>
        <w:t>财政先行</w:t>
      </w:r>
      <w:r>
        <w:rPr>
          <w:rFonts w:hint="default" w:hAnsi="仿宋_GB2312" w:cs="仿宋_GB2312"/>
          <w:color w:val="auto"/>
          <w:kern w:val="0"/>
          <w:szCs w:val="32"/>
        </w:rPr>
        <w:t>保障，年中根据</w:t>
      </w:r>
      <w:r>
        <w:rPr>
          <w:rFonts w:hint="eastAsia" w:hAnsi="仿宋_GB2312" w:cs="仿宋_GB2312"/>
          <w:color w:val="auto"/>
          <w:kern w:val="0"/>
          <w:szCs w:val="32"/>
          <w:lang w:eastAsia="zh-CN"/>
        </w:rPr>
        <w:t>最新</w:t>
      </w:r>
      <w:r>
        <w:rPr>
          <w:rFonts w:hint="default" w:hAnsi="仿宋_GB2312" w:cs="仿宋_GB2312"/>
          <w:color w:val="auto"/>
          <w:kern w:val="0"/>
          <w:szCs w:val="32"/>
        </w:rPr>
        <w:t>下达情况</w:t>
      </w:r>
      <w:r>
        <w:rPr>
          <w:rFonts w:hint="eastAsia" w:hAnsi="仿宋_GB2312" w:cs="仿宋_GB2312"/>
          <w:color w:val="auto"/>
          <w:kern w:val="0"/>
          <w:szCs w:val="32"/>
          <w:lang w:eastAsia="zh-CN"/>
        </w:rPr>
        <w:t>据实</w:t>
      </w:r>
      <w:r>
        <w:rPr>
          <w:rFonts w:hint="default" w:hAnsi="仿宋_GB2312" w:cs="仿宋_GB2312"/>
          <w:color w:val="auto"/>
          <w:kern w:val="0"/>
          <w:szCs w:val="32"/>
        </w:rPr>
        <w:t>调整。</w:t>
      </w:r>
    </w:p>
    <w:p>
      <w:pPr>
        <w:keepNext w:val="0"/>
        <w:keepLines w:val="0"/>
        <w:pageBreakBefore w:val="0"/>
        <w:widowControl w:val="0"/>
        <w:kinsoku/>
        <w:wordWrap/>
        <w:overflowPunct/>
        <w:topLinePunct w:val="0"/>
        <w:bidi w:val="0"/>
        <w:spacing w:line="560" w:lineRule="exact"/>
        <w:ind w:firstLine="628"/>
        <w:textAlignment w:val="auto"/>
        <w:rPr>
          <w:rFonts w:ascii="黑体" w:hAnsi="黑体" w:eastAsia="黑体" w:cs="黑体"/>
          <w:color w:val="auto"/>
          <w:szCs w:val="32"/>
        </w:rPr>
      </w:pPr>
      <w:r>
        <w:rPr>
          <w:rFonts w:ascii="黑体" w:hAnsi="黑体" w:eastAsia="黑体" w:cs="黑体"/>
          <w:color w:val="auto"/>
          <w:szCs w:val="32"/>
        </w:rPr>
        <w:t>四、</w:t>
      </w:r>
      <w:r>
        <w:rPr>
          <w:rFonts w:hint="eastAsia" w:ascii="黑体" w:eastAsia="黑体"/>
          <w:color w:val="auto"/>
        </w:rPr>
        <w:t>关于国有资本经营收益预算</w:t>
      </w:r>
    </w:p>
    <w:p>
      <w:pPr>
        <w:keepNext w:val="0"/>
        <w:keepLines w:val="0"/>
        <w:pageBreakBefore w:val="0"/>
        <w:widowControl w:val="0"/>
        <w:kinsoku/>
        <w:wordWrap/>
        <w:overflowPunct/>
        <w:topLinePunct w:val="0"/>
        <w:bidi w:val="0"/>
        <w:spacing w:line="560" w:lineRule="exact"/>
        <w:ind w:firstLine="628"/>
        <w:textAlignment w:val="auto"/>
        <w:rPr>
          <w:rFonts w:hAnsi="仿宋_GB2312" w:cs="仿宋_GB2312"/>
          <w:color w:val="auto"/>
          <w:kern w:val="0"/>
          <w:szCs w:val="32"/>
        </w:rPr>
      </w:pPr>
      <w:r>
        <w:rPr>
          <w:rFonts w:hAnsi="仿宋_GB2312" w:cs="仿宋_GB2312"/>
          <w:color w:val="auto"/>
          <w:kern w:val="0"/>
          <w:szCs w:val="32"/>
        </w:rPr>
        <w:t>大鹏新区</w:t>
      </w:r>
      <w:r>
        <w:rPr>
          <w:rFonts w:hint="eastAsia" w:hAnsi="仿宋_GB2312" w:cs="仿宋_GB2312"/>
          <w:color w:val="auto"/>
          <w:kern w:val="0"/>
          <w:szCs w:val="32"/>
        </w:rPr>
        <w:t>区属国有企业可上缴的企业净利润在弥补以前年度亏损和提取公积金后为负数，故净利润不进行国有资本收益上缴。</w:t>
      </w:r>
    </w:p>
    <w:p>
      <w:pPr>
        <w:keepNext w:val="0"/>
        <w:keepLines w:val="0"/>
        <w:pageBreakBefore w:val="0"/>
        <w:widowControl w:val="0"/>
        <w:kinsoku/>
        <w:wordWrap/>
        <w:overflowPunct/>
        <w:topLinePunct w:val="0"/>
        <w:bidi w:val="0"/>
        <w:spacing w:line="560" w:lineRule="exact"/>
        <w:ind w:firstLine="628"/>
        <w:jc w:val="left"/>
        <w:textAlignment w:val="auto"/>
        <w:rPr>
          <w:rFonts w:ascii="黑体" w:hAnsi="黑体" w:eastAsia="黑体"/>
          <w:color w:val="auto"/>
          <w:szCs w:val="32"/>
        </w:rPr>
      </w:pPr>
      <w:r>
        <w:rPr>
          <w:rFonts w:hint="eastAsia" w:ascii="黑体" w:hAnsi="黑体" w:eastAsia="黑体" w:cs="黑体"/>
          <w:color w:val="auto"/>
          <w:szCs w:val="32"/>
        </w:rPr>
        <w:t>五、</w:t>
      </w:r>
      <w:r>
        <w:rPr>
          <w:rFonts w:hint="eastAsia" w:ascii="黑体" w:hAnsi="黑体" w:eastAsia="黑体"/>
          <w:color w:val="auto"/>
          <w:szCs w:val="32"/>
        </w:rPr>
        <w:t>关于社会保险基金预算的说明</w:t>
      </w:r>
    </w:p>
    <w:p>
      <w:pPr>
        <w:keepNext w:val="0"/>
        <w:keepLines w:val="0"/>
        <w:pageBreakBefore w:val="0"/>
        <w:widowControl w:val="0"/>
        <w:kinsoku/>
        <w:wordWrap/>
        <w:overflowPunct/>
        <w:topLinePunct w:val="0"/>
        <w:bidi w:val="0"/>
        <w:spacing w:line="560" w:lineRule="exact"/>
        <w:ind w:firstLine="628"/>
        <w:jc w:val="left"/>
        <w:textAlignment w:val="auto"/>
        <w:rPr>
          <w:rFonts w:hAnsi="仿宋_GB2312" w:cs="仿宋_GB2312"/>
          <w:color w:val="auto"/>
          <w:kern w:val="0"/>
          <w:szCs w:val="32"/>
        </w:rPr>
      </w:pPr>
      <w:r>
        <w:rPr>
          <w:rFonts w:hint="eastAsia" w:hAnsi="仿宋_GB2312" w:cs="仿宋_GB2312"/>
          <w:color w:val="auto"/>
          <w:kern w:val="0"/>
          <w:szCs w:val="32"/>
        </w:rPr>
        <w:t>社会保险基金预算由市财政局统一编制，新区按规定不需另行编制社会保险基金预算。</w:t>
      </w:r>
    </w:p>
    <w:p>
      <w:pPr>
        <w:keepNext w:val="0"/>
        <w:keepLines w:val="0"/>
        <w:pageBreakBefore w:val="0"/>
        <w:widowControl w:val="0"/>
        <w:kinsoku/>
        <w:wordWrap/>
        <w:overflowPunct/>
        <w:topLinePunct w:val="0"/>
        <w:bidi w:val="0"/>
        <w:spacing w:line="560" w:lineRule="exact"/>
        <w:ind w:firstLine="628"/>
        <w:jc w:val="left"/>
        <w:textAlignment w:val="auto"/>
        <w:rPr>
          <w:rFonts w:ascii="黑体" w:hAnsi="黑体" w:eastAsia="黑体" w:cs="黑体"/>
          <w:color w:val="auto"/>
          <w:szCs w:val="32"/>
        </w:rPr>
      </w:pPr>
      <w:r>
        <w:rPr>
          <w:rFonts w:hint="eastAsia" w:ascii="黑体" w:hAnsi="黑体" w:eastAsia="黑体" w:cs="黑体"/>
          <w:color w:val="auto"/>
          <w:szCs w:val="32"/>
        </w:rPr>
        <w:t>六、</w:t>
      </w:r>
      <w:r>
        <w:rPr>
          <w:rFonts w:ascii="黑体" w:hAnsi="黑体" w:eastAsia="黑体" w:cs="黑体"/>
          <w:color w:val="auto"/>
          <w:szCs w:val="32"/>
        </w:rPr>
        <w:t>其他事项</w:t>
      </w:r>
      <w:r>
        <w:rPr>
          <w:rFonts w:hint="eastAsia" w:ascii="黑体" w:hAnsi="黑体" w:eastAsia="黑体" w:cs="黑体"/>
          <w:color w:val="auto"/>
          <w:szCs w:val="32"/>
        </w:rPr>
        <w:t>说</w:t>
      </w:r>
      <w:r>
        <w:rPr>
          <w:rFonts w:ascii="黑体" w:hAnsi="黑体" w:eastAsia="黑体" w:cs="黑体"/>
          <w:color w:val="auto"/>
          <w:szCs w:val="32"/>
        </w:rPr>
        <w:t>明</w:t>
      </w:r>
    </w:p>
    <w:p>
      <w:pPr>
        <w:keepNext w:val="0"/>
        <w:keepLines w:val="0"/>
        <w:pageBreakBefore w:val="0"/>
        <w:widowControl w:val="0"/>
        <w:kinsoku/>
        <w:wordWrap/>
        <w:overflowPunct/>
        <w:topLinePunct w:val="0"/>
        <w:bidi w:val="0"/>
        <w:spacing w:line="560" w:lineRule="exact"/>
        <w:ind w:firstLine="628"/>
        <w:jc w:val="left"/>
        <w:textAlignment w:val="auto"/>
        <w:rPr>
          <w:rFonts w:hAnsi="仿宋_GB2312" w:cs="仿宋_GB2312"/>
          <w:color w:val="auto"/>
          <w:kern w:val="0"/>
          <w:szCs w:val="32"/>
        </w:rPr>
      </w:pPr>
      <w:r>
        <w:rPr>
          <w:rFonts w:hAnsi="仿宋_GB2312" w:cs="仿宋_GB2312"/>
          <w:color w:val="auto"/>
          <w:kern w:val="0"/>
          <w:szCs w:val="32"/>
        </w:rPr>
        <w:t>为保障各</w:t>
      </w:r>
      <w:r>
        <w:rPr>
          <w:rFonts w:hint="eastAsia" w:hAnsi="仿宋_GB2312" w:cs="仿宋_GB2312"/>
          <w:color w:val="auto"/>
          <w:kern w:val="0"/>
          <w:szCs w:val="32"/>
        </w:rPr>
        <w:t>预算单位</w:t>
      </w:r>
      <w:r>
        <w:rPr>
          <w:rFonts w:hAnsi="仿宋_GB2312" w:cs="仿宋_GB2312"/>
          <w:color w:val="auto"/>
          <w:kern w:val="0"/>
          <w:szCs w:val="32"/>
        </w:rPr>
        <w:t>正常开展工作，根据《预算法》第五十四条规定，预算年度开始后，预算草案在人民代表大会批准前，可以安排下列支出：</w:t>
      </w:r>
    </w:p>
    <w:p>
      <w:pPr>
        <w:keepNext w:val="0"/>
        <w:keepLines w:val="0"/>
        <w:pageBreakBefore w:val="0"/>
        <w:widowControl w:val="0"/>
        <w:kinsoku/>
        <w:wordWrap/>
        <w:overflowPunct/>
        <w:topLinePunct w:val="0"/>
        <w:bidi w:val="0"/>
        <w:spacing w:line="560" w:lineRule="exact"/>
        <w:ind w:firstLine="628"/>
        <w:jc w:val="left"/>
        <w:textAlignment w:val="auto"/>
        <w:rPr>
          <w:rFonts w:hAnsi="仿宋_GB2312" w:cs="仿宋_GB2312"/>
          <w:color w:val="auto"/>
          <w:kern w:val="0"/>
          <w:szCs w:val="32"/>
        </w:rPr>
      </w:pPr>
      <w:r>
        <w:rPr>
          <w:rFonts w:hAnsi="仿宋_GB2312" w:cs="仿宋_GB2312"/>
          <w:color w:val="auto"/>
          <w:kern w:val="0"/>
          <w:szCs w:val="32"/>
        </w:rPr>
        <w:t>（一）上一年度结转的支出；</w:t>
      </w:r>
    </w:p>
    <w:p>
      <w:pPr>
        <w:keepNext w:val="0"/>
        <w:keepLines w:val="0"/>
        <w:pageBreakBefore w:val="0"/>
        <w:widowControl w:val="0"/>
        <w:kinsoku/>
        <w:wordWrap/>
        <w:overflowPunct/>
        <w:topLinePunct w:val="0"/>
        <w:bidi w:val="0"/>
        <w:spacing w:line="560" w:lineRule="exact"/>
        <w:ind w:firstLine="628"/>
        <w:jc w:val="left"/>
        <w:textAlignment w:val="auto"/>
        <w:rPr>
          <w:rFonts w:hAnsi="仿宋_GB2312" w:cs="仿宋_GB2312"/>
          <w:color w:val="auto"/>
          <w:kern w:val="0"/>
          <w:szCs w:val="32"/>
        </w:rPr>
      </w:pPr>
      <w:r>
        <w:rPr>
          <w:rFonts w:hAnsi="仿宋_GB2312" w:cs="仿宋_GB2312"/>
          <w:color w:val="auto"/>
          <w:kern w:val="0"/>
          <w:szCs w:val="32"/>
        </w:rPr>
        <w:t>（二）参照上一年同期的预算支出数额安排必须支付的本年度部门基本支出、项目支出；</w:t>
      </w:r>
    </w:p>
    <w:p>
      <w:pPr>
        <w:keepNext w:val="0"/>
        <w:keepLines w:val="0"/>
        <w:pageBreakBefore w:val="0"/>
        <w:widowControl w:val="0"/>
        <w:kinsoku/>
        <w:wordWrap/>
        <w:overflowPunct/>
        <w:topLinePunct w:val="0"/>
        <w:bidi w:val="0"/>
        <w:spacing w:line="560" w:lineRule="exact"/>
        <w:ind w:firstLine="628"/>
        <w:jc w:val="left"/>
        <w:textAlignment w:val="auto"/>
        <w:rPr>
          <w:rFonts w:hAnsi="仿宋_GB2312" w:cs="仿宋_GB2312"/>
          <w:color w:val="auto"/>
          <w:kern w:val="0"/>
          <w:szCs w:val="32"/>
        </w:rPr>
      </w:pPr>
      <w:r>
        <w:rPr>
          <w:rFonts w:hAnsi="仿宋_GB2312" w:cs="仿宋_GB2312"/>
          <w:color w:val="auto"/>
          <w:kern w:val="0"/>
          <w:szCs w:val="32"/>
        </w:rPr>
        <w:t>（三）法律规定必须履行支付义务的支出，以及用于自然灾害等突发事件处理的支出。</w:t>
      </w:r>
    </w:p>
    <w:sectPr>
      <w:headerReference r:id="rId5" w:type="default"/>
      <w:footerReference r:id="rId7" w:type="default"/>
      <w:headerReference r:id="rId6" w:type="even"/>
      <w:footerReference r:id="rId8" w:type="even"/>
      <w:pgSz w:w="11906" w:h="16838"/>
      <w:pgMar w:top="2098" w:right="1474" w:bottom="1985" w:left="1588" w:header="851" w:footer="1372" w:gutter="0"/>
      <w:pgNumType w:fmt="numberInDash"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8"/>
      </w:pPr>
      <w:r>
        <w:separator/>
      </w:r>
    </w:p>
  </w:endnote>
  <w:endnote w:type="continuationSeparator" w:id="1">
    <w:p>
      <w:pPr>
        <w:spacing w:line="240" w:lineRule="auto"/>
        <w:ind w:firstLine="62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文鼎小标宋简">
    <w:altName w:val="方正小标宋简体"/>
    <w:panose1 w:val="00000000000000000000"/>
    <w:charset w:val="86"/>
    <w:family w:val="modern"/>
    <w:pitch w:val="default"/>
    <w:sig w:usb0="00000000" w:usb1="00000000" w:usb2="0000001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楷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8"/>
        <w:szCs w:val="28"/>
      </w:rPr>
      <w:id w:val="10910452"/>
    </w:sdtPr>
    <w:sdtEndPr>
      <w:rPr>
        <w:rFonts w:asciiTheme="majorEastAsia" w:hAnsiTheme="majorEastAsia" w:eastAsiaTheme="majorEastAsia"/>
        <w:sz w:val="28"/>
        <w:szCs w:val="28"/>
      </w:rPr>
    </w:sdtEndPr>
    <w:sdtContent>
      <w:p>
        <w:pPr>
          <w:pStyle w:val="10"/>
          <w:ind w:firstLine="560"/>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3 -</w:t>
        </w:r>
        <w:r>
          <w:rPr>
            <w:rFonts w:asciiTheme="majorEastAsia" w:hAnsiTheme="majorEastAsia" w:eastAsia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0455"/>
    </w:sdtPr>
    <w:sdtContent>
      <w:p>
        <w:pPr>
          <w:pStyle w:val="10"/>
          <w:ind w:firstLine="360"/>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4 -</w:t>
        </w:r>
        <w:r>
          <w:rPr>
            <w:rFonts w:asciiTheme="majorEastAsia" w:hAnsiTheme="majorEastAsia" w:eastAsiaTheme="maj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8"/>
      </w:pPr>
      <w:r>
        <w:separator/>
      </w:r>
    </w:p>
  </w:footnote>
  <w:footnote w:type="continuationSeparator" w:id="1">
    <w:p>
      <w:pPr>
        <w:spacing w:line="240" w:lineRule="auto"/>
        <w:ind w:firstLine="628"/>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0" w:firstLineChars="0"/>
      <w:jc w:val="both"/>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FE38C7"/>
    <w:multiLevelType w:val="singleLevel"/>
    <w:tmpl w:val="F1FE38C7"/>
    <w:lvl w:ilvl="0" w:tentative="0">
      <w:start w:val="3"/>
      <w:numFmt w:val="chineseCounting"/>
      <w:suff w:val="nothing"/>
      <w:lvlText w:val="（%1）"/>
      <w:lvlJc w:val="left"/>
      <w:rPr>
        <w:rFonts w:hint="eastAsia"/>
      </w:rPr>
    </w:lvl>
  </w:abstractNum>
  <w:abstractNum w:abstractNumId="1">
    <w:nsid w:val="70660BF7"/>
    <w:multiLevelType w:val="singleLevel"/>
    <w:tmpl w:val="70660BF7"/>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evenAndOddHeaders w:val="1"/>
  <w:drawingGridHorizontalSpacing w:val="157"/>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855D4"/>
    <w:rsid w:val="000006F8"/>
    <w:rsid w:val="0000249C"/>
    <w:rsid w:val="00003096"/>
    <w:rsid w:val="0000309B"/>
    <w:rsid w:val="000051AA"/>
    <w:rsid w:val="0000560F"/>
    <w:rsid w:val="0000658D"/>
    <w:rsid w:val="000068A1"/>
    <w:rsid w:val="00006BBB"/>
    <w:rsid w:val="0000717B"/>
    <w:rsid w:val="000071BC"/>
    <w:rsid w:val="000073C1"/>
    <w:rsid w:val="000073FA"/>
    <w:rsid w:val="000074CD"/>
    <w:rsid w:val="00007C9B"/>
    <w:rsid w:val="00011E8D"/>
    <w:rsid w:val="0001200F"/>
    <w:rsid w:val="0001295E"/>
    <w:rsid w:val="00012A21"/>
    <w:rsid w:val="00013021"/>
    <w:rsid w:val="0001515A"/>
    <w:rsid w:val="00016312"/>
    <w:rsid w:val="00017BD1"/>
    <w:rsid w:val="00017CE8"/>
    <w:rsid w:val="000214F3"/>
    <w:rsid w:val="000216B4"/>
    <w:rsid w:val="00023250"/>
    <w:rsid w:val="0002673E"/>
    <w:rsid w:val="00026AAB"/>
    <w:rsid w:val="00026CA0"/>
    <w:rsid w:val="000271C2"/>
    <w:rsid w:val="0003085C"/>
    <w:rsid w:val="00030E38"/>
    <w:rsid w:val="00031246"/>
    <w:rsid w:val="00033B31"/>
    <w:rsid w:val="00033D06"/>
    <w:rsid w:val="00034762"/>
    <w:rsid w:val="00034F84"/>
    <w:rsid w:val="00035529"/>
    <w:rsid w:val="00035990"/>
    <w:rsid w:val="00035A47"/>
    <w:rsid w:val="00037697"/>
    <w:rsid w:val="00040588"/>
    <w:rsid w:val="0004107F"/>
    <w:rsid w:val="000410FB"/>
    <w:rsid w:val="00041DC0"/>
    <w:rsid w:val="00041F93"/>
    <w:rsid w:val="00042E3C"/>
    <w:rsid w:val="00043272"/>
    <w:rsid w:val="00044885"/>
    <w:rsid w:val="0004570D"/>
    <w:rsid w:val="0004578F"/>
    <w:rsid w:val="00045C9F"/>
    <w:rsid w:val="000517FE"/>
    <w:rsid w:val="0005308E"/>
    <w:rsid w:val="00053EA9"/>
    <w:rsid w:val="00055379"/>
    <w:rsid w:val="00056E28"/>
    <w:rsid w:val="0005753F"/>
    <w:rsid w:val="00060D8D"/>
    <w:rsid w:val="00061156"/>
    <w:rsid w:val="00061709"/>
    <w:rsid w:val="0006207F"/>
    <w:rsid w:val="000648B5"/>
    <w:rsid w:val="00066F23"/>
    <w:rsid w:val="000706CD"/>
    <w:rsid w:val="00072185"/>
    <w:rsid w:val="000725BF"/>
    <w:rsid w:val="00075585"/>
    <w:rsid w:val="000755CA"/>
    <w:rsid w:val="000756CE"/>
    <w:rsid w:val="00075B15"/>
    <w:rsid w:val="0007704B"/>
    <w:rsid w:val="00082AC0"/>
    <w:rsid w:val="0008347A"/>
    <w:rsid w:val="00083DE0"/>
    <w:rsid w:val="00085324"/>
    <w:rsid w:val="00085F95"/>
    <w:rsid w:val="00086E53"/>
    <w:rsid w:val="0009209E"/>
    <w:rsid w:val="000920AF"/>
    <w:rsid w:val="000922C5"/>
    <w:rsid w:val="0009290B"/>
    <w:rsid w:val="00093890"/>
    <w:rsid w:val="00094834"/>
    <w:rsid w:val="00094FA3"/>
    <w:rsid w:val="000954C6"/>
    <w:rsid w:val="000962F9"/>
    <w:rsid w:val="0009737E"/>
    <w:rsid w:val="000A0680"/>
    <w:rsid w:val="000A096B"/>
    <w:rsid w:val="000A0B05"/>
    <w:rsid w:val="000A11F2"/>
    <w:rsid w:val="000A1C85"/>
    <w:rsid w:val="000A34BD"/>
    <w:rsid w:val="000A3BE0"/>
    <w:rsid w:val="000A4521"/>
    <w:rsid w:val="000A4B28"/>
    <w:rsid w:val="000A6143"/>
    <w:rsid w:val="000A6800"/>
    <w:rsid w:val="000A6E11"/>
    <w:rsid w:val="000A705F"/>
    <w:rsid w:val="000A7C9C"/>
    <w:rsid w:val="000B16A4"/>
    <w:rsid w:val="000B27BB"/>
    <w:rsid w:val="000B36C9"/>
    <w:rsid w:val="000B53C5"/>
    <w:rsid w:val="000B7DD2"/>
    <w:rsid w:val="000C01E8"/>
    <w:rsid w:val="000C0503"/>
    <w:rsid w:val="000C2BA1"/>
    <w:rsid w:val="000C32B8"/>
    <w:rsid w:val="000C333E"/>
    <w:rsid w:val="000C3FB6"/>
    <w:rsid w:val="000C462D"/>
    <w:rsid w:val="000C6069"/>
    <w:rsid w:val="000C61D1"/>
    <w:rsid w:val="000C6B60"/>
    <w:rsid w:val="000D474C"/>
    <w:rsid w:val="000D53A5"/>
    <w:rsid w:val="000D560D"/>
    <w:rsid w:val="000D5A70"/>
    <w:rsid w:val="000D710B"/>
    <w:rsid w:val="000D7187"/>
    <w:rsid w:val="000D7C36"/>
    <w:rsid w:val="000D7E54"/>
    <w:rsid w:val="000E0DBB"/>
    <w:rsid w:val="000E17FC"/>
    <w:rsid w:val="000E1F80"/>
    <w:rsid w:val="000E2286"/>
    <w:rsid w:val="000E3D1B"/>
    <w:rsid w:val="000E3FB2"/>
    <w:rsid w:val="000E5016"/>
    <w:rsid w:val="000E51DD"/>
    <w:rsid w:val="000E531D"/>
    <w:rsid w:val="000E662C"/>
    <w:rsid w:val="000E68C2"/>
    <w:rsid w:val="000F0681"/>
    <w:rsid w:val="000F0BC4"/>
    <w:rsid w:val="000F0C4F"/>
    <w:rsid w:val="000F0C7E"/>
    <w:rsid w:val="000F193E"/>
    <w:rsid w:val="000F29EE"/>
    <w:rsid w:val="000F31AF"/>
    <w:rsid w:val="000F388C"/>
    <w:rsid w:val="000F3E58"/>
    <w:rsid w:val="000F5011"/>
    <w:rsid w:val="000F57B4"/>
    <w:rsid w:val="000F59B9"/>
    <w:rsid w:val="000F5E20"/>
    <w:rsid w:val="000F68D7"/>
    <w:rsid w:val="000F6B32"/>
    <w:rsid w:val="000F6C91"/>
    <w:rsid w:val="000F7B95"/>
    <w:rsid w:val="00100479"/>
    <w:rsid w:val="00100D4D"/>
    <w:rsid w:val="0010289D"/>
    <w:rsid w:val="00102C1D"/>
    <w:rsid w:val="00102DC3"/>
    <w:rsid w:val="0010345C"/>
    <w:rsid w:val="00103558"/>
    <w:rsid w:val="0010381F"/>
    <w:rsid w:val="00103CEA"/>
    <w:rsid w:val="00103D68"/>
    <w:rsid w:val="00104EDA"/>
    <w:rsid w:val="00105A7B"/>
    <w:rsid w:val="00105C5B"/>
    <w:rsid w:val="001064B5"/>
    <w:rsid w:val="00106606"/>
    <w:rsid w:val="00111E92"/>
    <w:rsid w:val="00112029"/>
    <w:rsid w:val="00112439"/>
    <w:rsid w:val="00112A84"/>
    <w:rsid w:val="00113ADB"/>
    <w:rsid w:val="00120129"/>
    <w:rsid w:val="00120571"/>
    <w:rsid w:val="00120D0A"/>
    <w:rsid w:val="00121170"/>
    <w:rsid w:val="0012316A"/>
    <w:rsid w:val="001249ED"/>
    <w:rsid w:val="00125252"/>
    <w:rsid w:val="001261D6"/>
    <w:rsid w:val="00126D94"/>
    <w:rsid w:val="001273D4"/>
    <w:rsid w:val="001300E8"/>
    <w:rsid w:val="00130B40"/>
    <w:rsid w:val="00131619"/>
    <w:rsid w:val="00133CE5"/>
    <w:rsid w:val="001353C1"/>
    <w:rsid w:val="00137949"/>
    <w:rsid w:val="001406B8"/>
    <w:rsid w:val="00140D1C"/>
    <w:rsid w:val="0014125F"/>
    <w:rsid w:val="001416C3"/>
    <w:rsid w:val="0014187E"/>
    <w:rsid w:val="001446D3"/>
    <w:rsid w:val="00144D78"/>
    <w:rsid w:val="00144EB4"/>
    <w:rsid w:val="001479D5"/>
    <w:rsid w:val="0015040E"/>
    <w:rsid w:val="00151431"/>
    <w:rsid w:val="00151F96"/>
    <w:rsid w:val="00154019"/>
    <w:rsid w:val="001541C5"/>
    <w:rsid w:val="0015451A"/>
    <w:rsid w:val="00156816"/>
    <w:rsid w:val="00157DE1"/>
    <w:rsid w:val="00160568"/>
    <w:rsid w:val="001606D3"/>
    <w:rsid w:val="00161991"/>
    <w:rsid w:val="00161AA6"/>
    <w:rsid w:val="001635B9"/>
    <w:rsid w:val="00163BAA"/>
    <w:rsid w:val="00164453"/>
    <w:rsid w:val="001649B6"/>
    <w:rsid w:val="0016558F"/>
    <w:rsid w:val="00165882"/>
    <w:rsid w:val="00165FDA"/>
    <w:rsid w:val="0016619F"/>
    <w:rsid w:val="00166466"/>
    <w:rsid w:val="001669E8"/>
    <w:rsid w:val="00166A93"/>
    <w:rsid w:val="001676A5"/>
    <w:rsid w:val="00170B53"/>
    <w:rsid w:val="00171084"/>
    <w:rsid w:val="001712C8"/>
    <w:rsid w:val="00171ED3"/>
    <w:rsid w:val="001727D7"/>
    <w:rsid w:val="00172AD4"/>
    <w:rsid w:val="00174254"/>
    <w:rsid w:val="00175206"/>
    <w:rsid w:val="00175BAF"/>
    <w:rsid w:val="001762AB"/>
    <w:rsid w:val="00176585"/>
    <w:rsid w:val="0018043F"/>
    <w:rsid w:val="00180D43"/>
    <w:rsid w:val="00181497"/>
    <w:rsid w:val="001815E8"/>
    <w:rsid w:val="00182BCB"/>
    <w:rsid w:val="00182FFC"/>
    <w:rsid w:val="00183901"/>
    <w:rsid w:val="001862BE"/>
    <w:rsid w:val="001865CB"/>
    <w:rsid w:val="00186ADC"/>
    <w:rsid w:val="00187D49"/>
    <w:rsid w:val="00187DC9"/>
    <w:rsid w:val="001905D6"/>
    <w:rsid w:val="00190BE7"/>
    <w:rsid w:val="001918BF"/>
    <w:rsid w:val="0019214B"/>
    <w:rsid w:val="00193C5D"/>
    <w:rsid w:val="00194B5D"/>
    <w:rsid w:val="0019504A"/>
    <w:rsid w:val="00195DFE"/>
    <w:rsid w:val="00196419"/>
    <w:rsid w:val="00197808"/>
    <w:rsid w:val="001A1038"/>
    <w:rsid w:val="001A1F30"/>
    <w:rsid w:val="001A2736"/>
    <w:rsid w:val="001A332E"/>
    <w:rsid w:val="001A5ACD"/>
    <w:rsid w:val="001A6208"/>
    <w:rsid w:val="001A6531"/>
    <w:rsid w:val="001A653E"/>
    <w:rsid w:val="001A6E15"/>
    <w:rsid w:val="001A7091"/>
    <w:rsid w:val="001B00F2"/>
    <w:rsid w:val="001B0E12"/>
    <w:rsid w:val="001B106A"/>
    <w:rsid w:val="001B10F7"/>
    <w:rsid w:val="001B1E20"/>
    <w:rsid w:val="001B25AF"/>
    <w:rsid w:val="001B29DC"/>
    <w:rsid w:val="001B2AEE"/>
    <w:rsid w:val="001B2E7E"/>
    <w:rsid w:val="001B6637"/>
    <w:rsid w:val="001B75E3"/>
    <w:rsid w:val="001C042D"/>
    <w:rsid w:val="001C110E"/>
    <w:rsid w:val="001C13E5"/>
    <w:rsid w:val="001C2E7C"/>
    <w:rsid w:val="001C2FE1"/>
    <w:rsid w:val="001C376C"/>
    <w:rsid w:val="001C3DEF"/>
    <w:rsid w:val="001C49D5"/>
    <w:rsid w:val="001C5838"/>
    <w:rsid w:val="001C5A21"/>
    <w:rsid w:val="001C782B"/>
    <w:rsid w:val="001D22AA"/>
    <w:rsid w:val="001D2559"/>
    <w:rsid w:val="001D2BF5"/>
    <w:rsid w:val="001D2F65"/>
    <w:rsid w:val="001D4181"/>
    <w:rsid w:val="001D4266"/>
    <w:rsid w:val="001D5429"/>
    <w:rsid w:val="001D578C"/>
    <w:rsid w:val="001D6AC4"/>
    <w:rsid w:val="001D73D2"/>
    <w:rsid w:val="001D7715"/>
    <w:rsid w:val="001E1A6C"/>
    <w:rsid w:val="001E20CC"/>
    <w:rsid w:val="001E3DA4"/>
    <w:rsid w:val="001E3E65"/>
    <w:rsid w:val="001E417D"/>
    <w:rsid w:val="001E438C"/>
    <w:rsid w:val="001E677E"/>
    <w:rsid w:val="001E69DD"/>
    <w:rsid w:val="001E7737"/>
    <w:rsid w:val="001E78B2"/>
    <w:rsid w:val="001F009B"/>
    <w:rsid w:val="001F03BA"/>
    <w:rsid w:val="001F0EB4"/>
    <w:rsid w:val="001F1FA3"/>
    <w:rsid w:val="001F29C0"/>
    <w:rsid w:val="001F2B71"/>
    <w:rsid w:val="001F39C9"/>
    <w:rsid w:val="001F4307"/>
    <w:rsid w:val="001F49B9"/>
    <w:rsid w:val="001F70C7"/>
    <w:rsid w:val="001F7ECA"/>
    <w:rsid w:val="00200E18"/>
    <w:rsid w:val="0020144A"/>
    <w:rsid w:val="0020269E"/>
    <w:rsid w:val="002031BA"/>
    <w:rsid w:val="0020452E"/>
    <w:rsid w:val="002046D1"/>
    <w:rsid w:val="0020720A"/>
    <w:rsid w:val="00207D61"/>
    <w:rsid w:val="00210677"/>
    <w:rsid w:val="002110E4"/>
    <w:rsid w:val="0021131E"/>
    <w:rsid w:val="00211AA5"/>
    <w:rsid w:val="00211B0C"/>
    <w:rsid w:val="00212025"/>
    <w:rsid w:val="00213F90"/>
    <w:rsid w:val="00214DED"/>
    <w:rsid w:val="002150BC"/>
    <w:rsid w:val="002153F8"/>
    <w:rsid w:val="002166C0"/>
    <w:rsid w:val="00216AF1"/>
    <w:rsid w:val="00217FF9"/>
    <w:rsid w:val="00221106"/>
    <w:rsid w:val="00221B30"/>
    <w:rsid w:val="00222692"/>
    <w:rsid w:val="00222C3C"/>
    <w:rsid w:val="00222E56"/>
    <w:rsid w:val="00224737"/>
    <w:rsid w:val="0022570B"/>
    <w:rsid w:val="002265B5"/>
    <w:rsid w:val="0023153E"/>
    <w:rsid w:val="00231F36"/>
    <w:rsid w:val="00233828"/>
    <w:rsid w:val="0023473C"/>
    <w:rsid w:val="00234C9B"/>
    <w:rsid w:val="002351EF"/>
    <w:rsid w:val="002357AD"/>
    <w:rsid w:val="0023713C"/>
    <w:rsid w:val="00237301"/>
    <w:rsid w:val="00237548"/>
    <w:rsid w:val="00237B32"/>
    <w:rsid w:val="00240ACA"/>
    <w:rsid w:val="00240F2C"/>
    <w:rsid w:val="00241071"/>
    <w:rsid w:val="002412BE"/>
    <w:rsid w:val="002427B7"/>
    <w:rsid w:val="002437A1"/>
    <w:rsid w:val="00243A5D"/>
    <w:rsid w:val="00243D03"/>
    <w:rsid w:val="0024482E"/>
    <w:rsid w:val="00245297"/>
    <w:rsid w:val="00245D12"/>
    <w:rsid w:val="00247676"/>
    <w:rsid w:val="002508DB"/>
    <w:rsid w:val="00251D52"/>
    <w:rsid w:val="0025329A"/>
    <w:rsid w:val="00254890"/>
    <w:rsid w:val="00255CA3"/>
    <w:rsid w:val="00256BE4"/>
    <w:rsid w:val="002577F2"/>
    <w:rsid w:val="00260312"/>
    <w:rsid w:val="00260FFC"/>
    <w:rsid w:val="00261949"/>
    <w:rsid w:val="00262985"/>
    <w:rsid w:val="00263470"/>
    <w:rsid w:val="002639C0"/>
    <w:rsid w:val="00263DF3"/>
    <w:rsid w:val="002649DB"/>
    <w:rsid w:val="0026569F"/>
    <w:rsid w:val="00265739"/>
    <w:rsid w:val="002709D4"/>
    <w:rsid w:val="0027112B"/>
    <w:rsid w:val="0027152B"/>
    <w:rsid w:val="00271A61"/>
    <w:rsid w:val="00271AE4"/>
    <w:rsid w:val="00275389"/>
    <w:rsid w:val="002756FE"/>
    <w:rsid w:val="00275BA9"/>
    <w:rsid w:val="00276659"/>
    <w:rsid w:val="00276A02"/>
    <w:rsid w:val="002779D2"/>
    <w:rsid w:val="00277BC7"/>
    <w:rsid w:val="00280026"/>
    <w:rsid w:val="0028111C"/>
    <w:rsid w:val="00281321"/>
    <w:rsid w:val="002813F8"/>
    <w:rsid w:val="002820B6"/>
    <w:rsid w:val="00282B31"/>
    <w:rsid w:val="002844F3"/>
    <w:rsid w:val="002847CD"/>
    <w:rsid w:val="00284E6D"/>
    <w:rsid w:val="002855D4"/>
    <w:rsid w:val="0028570F"/>
    <w:rsid w:val="00285C42"/>
    <w:rsid w:val="00286887"/>
    <w:rsid w:val="00287739"/>
    <w:rsid w:val="00290BB7"/>
    <w:rsid w:val="00290DE2"/>
    <w:rsid w:val="00290F9B"/>
    <w:rsid w:val="002920F6"/>
    <w:rsid w:val="002923B0"/>
    <w:rsid w:val="00292810"/>
    <w:rsid w:val="00292E1D"/>
    <w:rsid w:val="002942C5"/>
    <w:rsid w:val="00294470"/>
    <w:rsid w:val="00294820"/>
    <w:rsid w:val="00295148"/>
    <w:rsid w:val="00296E30"/>
    <w:rsid w:val="002971F3"/>
    <w:rsid w:val="002A156B"/>
    <w:rsid w:val="002A1F1A"/>
    <w:rsid w:val="002A1F9F"/>
    <w:rsid w:val="002A21FB"/>
    <w:rsid w:val="002A2E09"/>
    <w:rsid w:val="002A32B6"/>
    <w:rsid w:val="002A362C"/>
    <w:rsid w:val="002A52BC"/>
    <w:rsid w:val="002A5404"/>
    <w:rsid w:val="002A59ED"/>
    <w:rsid w:val="002A6DB1"/>
    <w:rsid w:val="002B0415"/>
    <w:rsid w:val="002B0D50"/>
    <w:rsid w:val="002B257D"/>
    <w:rsid w:val="002B31DB"/>
    <w:rsid w:val="002B4E6D"/>
    <w:rsid w:val="002B595B"/>
    <w:rsid w:val="002B6821"/>
    <w:rsid w:val="002B6A4A"/>
    <w:rsid w:val="002C0BFB"/>
    <w:rsid w:val="002C129A"/>
    <w:rsid w:val="002C1CE8"/>
    <w:rsid w:val="002C245E"/>
    <w:rsid w:val="002C265A"/>
    <w:rsid w:val="002C3C1C"/>
    <w:rsid w:val="002C49E2"/>
    <w:rsid w:val="002C518F"/>
    <w:rsid w:val="002C5A0D"/>
    <w:rsid w:val="002C7703"/>
    <w:rsid w:val="002D041E"/>
    <w:rsid w:val="002D08ED"/>
    <w:rsid w:val="002D0BB4"/>
    <w:rsid w:val="002D1885"/>
    <w:rsid w:val="002D18C5"/>
    <w:rsid w:val="002D1935"/>
    <w:rsid w:val="002D23FA"/>
    <w:rsid w:val="002D312F"/>
    <w:rsid w:val="002D3C00"/>
    <w:rsid w:val="002D4C0A"/>
    <w:rsid w:val="002D66F6"/>
    <w:rsid w:val="002E2630"/>
    <w:rsid w:val="002E270D"/>
    <w:rsid w:val="002E3646"/>
    <w:rsid w:val="002E44AE"/>
    <w:rsid w:val="002E592E"/>
    <w:rsid w:val="002E6A6A"/>
    <w:rsid w:val="002E6E8A"/>
    <w:rsid w:val="002E7251"/>
    <w:rsid w:val="002E7D29"/>
    <w:rsid w:val="002F0D59"/>
    <w:rsid w:val="002F1A5F"/>
    <w:rsid w:val="002F2A1C"/>
    <w:rsid w:val="002F30C8"/>
    <w:rsid w:val="002F3642"/>
    <w:rsid w:val="002F4EA1"/>
    <w:rsid w:val="002F595E"/>
    <w:rsid w:val="002F5CCC"/>
    <w:rsid w:val="002F6181"/>
    <w:rsid w:val="002F7B0F"/>
    <w:rsid w:val="002F7FA0"/>
    <w:rsid w:val="00300504"/>
    <w:rsid w:val="00300635"/>
    <w:rsid w:val="003011CF"/>
    <w:rsid w:val="003021D9"/>
    <w:rsid w:val="00302482"/>
    <w:rsid w:val="00302F2D"/>
    <w:rsid w:val="00303222"/>
    <w:rsid w:val="00303A2A"/>
    <w:rsid w:val="00304C3D"/>
    <w:rsid w:val="00304F41"/>
    <w:rsid w:val="00305866"/>
    <w:rsid w:val="00305E29"/>
    <w:rsid w:val="00305FA7"/>
    <w:rsid w:val="003070B3"/>
    <w:rsid w:val="0030793E"/>
    <w:rsid w:val="003107CB"/>
    <w:rsid w:val="00311D00"/>
    <w:rsid w:val="0031328C"/>
    <w:rsid w:val="003142D8"/>
    <w:rsid w:val="003144AB"/>
    <w:rsid w:val="00315D7B"/>
    <w:rsid w:val="00316E05"/>
    <w:rsid w:val="00320B64"/>
    <w:rsid w:val="00320CFB"/>
    <w:rsid w:val="00320FD4"/>
    <w:rsid w:val="00321165"/>
    <w:rsid w:val="003217E1"/>
    <w:rsid w:val="0032283B"/>
    <w:rsid w:val="00322AC0"/>
    <w:rsid w:val="003236F8"/>
    <w:rsid w:val="00323B60"/>
    <w:rsid w:val="003240BA"/>
    <w:rsid w:val="00326744"/>
    <w:rsid w:val="00326F0D"/>
    <w:rsid w:val="003331EB"/>
    <w:rsid w:val="0033383A"/>
    <w:rsid w:val="003339F1"/>
    <w:rsid w:val="0033445C"/>
    <w:rsid w:val="00336DB8"/>
    <w:rsid w:val="0033715C"/>
    <w:rsid w:val="003372B5"/>
    <w:rsid w:val="00340C06"/>
    <w:rsid w:val="00341783"/>
    <w:rsid w:val="003428D7"/>
    <w:rsid w:val="00342B6C"/>
    <w:rsid w:val="00342D15"/>
    <w:rsid w:val="00344D58"/>
    <w:rsid w:val="0034614A"/>
    <w:rsid w:val="0034617A"/>
    <w:rsid w:val="00346FA5"/>
    <w:rsid w:val="00347330"/>
    <w:rsid w:val="00347462"/>
    <w:rsid w:val="00347730"/>
    <w:rsid w:val="00350183"/>
    <w:rsid w:val="003503D3"/>
    <w:rsid w:val="00350D41"/>
    <w:rsid w:val="003522B0"/>
    <w:rsid w:val="003523EC"/>
    <w:rsid w:val="00353C39"/>
    <w:rsid w:val="003540B1"/>
    <w:rsid w:val="00354AD7"/>
    <w:rsid w:val="0035524D"/>
    <w:rsid w:val="00355D41"/>
    <w:rsid w:val="00357D3F"/>
    <w:rsid w:val="00360043"/>
    <w:rsid w:val="00361011"/>
    <w:rsid w:val="0036133C"/>
    <w:rsid w:val="003617BE"/>
    <w:rsid w:val="00361F7E"/>
    <w:rsid w:val="00362C13"/>
    <w:rsid w:val="00363C06"/>
    <w:rsid w:val="0036613C"/>
    <w:rsid w:val="0036672E"/>
    <w:rsid w:val="00370C04"/>
    <w:rsid w:val="00371B64"/>
    <w:rsid w:val="00372A46"/>
    <w:rsid w:val="00372BD0"/>
    <w:rsid w:val="0037493C"/>
    <w:rsid w:val="0037644D"/>
    <w:rsid w:val="00376C63"/>
    <w:rsid w:val="00377AAA"/>
    <w:rsid w:val="00377E06"/>
    <w:rsid w:val="00382D46"/>
    <w:rsid w:val="00382D88"/>
    <w:rsid w:val="003841A3"/>
    <w:rsid w:val="00384277"/>
    <w:rsid w:val="0038497D"/>
    <w:rsid w:val="00384A8E"/>
    <w:rsid w:val="0038534A"/>
    <w:rsid w:val="003859C9"/>
    <w:rsid w:val="00385A05"/>
    <w:rsid w:val="00391446"/>
    <w:rsid w:val="003919AE"/>
    <w:rsid w:val="003944A2"/>
    <w:rsid w:val="00394B93"/>
    <w:rsid w:val="00394CDC"/>
    <w:rsid w:val="00395942"/>
    <w:rsid w:val="00395D7D"/>
    <w:rsid w:val="0039621B"/>
    <w:rsid w:val="00397B38"/>
    <w:rsid w:val="003A0125"/>
    <w:rsid w:val="003A4D8F"/>
    <w:rsid w:val="003A536D"/>
    <w:rsid w:val="003A5A0E"/>
    <w:rsid w:val="003A6985"/>
    <w:rsid w:val="003A69B7"/>
    <w:rsid w:val="003B0E50"/>
    <w:rsid w:val="003B2B58"/>
    <w:rsid w:val="003B36B0"/>
    <w:rsid w:val="003B405E"/>
    <w:rsid w:val="003B62D7"/>
    <w:rsid w:val="003B7335"/>
    <w:rsid w:val="003B771D"/>
    <w:rsid w:val="003B779D"/>
    <w:rsid w:val="003B77CD"/>
    <w:rsid w:val="003B7C3F"/>
    <w:rsid w:val="003B7CB1"/>
    <w:rsid w:val="003C0AF7"/>
    <w:rsid w:val="003C0C4C"/>
    <w:rsid w:val="003C1B1E"/>
    <w:rsid w:val="003C2A8B"/>
    <w:rsid w:val="003C3313"/>
    <w:rsid w:val="003C4D68"/>
    <w:rsid w:val="003C561A"/>
    <w:rsid w:val="003C6009"/>
    <w:rsid w:val="003C6259"/>
    <w:rsid w:val="003C6DC6"/>
    <w:rsid w:val="003C6DD0"/>
    <w:rsid w:val="003C73BD"/>
    <w:rsid w:val="003C7548"/>
    <w:rsid w:val="003D0D7B"/>
    <w:rsid w:val="003D1077"/>
    <w:rsid w:val="003D1D52"/>
    <w:rsid w:val="003D2230"/>
    <w:rsid w:val="003D3BD4"/>
    <w:rsid w:val="003D4208"/>
    <w:rsid w:val="003D6548"/>
    <w:rsid w:val="003D7152"/>
    <w:rsid w:val="003E0AAF"/>
    <w:rsid w:val="003E24AE"/>
    <w:rsid w:val="003E28EE"/>
    <w:rsid w:val="003E2A31"/>
    <w:rsid w:val="003E3997"/>
    <w:rsid w:val="003E3BA4"/>
    <w:rsid w:val="003E48EA"/>
    <w:rsid w:val="003E496C"/>
    <w:rsid w:val="003E4A84"/>
    <w:rsid w:val="003E50E3"/>
    <w:rsid w:val="003E5220"/>
    <w:rsid w:val="003E682A"/>
    <w:rsid w:val="003E6FF3"/>
    <w:rsid w:val="003E7D78"/>
    <w:rsid w:val="003F0197"/>
    <w:rsid w:val="003F04A1"/>
    <w:rsid w:val="003F2541"/>
    <w:rsid w:val="003F2EC6"/>
    <w:rsid w:val="003F3519"/>
    <w:rsid w:val="003F3D19"/>
    <w:rsid w:val="003F41FF"/>
    <w:rsid w:val="003F4AAD"/>
    <w:rsid w:val="003F4BB9"/>
    <w:rsid w:val="003F5FF0"/>
    <w:rsid w:val="003F64CA"/>
    <w:rsid w:val="003F6EF8"/>
    <w:rsid w:val="003F7F0A"/>
    <w:rsid w:val="00400787"/>
    <w:rsid w:val="00401AA3"/>
    <w:rsid w:val="00402317"/>
    <w:rsid w:val="004025EB"/>
    <w:rsid w:val="00402830"/>
    <w:rsid w:val="00402B28"/>
    <w:rsid w:val="00403059"/>
    <w:rsid w:val="00404C97"/>
    <w:rsid w:val="00404E41"/>
    <w:rsid w:val="004055E3"/>
    <w:rsid w:val="00405F23"/>
    <w:rsid w:val="004073D5"/>
    <w:rsid w:val="0040758F"/>
    <w:rsid w:val="00411D9E"/>
    <w:rsid w:val="00411E92"/>
    <w:rsid w:val="00412D21"/>
    <w:rsid w:val="00413106"/>
    <w:rsid w:val="00413319"/>
    <w:rsid w:val="00414ACC"/>
    <w:rsid w:val="00414F72"/>
    <w:rsid w:val="004155FF"/>
    <w:rsid w:val="00415D62"/>
    <w:rsid w:val="0041689C"/>
    <w:rsid w:val="00416C09"/>
    <w:rsid w:val="00416E7A"/>
    <w:rsid w:val="00417467"/>
    <w:rsid w:val="00420353"/>
    <w:rsid w:val="00420E75"/>
    <w:rsid w:val="0042231A"/>
    <w:rsid w:val="004225EF"/>
    <w:rsid w:val="00424349"/>
    <w:rsid w:val="00425462"/>
    <w:rsid w:val="00425BB0"/>
    <w:rsid w:val="00426BC3"/>
    <w:rsid w:val="0042788F"/>
    <w:rsid w:val="0043071B"/>
    <w:rsid w:val="00430BAB"/>
    <w:rsid w:val="00430E39"/>
    <w:rsid w:val="00431C99"/>
    <w:rsid w:val="00431E44"/>
    <w:rsid w:val="00432160"/>
    <w:rsid w:val="0043331D"/>
    <w:rsid w:val="004347C7"/>
    <w:rsid w:val="004354AC"/>
    <w:rsid w:val="00435B48"/>
    <w:rsid w:val="00435B65"/>
    <w:rsid w:val="00440236"/>
    <w:rsid w:val="004416FA"/>
    <w:rsid w:val="004429F6"/>
    <w:rsid w:val="00443814"/>
    <w:rsid w:val="004439B0"/>
    <w:rsid w:val="00445227"/>
    <w:rsid w:val="0044538A"/>
    <w:rsid w:val="004466EE"/>
    <w:rsid w:val="004469BB"/>
    <w:rsid w:val="004471CB"/>
    <w:rsid w:val="00451F6E"/>
    <w:rsid w:val="004520DD"/>
    <w:rsid w:val="0045263C"/>
    <w:rsid w:val="00452781"/>
    <w:rsid w:val="004538A4"/>
    <w:rsid w:val="00454C4C"/>
    <w:rsid w:val="00455E71"/>
    <w:rsid w:val="00456A43"/>
    <w:rsid w:val="00457DAA"/>
    <w:rsid w:val="004601DE"/>
    <w:rsid w:val="004603D1"/>
    <w:rsid w:val="004604CA"/>
    <w:rsid w:val="00460DF1"/>
    <w:rsid w:val="00460EE6"/>
    <w:rsid w:val="004614A4"/>
    <w:rsid w:val="0046203D"/>
    <w:rsid w:val="00462B03"/>
    <w:rsid w:val="0046446A"/>
    <w:rsid w:val="00465477"/>
    <w:rsid w:val="00465588"/>
    <w:rsid w:val="004658AB"/>
    <w:rsid w:val="00467BA5"/>
    <w:rsid w:val="00471631"/>
    <w:rsid w:val="00472869"/>
    <w:rsid w:val="004744F0"/>
    <w:rsid w:val="0047638E"/>
    <w:rsid w:val="0047767C"/>
    <w:rsid w:val="00477C32"/>
    <w:rsid w:val="00480AC3"/>
    <w:rsid w:val="004815D8"/>
    <w:rsid w:val="00481A89"/>
    <w:rsid w:val="004835F3"/>
    <w:rsid w:val="0048367A"/>
    <w:rsid w:val="004840D5"/>
    <w:rsid w:val="00487B85"/>
    <w:rsid w:val="004909C1"/>
    <w:rsid w:val="00491F64"/>
    <w:rsid w:val="00492615"/>
    <w:rsid w:val="0049333E"/>
    <w:rsid w:val="00493670"/>
    <w:rsid w:val="00494006"/>
    <w:rsid w:val="0049418E"/>
    <w:rsid w:val="004958E1"/>
    <w:rsid w:val="0049642A"/>
    <w:rsid w:val="00497798"/>
    <w:rsid w:val="00497DEB"/>
    <w:rsid w:val="004A0962"/>
    <w:rsid w:val="004A0B96"/>
    <w:rsid w:val="004A192B"/>
    <w:rsid w:val="004A19F0"/>
    <w:rsid w:val="004A1A61"/>
    <w:rsid w:val="004A1BDF"/>
    <w:rsid w:val="004A1FFF"/>
    <w:rsid w:val="004A2BCF"/>
    <w:rsid w:val="004A48F9"/>
    <w:rsid w:val="004A4A2A"/>
    <w:rsid w:val="004A4E34"/>
    <w:rsid w:val="004A5058"/>
    <w:rsid w:val="004A5519"/>
    <w:rsid w:val="004A55D7"/>
    <w:rsid w:val="004A55EF"/>
    <w:rsid w:val="004A62DF"/>
    <w:rsid w:val="004A687C"/>
    <w:rsid w:val="004A6BD3"/>
    <w:rsid w:val="004A731B"/>
    <w:rsid w:val="004A793D"/>
    <w:rsid w:val="004B0D7F"/>
    <w:rsid w:val="004B1CA0"/>
    <w:rsid w:val="004B223E"/>
    <w:rsid w:val="004B323B"/>
    <w:rsid w:val="004B5213"/>
    <w:rsid w:val="004B6551"/>
    <w:rsid w:val="004B6731"/>
    <w:rsid w:val="004B6874"/>
    <w:rsid w:val="004B69D8"/>
    <w:rsid w:val="004B6A1F"/>
    <w:rsid w:val="004B6A8F"/>
    <w:rsid w:val="004B741C"/>
    <w:rsid w:val="004B7AB3"/>
    <w:rsid w:val="004C0998"/>
    <w:rsid w:val="004C1430"/>
    <w:rsid w:val="004C1AB6"/>
    <w:rsid w:val="004C3110"/>
    <w:rsid w:val="004C3859"/>
    <w:rsid w:val="004C4271"/>
    <w:rsid w:val="004C54F5"/>
    <w:rsid w:val="004C55F5"/>
    <w:rsid w:val="004C5F81"/>
    <w:rsid w:val="004C6031"/>
    <w:rsid w:val="004C6709"/>
    <w:rsid w:val="004D0538"/>
    <w:rsid w:val="004D1196"/>
    <w:rsid w:val="004D1E2C"/>
    <w:rsid w:val="004D20DC"/>
    <w:rsid w:val="004D4231"/>
    <w:rsid w:val="004D4F0A"/>
    <w:rsid w:val="004D59F0"/>
    <w:rsid w:val="004D7DA9"/>
    <w:rsid w:val="004E0F26"/>
    <w:rsid w:val="004E1987"/>
    <w:rsid w:val="004E2CE3"/>
    <w:rsid w:val="004E3926"/>
    <w:rsid w:val="004E3CB1"/>
    <w:rsid w:val="004E4D3C"/>
    <w:rsid w:val="004E5A8C"/>
    <w:rsid w:val="004E60EB"/>
    <w:rsid w:val="004E62CF"/>
    <w:rsid w:val="004E66BC"/>
    <w:rsid w:val="004E7A69"/>
    <w:rsid w:val="004F0BBA"/>
    <w:rsid w:val="004F0CD9"/>
    <w:rsid w:val="004F15A6"/>
    <w:rsid w:val="004F23DC"/>
    <w:rsid w:val="004F2CDF"/>
    <w:rsid w:val="004F5636"/>
    <w:rsid w:val="004F590D"/>
    <w:rsid w:val="004F77A0"/>
    <w:rsid w:val="0050110E"/>
    <w:rsid w:val="00501834"/>
    <w:rsid w:val="0050204E"/>
    <w:rsid w:val="005040AC"/>
    <w:rsid w:val="00504D18"/>
    <w:rsid w:val="00505E90"/>
    <w:rsid w:val="00505F40"/>
    <w:rsid w:val="0050673A"/>
    <w:rsid w:val="00506ADC"/>
    <w:rsid w:val="00507379"/>
    <w:rsid w:val="005074F5"/>
    <w:rsid w:val="00507DCB"/>
    <w:rsid w:val="00507EF2"/>
    <w:rsid w:val="00510079"/>
    <w:rsid w:val="005108A0"/>
    <w:rsid w:val="00510B24"/>
    <w:rsid w:val="00510CF3"/>
    <w:rsid w:val="005111B6"/>
    <w:rsid w:val="00511834"/>
    <w:rsid w:val="005119F4"/>
    <w:rsid w:val="00512DA2"/>
    <w:rsid w:val="00512EBC"/>
    <w:rsid w:val="00513B58"/>
    <w:rsid w:val="00513B7A"/>
    <w:rsid w:val="005147B8"/>
    <w:rsid w:val="00514C4D"/>
    <w:rsid w:val="0051517A"/>
    <w:rsid w:val="00515E2A"/>
    <w:rsid w:val="00517737"/>
    <w:rsid w:val="005179B3"/>
    <w:rsid w:val="00517D0A"/>
    <w:rsid w:val="00520F36"/>
    <w:rsid w:val="005221DF"/>
    <w:rsid w:val="005222A3"/>
    <w:rsid w:val="00522A1F"/>
    <w:rsid w:val="00522B2A"/>
    <w:rsid w:val="00523A30"/>
    <w:rsid w:val="00523F24"/>
    <w:rsid w:val="00524248"/>
    <w:rsid w:val="0052436C"/>
    <w:rsid w:val="0052460E"/>
    <w:rsid w:val="0053001B"/>
    <w:rsid w:val="005301A9"/>
    <w:rsid w:val="00530888"/>
    <w:rsid w:val="00532172"/>
    <w:rsid w:val="00532935"/>
    <w:rsid w:val="00533725"/>
    <w:rsid w:val="00534BDD"/>
    <w:rsid w:val="00534ED2"/>
    <w:rsid w:val="005354F5"/>
    <w:rsid w:val="00536C7F"/>
    <w:rsid w:val="00536FB8"/>
    <w:rsid w:val="00537691"/>
    <w:rsid w:val="00537929"/>
    <w:rsid w:val="00540396"/>
    <w:rsid w:val="00540E13"/>
    <w:rsid w:val="00541CEC"/>
    <w:rsid w:val="00544782"/>
    <w:rsid w:val="005451A7"/>
    <w:rsid w:val="00545719"/>
    <w:rsid w:val="00546273"/>
    <w:rsid w:val="005469A3"/>
    <w:rsid w:val="0054757D"/>
    <w:rsid w:val="00547B04"/>
    <w:rsid w:val="00547D77"/>
    <w:rsid w:val="0055134B"/>
    <w:rsid w:val="00552820"/>
    <w:rsid w:val="00554029"/>
    <w:rsid w:val="00554F2F"/>
    <w:rsid w:val="00563B84"/>
    <w:rsid w:val="005648C5"/>
    <w:rsid w:val="00564D45"/>
    <w:rsid w:val="00565D94"/>
    <w:rsid w:val="005664BF"/>
    <w:rsid w:val="00566692"/>
    <w:rsid w:val="00567A92"/>
    <w:rsid w:val="00570130"/>
    <w:rsid w:val="00570567"/>
    <w:rsid w:val="00571510"/>
    <w:rsid w:val="005728FC"/>
    <w:rsid w:val="00576214"/>
    <w:rsid w:val="00580A04"/>
    <w:rsid w:val="00581724"/>
    <w:rsid w:val="0058216E"/>
    <w:rsid w:val="00582A6C"/>
    <w:rsid w:val="005836F5"/>
    <w:rsid w:val="00583BA1"/>
    <w:rsid w:val="00584467"/>
    <w:rsid w:val="00585A68"/>
    <w:rsid w:val="00585BC8"/>
    <w:rsid w:val="00585DF1"/>
    <w:rsid w:val="00586F8A"/>
    <w:rsid w:val="00587198"/>
    <w:rsid w:val="00587742"/>
    <w:rsid w:val="00587A8E"/>
    <w:rsid w:val="00587C81"/>
    <w:rsid w:val="005905BB"/>
    <w:rsid w:val="005907AF"/>
    <w:rsid w:val="0059132F"/>
    <w:rsid w:val="00591747"/>
    <w:rsid w:val="00593A6A"/>
    <w:rsid w:val="00593E88"/>
    <w:rsid w:val="00595273"/>
    <w:rsid w:val="00595C32"/>
    <w:rsid w:val="00595D54"/>
    <w:rsid w:val="0059621C"/>
    <w:rsid w:val="005964B1"/>
    <w:rsid w:val="00596C6B"/>
    <w:rsid w:val="00597054"/>
    <w:rsid w:val="0059707E"/>
    <w:rsid w:val="005A03E7"/>
    <w:rsid w:val="005A04B8"/>
    <w:rsid w:val="005A0B00"/>
    <w:rsid w:val="005A19BD"/>
    <w:rsid w:val="005A4629"/>
    <w:rsid w:val="005A4C9E"/>
    <w:rsid w:val="005A4E3F"/>
    <w:rsid w:val="005A5CB9"/>
    <w:rsid w:val="005B1A84"/>
    <w:rsid w:val="005B21A5"/>
    <w:rsid w:val="005B3AAB"/>
    <w:rsid w:val="005B3D9C"/>
    <w:rsid w:val="005B4214"/>
    <w:rsid w:val="005B431B"/>
    <w:rsid w:val="005B4373"/>
    <w:rsid w:val="005B44DA"/>
    <w:rsid w:val="005B510C"/>
    <w:rsid w:val="005B7963"/>
    <w:rsid w:val="005B7A7B"/>
    <w:rsid w:val="005C0351"/>
    <w:rsid w:val="005C2644"/>
    <w:rsid w:val="005C3B48"/>
    <w:rsid w:val="005C4B32"/>
    <w:rsid w:val="005C69AC"/>
    <w:rsid w:val="005C6AF7"/>
    <w:rsid w:val="005C6D78"/>
    <w:rsid w:val="005C7613"/>
    <w:rsid w:val="005D2001"/>
    <w:rsid w:val="005D22F1"/>
    <w:rsid w:val="005D2585"/>
    <w:rsid w:val="005D4538"/>
    <w:rsid w:val="005D75EF"/>
    <w:rsid w:val="005E04C1"/>
    <w:rsid w:val="005E0D2E"/>
    <w:rsid w:val="005E1B23"/>
    <w:rsid w:val="005E2695"/>
    <w:rsid w:val="005E2E53"/>
    <w:rsid w:val="005E2EE6"/>
    <w:rsid w:val="005E3817"/>
    <w:rsid w:val="005E3C7C"/>
    <w:rsid w:val="005E5A57"/>
    <w:rsid w:val="005E5B15"/>
    <w:rsid w:val="005E6877"/>
    <w:rsid w:val="005E7728"/>
    <w:rsid w:val="005F0B5F"/>
    <w:rsid w:val="005F218B"/>
    <w:rsid w:val="005F23E1"/>
    <w:rsid w:val="005F313D"/>
    <w:rsid w:val="005F3325"/>
    <w:rsid w:val="005F40BC"/>
    <w:rsid w:val="005F4892"/>
    <w:rsid w:val="005F5A04"/>
    <w:rsid w:val="005F7437"/>
    <w:rsid w:val="005F76AD"/>
    <w:rsid w:val="00601A2E"/>
    <w:rsid w:val="006028F9"/>
    <w:rsid w:val="0060577F"/>
    <w:rsid w:val="00606EC8"/>
    <w:rsid w:val="00607756"/>
    <w:rsid w:val="00607A3B"/>
    <w:rsid w:val="00607B3C"/>
    <w:rsid w:val="00607DCA"/>
    <w:rsid w:val="006110EF"/>
    <w:rsid w:val="0061170E"/>
    <w:rsid w:val="00611738"/>
    <w:rsid w:val="00611A12"/>
    <w:rsid w:val="00611C78"/>
    <w:rsid w:val="00611F00"/>
    <w:rsid w:val="00614635"/>
    <w:rsid w:val="006147DA"/>
    <w:rsid w:val="00614B35"/>
    <w:rsid w:val="0061601F"/>
    <w:rsid w:val="00616437"/>
    <w:rsid w:val="00617755"/>
    <w:rsid w:val="00621E56"/>
    <w:rsid w:val="00622E95"/>
    <w:rsid w:val="00623874"/>
    <w:rsid w:val="00624C15"/>
    <w:rsid w:val="00624C8B"/>
    <w:rsid w:val="006255D1"/>
    <w:rsid w:val="006258D5"/>
    <w:rsid w:val="00625FCF"/>
    <w:rsid w:val="006266FF"/>
    <w:rsid w:val="00627B6C"/>
    <w:rsid w:val="00630164"/>
    <w:rsid w:val="00630D78"/>
    <w:rsid w:val="00630EED"/>
    <w:rsid w:val="00631CF0"/>
    <w:rsid w:val="00631DC7"/>
    <w:rsid w:val="00631F6F"/>
    <w:rsid w:val="00632B9C"/>
    <w:rsid w:val="00632BF0"/>
    <w:rsid w:val="00632C74"/>
    <w:rsid w:val="00633B66"/>
    <w:rsid w:val="00634090"/>
    <w:rsid w:val="006352DF"/>
    <w:rsid w:val="0063783C"/>
    <w:rsid w:val="00640A46"/>
    <w:rsid w:val="00641EE0"/>
    <w:rsid w:val="0064269A"/>
    <w:rsid w:val="00642E51"/>
    <w:rsid w:val="00643D85"/>
    <w:rsid w:val="00644562"/>
    <w:rsid w:val="006459DB"/>
    <w:rsid w:val="00645D78"/>
    <w:rsid w:val="00647493"/>
    <w:rsid w:val="00647B54"/>
    <w:rsid w:val="00647DB4"/>
    <w:rsid w:val="00647E92"/>
    <w:rsid w:val="00650231"/>
    <w:rsid w:val="006504E5"/>
    <w:rsid w:val="00651651"/>
    <w:rsid w:val="0065168E"/>
    <w:rsid w:val="00652199"/>
    <w:rsid w:val="00652C9C"/>
    <w:rsid w:val="00652EC3"/>
    <w:rsid w:val="0065309F"/>
    <w:rsid w:val="00653565"/>
    <w:rsid w:val="00653711"/>
    <w:rsid w:val="006545B6"/>
    <w:rsid w:val="006550D1"/>
    <w:rsid w:val="00655138"/>
    <w:rsid w:val="00655D0D"/>
    <w:rsid w:val="00655F5A"/>
    <w:rsid w:val="0065605C"/>
    <w:rsid w:val="00656489"/>
    <w:rsid w:val="006564E0"/>
    <w:rsid w:val="006564E3"/>
    <w:rsid w:val="00656DF7"/>
    <w:rsid w:val="006577C8"/>
    <w:rsid w:val="00662E26"/>
    <w:rsid w:val="00664CFF"/>
    <w:rsid w:val="006650F9"/>
    <w:rsid w:val="00665D90"/>
    <w:rsid w:val="00666182"/>
    <w:rsid w:val="00666603"/>
    <w:rsid w:val="00670526"/>
    <w:rsid w:val="00670700"/>
    <w:rsid w:val="00670CC4"/>
    <w:rsid w:val="006726DB"/>
    <w:rsid w:val="00672999"/>
    <w:rsid w:val="00673BCB"/>
    <w:rsid w:val="00673D0C"/>
    <w:rsid w:val="00673DA9"/>
    <w:rsid w:val="006740FF"/>
    <w:rsid w:val="006747B2"/>
    <w:rsid w:val="00675C67"/>
    <w:rsid w:val="00675D8D"/>
    <w:rsid w:val="00675E1D"/>
    <w:rsid w:val="00676518"/>
    <w:rsid w:val="00676570"/>
    <w:rsid w:val="00676A0B"/>
    <w:rsid w:val="00677346"/>
    <w:rsid w:val="006774FD"/>
    <w:rsid w:val="00677CEE"/>
    <w:rsid w:val="00677D23"/>
    <w:rsid w:val="0068075F"/>
    <w:rsid w:val="00681195"/>
    <w:rsid w:val="006819A8"/>
    <w:rsid w:val="006826E6"/>
    <w:rsid w:val="006829E7"/>
    <w:rsid w:val="006837CD"/>
    <w:rsid w:val="00683AA3"/>
    <w:rsid w:val="00685074"/>
    <w:rsid w:val="00686C82"/>
    <w:rsid w:val="00687E54"/>
    <w:rsid w:val="00691E0C"/>
    <w:rsid w:val="00691E42"/>
    <w:rsid w:val="006934E1"/>
    <w:rsid w:val="00695066"/>
    <w:rsid w:val="00696C44"/>
    <w:rsid w:val="00696D1F"/>
    <w:rsid w:val="006974F3"/>
    <w:rsid w:val="006A0422"/>
    <w:rsid w:val="006A0556"/>
    <w:rsid w:val="006A0CA8"/>
    <w:rsid w:val="006A0CD4"/>
    <w:rsid w:val="006A109F"/>
    <w:rsid w:val="006A1F45"/>
    <w:rsid w:val="006A317B"/>
    <w:rsid w:val="006A39EC"/>
    <w:rsid w:val="006A512F"/>
    <w:rsid w:val="006A57E7"/>
    <w:rsid w:val="006A5A3A"/>
    <w:rsid w:val="006A5B46"/>
    <w:rsid w:val="006A5D19"/>
    <w:rsid w:val="006A6E9E"/>
    <w:rsid w:val="006A7297"/>
    <w:rsid w:val="006A72F0"/>
    <w:rsid w:val="006B0557"/>
    <w:rsid w:val="006B0808"/>
    <w:rsid w:val="006B1FEE"/>
    <w:rsid w:val="006B480C"/>
    <w:rsid w:val="006B4967"/>
    <w:rsid w:val="006B4F54"/>
    <w:rsid w:val="006B538F"/>
    <w:rsid w:val="006B6A52"/>
    <w:rsid w:val="006C21BD"/>
    <w:rsid w:val="006C33E9"/>
    <w:rsid w:val="006C3F81"/>
    <w:rsid w:val="006D004D"/>
    <w:rsid w:val="006D10A5"/>
    <w:rsid w:val="006D1B5F"/>
    <w:rsid w:val="006D2142"/>
    <w:rsid w:val="006D4CC1"/>
    <w:rsid w:val="006D604F"/>
    <w:rsid w:val="006D69B8"/>
    <w:rsid w:val="006E0AB7"/>
    <w:rsid w:val="006E12AB"/>
    <w:rsid w:val="006E1340"/>
    <w:rsid w:val="006E228C"/>
    <w:rsid w:val="006E23D1"/>
    <w:rsid w:val="006E2DB0"/>
    <w:rsid w:val="006E3637"/>
    <w:rsid w:val="006E4879"/>
    <w:rsid w:val="006E585D"/>
    <w:rsid w:val="006E5BB2"/>
    <w:rsid w:val="006E676D"/>
    <w:rsid w:val="006E6D4F"/>
    <w:rsid w:val="006E753A"/>
    <w:rsid w:val="006E7706"/>
    <w:rsid w:val="006E77B6"/>
    <w:rsid w:val="006E7AD4"/>
    <w:rsid w:val="006F0451"/>
    <w:rsid w:val="006F0465"/>
    <w:rsid w:val="006F1164"/>
    <w:rsid w:val="006F1C18"/>
    <w:rsid w:val="006F2605"/>
    <w:rsid w:val="006F2CBD"/>
    <w:rsid w:val="006F453E"/>
    <w:rsid w:val="006F4CC2"/>
    <w:rsid w:val="006F55DE"/>
    <w:rsid w:val="006F5A0B"/>
    <w:rsid w:val="006F6C33"/>
    <w:rsid w:val="006F74C0"/>
    <w:rsid w:val="006F78EC"/>
    <w:rsid w:val="006F7A85"/>
    <w:rsid w:val="00700151"/>
    <w:rsid w:val="00701266"/>
    <w:rsid w:val="007013D0"/>
    <w:rsid w:val="00701FBA"/>
    <w:rsid w:val="0070260C"/>
    <w:rsid w:val="00702744"/>
    <w:rsid w:val="00702976"/>
    <w:rsid w:val="00703554"/>
    <w:rsid w:val="00703576"/>
    <w:rsid w:val="00703886"/>
    <w:rsid w:val="00704145"/>
    <w:rsid w:val="007049C6"/>
    <w:rsid w:val="007053CC"/>
    <w:rsid w:val="00706B5A"/>
    <w:rsid w:val="00707E7B"/>
    <w:rsid w:val="0071049C"/>
    <w:rsid w:val="00710941"/>
    <w:rsid w:val="00711B98"/>
    <w:rsid w:val="00711E8B"/>
    <w:rsid w:val="00712D0F"/>
    <w:rsid w:val="007132B0"/>
    <w:rsid w:val="00715293"/>
    <w:rsid w:val="00715570"/>
    <w:rsid w:val="007159A9"/>
    <w:rsid w:val="00715A39"/>
    <w:rsid w:val="00716367"/>
    <w:rsid w:val="00716474"/>
    <w:rsid w:val="00716659"/>
    <w:rsid w:val="00717E2B"/>
    <w:rsid w:val="00721C8A"/>
    <w:rsid w:val="00722FCB"/>
    <w:rsid w:val="007235E7"/>
    <w:rsid w:val="00723D36"/>
    <w:rsid w:val="00724BBF"/>
    <w:rsid w:val="00726D04"/>
    <w:rsid w:val="00727359"/>
    <w:rsid w:val="00727929"/>
    <w:rsid w:val="00727EB2"/>
    <w:rsid w:val="00731D74"/>
    <w:rsid w:val="007357BB"/>
    <w:rsid w:val="007365B3"/>
    <w:rsid w:val="00737F3C"/>
    <w:rsid w:val="00740A7C"/>
    <w:rsid w:val="00741683"/>
    <w:rsid w:val="0074199C"/>
    <w:rsid w:val="007423BC"/>
    <w:rsid w:val="00742AF6"/>
    <w:rsid w:val="00744051"/>
    <w:rsid w:val="0074606C"/>
    <w:rsid w:val="00747161"/>
    <w:rsid w:val="00747329"/>
    <w:rsid w:val="0074778C"/>
    <w:rsid w:val="0075292E"/>
    <w:rsid w:val="00753595"/>
    <w:rsid w:val="007535EE"/>
    <w:rsid w:val="00754289"/>
    <w:rsid w:val="0075635B"/>
    <w:rsid w:val="00757482"/>
    <w:rsid w:val="0075754B"/>
    <w:rsid w:val="00760CB8"/>
    <w:rsid w:val="00761CC5"/>
    <w:rsid w:val="007625D2"/>
    <w:rsid w:val="00763C9B"/>
    <w:rsid w:val="00765713"/>
    <w:rsid w:val="0076799A"/>
    <w:rsid w:val="00767AC5"/>
    <w:rsid w:val="00770395"/>
    <w:rsid w:val="00771377"/>
    <w:rsid w:val="00773050"/>
    <w:rsid w:val="0077336B"/>
    <w:rsid w:val="00773513"/>
    <w:rsid w:val="00774A77"/>
    <w:rsid w:val="00774ABE"/>
    <w:rsid w:val="0077535F"/>
    <w:rsid w:val="007801CB"/>
    <w:rsid w:val="0078082A"/>
    <w:rsid w:val="00786461"/>
    <w:rsid w:val="007878AC"/>
    <w:rsid w:val="00790479"/>
    <w:rsid w:val="0079081D"/>
    <w:rsid w:val="0079156C"/>
    <w:rsid w:val="00791D02"/>
    <w:rsid w:val="00793645"/>
    <w:rsid w:val="007936F0"/>
    <w:rsid w:val="00794228"/>
    <w:rsid w:val="007946BB"/>
    <w:rsid w:val="00795B56"/>
    <w:rsid w:val="00796FE6"/>
    <w:rsid w:val="007A0035"/>
    <w:rsid w:val="007A1302"/>
    <w:rsid w:val="007A1541"/>
    <w:rsid w:val="007A15D5"/>
    <w:rsid w:val="007A1CE3"/>
    <w:rsid w:val="007A232A"/>
    <w:rsid w:val="007A3505"/>
    <w:rsid w:val="007A5466"/>
    <w:rsid w:val="007A563C"/>
    <w:rsid w:val="007A67C9"/>
    <w:rsid w:val="007A70C2"/>
    <w:rsid w:val="007B00BC"/>
    <w:rsid w:val="007B0A7B"/>
    <w:rsid w:val="007B27E4"/>
    <w:rsid w:val="007B3911"/>
    <w:rsid w:val="007B3CE5"/>
    <w:rsid w:val="007B45BE"/>
    <w:rsid w:val="007B59FC"/>
    <w:rsid w:val="007B7BC8"/>
    <w:rsid w:val="007C04D3"/>
    <w:rsid w:val="007C1CD8"/>
    <w:rsid w:val="007C2968"/>
    <w:rsid w:val="007C2A17"/>
    <w:rsid w:val="007C2A40"/>
    <w:rsid w:val="007C37B0"/>
    <w:rsid w:val="007C3B48"/>
    <w:rsid w:val="007C3FB8"/>
    <w:rsid w:val="007C4742"/>
    <w:rsid w:val="007C50ED"/>
    <w:rsid w:val="007C6A1C"/>
    <w:rsid w:val="007C6BEC"/>
    <w:rsid w:val="007C6CD5"/>
    <w:rsid w:val="007D09A2"/>
    <w:rsid w:val="007D5547"/>
    <w:rsid w:val="007D55CD"/>
    <w:rsid w:val="007D5679"/>
    <w:rsid w:val="007D6153"/>
    <w:rsid w:val="007D6CB3"/>
    <w:rsid w:val="007D7C49"/>
    <w:rsid w:val="007E0807"/>
    <w:rsid w:val="007E16C6"/>
    <w:rsid w:val="007E1A9F"/>
    <w:rsid w:val="007E20E7"/>
    <w:rsid w:val="007E21AF"/>
    <w:rsid w:val="007E2D2B"/>
    <w:rsid w:val="007E35C4"/>
    <w:rsid w:val="007E3BEC"/>
    <w:rsid w:val="007E42C0"/>
    <w:rsid w:val="007E42E2"/>
    <w:rsid w:val="007E4FD2"/>
    <w:rsid w:val="007E58D7"/>
    <w:rsid w:val="007E5D50"/>
    <w:rsid w:val="007E5F33"/>
    <w:rsid w:val="007E6D44"/>
    <w:rsid w:val="007E728A"/>
    <w:rsid w:val="007E72A3"/>
    <w:rsid w:val="007E7837"/>
    <w:rsid w:val="007E7984"/>
    <w:rsid w:val="007F26BE"/>
    <w:rsid w:val="007F27DB"/>
    <w:rsid w:val="007F31D4"/>
    <w:rsid w:val="007F3B2A"/>
    <w:rsid w:val="007F4A3B"/>
    <w:rsid w:val="007F52EF"/>
    <w:rsid w:val="007F5DB2"/>
    <w:rsid w:val="007F60D4"/>
    <w:rsid w:val="007F7328"/>
    <w:rsid w:val="007F7CEC"/>
    <w:rsid w:val="0080046D"/>
    <w:rsid w:val="00801BE5"/>
    <w:rsid w:val="00803424"/>
    <w:rsid w:val="00803D2C"/>
    <w:rsid w:val="00803FB9"/>
    <w:rsid w:val="008044DC"/>
    <w:rsid w:val="00804592"/>
    <w:rsid w:val="008045C8"/>
    <w:rsid w:val="00807019"/>
    <w:rsid w:val="00812A10"/>
    <w:rsid w:val="008139F2"/>
    <w:rsid w:val="008141B2"/>
    <w:rsid w:val="00814B05"/>
    <w:rsid w:val="0081534A"/>
    <w:rsid w:val="008153A0"/>
    <w:rsid w:val="00815CDF"/>
    <w:rsid w:val="00815D64"/>
    <w:rsid w:val="00817177"/>
    <w:rsid w:val="00817561"/>
    <w:rsid w:val="00820245"/>
    <w:rsid w:val="008204F7"/>
    <w:rsid w:val="00820CA8"/>
    <w:rsid w:val="00820E66"/>
    <w:rsid w:val="0082250D"/>
    <w:rsid w:val="00822514"/>
    <w:rsid w:val="00823CF8"/>
    <w:rsid w:val="0082448A"/>
    <w:rsid w:val="00824710"/>
    <w:rsid w:val="00824926"/>
    <w:rsid w:val="008249EF"/>
    <w:rsid w:val="00824A1F"/>
    <w:rsid w:val="00824A4A"/>
    <w:rsid w:val="00825092"/>
    <w:rsid w:val="00825251"/>
    <w:rsid w:val="00825324"/>
    <w:rsid w:val="008259F7"/>
    <w:rsid w:val="00826086"/>
    <w:rsid w:val="00826480"/>
    <w:rsid w:val="00826794"/>
    <w:rsid w:val="00826974"/>
    <w:rsid w:val="00826E21"/>
    <w:rsid w:val="00827BCC"/>
    <w:rsid w:val="0083048B"/>
    <w:rsid w:val="008304F3"/>
    <w:rsid w:val="0083160C"/>
    <w:rsid w:val="008319A0"/>
    <w:rsid w:val="00831F48"/>
    <w:rsid w:val="0083253E"/>
    <w:rsid w:val="008328D8"/>
    <w:rsid w:val="008333F4"/>
    <w:rsid w:val="00833592"/>
    <w:rsid w:val="00833644"/>
    <w:rsid w:val="00834B43"/>
    <w:rsid w:val="00834E34"/>
    <w:rsid w:val="00835DF3"/>
    <w:rsid w:val="008361CD"/>
    <w:rsid w:val="00836E45"/>
    <w:rsid w:val="00842F19"/>
    <w:rsid w:val="00843534"/>
    <w:rsid w:val="0084481E"/>
    <w:rsid w:val="00844CA3"/>
    <w:rsid w:val="00844DFE"/>
    <w:rsid w:val="00846338"/>
    <w:rsid w:val="00846682"/>
    <w:rsid w:val="00850546"/>
    <w:rsid w:val="0085059B"/>
    <w:rsid w:val="00851F67"/>
    <w:rsid w:val="008530DA"/>
    <w:rsid w:val="0085396F"/>
    <w:rsid w:val="00853B9D"/>
    <w:rsid w:val="008541C6"/>
    <w:rsid w:val="008608C3"/>
    <w:rsid w:val="00860E75"/>
    <w:rsid w:val="008612B0"/>
    <w:rsid w:val="00862017"/>
    <w:rsid w:val="00862272"/>
    <w:rsid w:val="00862EA9"/>
    <w:rsid w:val="00864666"/>
    <w:rsid w:val="00864D6B"/>
    <w:rsid w:val="008655BA"/>
    <w:rsid w:val="00866A3A"/>
    <w:rsid w:val="008706BB"/>
    <w:rsid w:val="00871719"/>
    <w:rsid w:val="00871AB4"/>
    <w:rsid w:val="00871EB1"/>
    <w:rsid w:val="00872BE8"/>
    <w:rsid w:val="0087325E"/>
    <w:rsid w:val="00873B69"/>
    <w:rsid w:val="00873D3A"/>
    <w:rsid w:val="00875E57"/>
    <w:rsid w:val="00875E95"/>
    <w:rsid w:val="00876638"/>
    <w:rsid w:val="008779E0"/>
    <w:rsid w:val="008819F6"/>
    <w:rsid w:val="00882346"/>
    <w:rsid w:val="008844A5"/>
    <w:rsid w:val="008848B6"/>
    <w:rsid w:val="00884CB4"/>
    <w:rsid w:val="0088570B"/>
    <w:rsid w:val="00886F0B"/>
    <w:rsid w:val="0088738E"/>
    <w:rsid w:val="00887B92"/>
    <w:rsid w:val="00887C9E"/>
    <w:rsid w:val="00887EF8"/>
    <w:rsid w:val="00891252"/>
    <w:rsid w:val="008914E7"/>
    <w:rsid w:val="0089280D"/>
    <w:rsid w:val="0089358B"/>
    <w:rsid w:val="008937A2"/>
    <w:rsid w:val="008937FF"/>
    <w:rsid w:val="00895192"/>
    <w:rsid w:val="00895968"/>
    <w:rsid w:val="00895B49"/>
    <w:rsid w:val="00895CE2"/>
    <w:rsid w:val="008964B7"/>
    <w:rsid w:val="008975E0"/>
    <w:rsid w:val="0089786E"/>
    <w:rsid w:val="008A058B"/>
    <w:rsid w:val="008A0BED"/>
    <w:rsid w:val="008A0F22"/>
    <w:rsid w:val="008A22A2"/>
    <w:rsid w:val="008A4331"/>
    <w:rsid w:val="008A4787"/>
    <w:rsid w:val="008A4DF7"/>
    <w:rsid w:val="008A51B6"/>
    <w:rsid w:val="008B10EF"/>
    <w:rsid w:val="008B1DA6"/>
    <w:rsid w:val="008B2BA9"/>
    <w:rsid w:val="008B4E4C"/>
    <w:rsid w:val="008B50DD"/>
    <w:rsid w:val="008B6636"/>
    <w:rsid w:val="008B68DD"/>
    <w:rsid w:val="008B7189"/>
    <w:rsid w:val="008B7458"/>
    <w:rsid w:val="008B7FDF"/>
    <w:rsid w:val="008C0124"/>
    <w:rsid w:val="008C083A"/>
    <w:rsid w:val="008C0C0A"/>
    <w:rsid w:val="008C0C5D"/>
    <w:rsid w:val="008C2386"/>
    <w:rsid w:val="008C2D81"/>
    <w:rsid w:val="008C3298"/>
    <w:rsid w:val="008C366A"/>
    <w:rsid w:val="008C3A6E"/>
    <w:rsid w:val="008C4F60"/>
    <w:rsid w:val="008C5BDE"/>
    <w:rsid w:val="008C6374"/>
    <w:rsid w:val="008C7CA5"/>
    <w:rsid w:val="008D0CDD"/>
    <w:rsid w:val="008D18FB"/>
    <w:rsid w:val="008D1C0A"/>
    <w:rsid w:val="008D2A8F"/>
    <w:rsid w:val="008D3C5D"/>
    <w:rsid w:val="008D4757"/>
    <w:rsid w:val="008D52F3"/>
    <w:rsid w:val="008D5A4D"/>
    <w:rsid w:val="008D5E00"/>
    <w:rsid w:val="008D67DE"/>
    <w:rsid w:val="008D7383"/>
    <w:rsid w:val="008D74BD"/>
    <w:rsid w:val="008D7777"/>
    <w:rsid w:val="008D7798"/>
    <w:rsid w:val="008D7ABA"/>
    <w:rsid w:val="008E0062"/>
    <w:rsid w:val="008E6719"/>
    <w:rsid w:val="008E722F"/>
    <w:rsid w:val="008E72AB"/>
    <w:rsid w:val="008E79B4"/>
    <w:rsid w:val="008F1413"/>
    <w:rsid w:val="008F143E"/>
    <w:rsid w:val="008F1956"/>
    <w:rsid w:val="008F4042"/>
    <w:rsid w:val="008F47B8"/>
    <w:rsid w:val="008F5623"/>
    <w:rsid w:val="008F5DBF"/>
    <w:rsid w:val="008F5ED7"/>
    <w:rsid w:val="008F6AB8"/>
    <w:rsid w:val="008F7269"/>
    <w:rsid w:val="008F7EEB"/>
    <w:rsid w:val="009013D0"/>
    <w:rsid w:val="00901760"/>
    <w:rsid w:val="009017E2"/>
    <w:rsid w:val="00901F11"/>
    <w:rsid w:val="00902301"/>
    <w:rsid w:val="009026D8"/>
    <w:rsid w:val="00902C32"/>
    <w:rsid w:val="00902C8E"/>
    <w:rsid w:val="00903830"/>
    <w:rsid w:val="00904695"/>
    <w:rsid w:val="0090535F"/>
    <w:rsid w:val="00905C0D"/>
    <w:rsid w:val="00905F73"/>
    <w:rsid w:val="00906791"/>
    <w:rsid w:val="00906DB3"/>
    <w:rsid w:val="00910303"/>
    <w:rsid w:val="00912033"/>
    <w:rsid w:val="00912588"/>
    <w:rsid w:val="009125CD"/>
    <w:rsid w:val="0091459D"/>
    <w:rsid w:val="00915D1E"/>
    <w:rsid w:val="009161D3"/>
    <w:rsid w:val="00916C22"/>
    <w:rsid w:val="00916CFC"/>
    <w:rsid w:val="00917D63"/>
    <w:rsid w:val="00917FA3"/>
    <w:rsid w:val="0092003E"/>
    <w:rsid w:val="00920077"/>
    <w:rsid w:val="00920A73"/>
    <w:rsid w:val="0092229F"/>
    <w:rsid w:val="00924B53"/>
    <w:rsid w:val="00924E7B"/>
    <w:rsid w:val="009261EC"/>
    <w:rsid w:val="009265C1"/>
    <w:rsid w:val="0092767D"/>
    <w:rsid w:val="00930B0B"/>
    <w:rsid w:val="00930F84"/>
    <w:rsid w:val="0093111A"/>
    <w:rsid w:val="009314E8"/>
    <w:rsid w:val="00931588"/>
    <w:rsid w:val="00932272"/>
    <w:rsid w:val="00932E4E"/>
    <w:rsid w:val="00933FB7"/>
    <w:rsid w:val="0093640B"/>
    <w:rsid w:val="00936BC2"/>
    <w:rsid w:val="009404E8"/>
    <w:rsid w:val="009407C7"/>
    <w:rsid w:val="00940CC1"/>
    <w:rsid w:val="00941100"/>
    <w:rsid w:val="00941384"/>
    <w:rsid w:val="009426B4"/>
    <w:rsid w:val="00942A7E"/>
    <w:rsid w:val="00943533"/>
    <w:rsid w:val="00943CB9"/>
    <w:rsid w:val="00943D5A"/>
    <w:rsid w:val="00943FC0"/>
    <w:rsid w:val="00944CF0"/>
    <w:rsid w:val="00945E91"/>
    <w:rsid w:val="00946F4D"/>
    <w:rsid w:val="0094775D"/>
    <w:rsid w:val="009506B0"/>
    <w:rsid w:val="00951577"/>
    <w:rsid w:val="00951F3B"/>
    <w:rsid w:val="0095247A"/>
    <w:rsid w:val="009527AF"/>
    <w:rsid w:val="00955DDB"/>
    <w:rsid w:val="00956F1B"/>
    <w:rsid w:val="0095783C"/>
    <w:rsid w:val="00957A1D"/>
    <w:rsid w:val="00957F78"/>
    <w:rsid w:val="0096310E"/>
    <w:rsid w:val="00964BE0"/>
    <w:rsid w:val="00966212"/>
    <w:rsid w:val="009662C5"/>
    <w:rsid w:val="0096693A"/>
    <w:rsid w:val="00966E1B"/>
    <w:rsid w:val="00966F41"/>
    <w:rsid w:val="009670E8"/>
    <w:rsid w:val="0096756F"/>
    <w:rsid w:val="0096786F"/>
    <w:rsid w:val="009706BC"/>
    <w:rsid w:val="009735BA"/>
    <w:rsid w:val="0097399D"/>
    <w:rsid w:val="009747A8"/>
    <w:rsid w:val="009754D5"/>
    <w:rsid w:val="00976B81"/>
    <w:rsid w:val="0097720C"/>
    <w:rsid w:val="0097763E"/>
    <w:rsid w:val="00977F65"/>
    <w:rsid w:val="009804C2"/>
    <w:rsid w:val="0098057F"/>
    <w:rsid w:val="009809FF"/>
    <w:rsid w:val="009842D1"/>
    <w:rsid w:val="00984376"/>
    <w:rsid w:val="009845D2"/>
    <w:rsid w:val="00984E58"/>
    <w:rsid w:val="00985DAE"/>
    <w:rsid w:val="009869E0"/>
    <w:rsid w:val="00986A9A"/>
    <w:rsid w:val="009915A1"/>
    <w:rsid w:val="00991B2E"/>
    <w:rsid w:val="00991E0C"/>
    <w:rsid w:val="0099376F"/>
    <w:rsid w:val="00993FBC"/>
    <w:rsid w:val="009954EA"/>
    <w:rsid w:val="00995B64"/>
    <w:rsid w:val="0099745A"/>
    <w:rsid w:val="00997897"/>
    <w:rsid w:val="009A042E"/>
    <w:rsid w:val="009A04D7"/>
    <w:rsid w:val="009A1B05"/>
    <w:rsid w:val="009A4071"/>
    <w:rsid w:val="009A67F1"/>
    <w:rsid w:val="009A70CD"/>
    <w:rsid w:val="009A7FC2"/>
    <w:rsid w:val="009B0C24"/>
    <w:rsid w:val="009B1750"/>
    <w:rsid w:val="009B213A"/>
    <w:rsid w:val="009B47AF"/>
    <w:rsid w:val="009B54E9"/>
    <w:rsid w:val="009B5A89"/>
    <w:rsid w:val="009B5AB9"/>
    <w:rsid w:val="009B7875"/>
    <w:rsid w:val="009C0052"/>
    <w:rsid w:val="009C0F84"/>
    <w:rsid w:val="009C1846"/>
    <w:rsid w:val="009C1EA0"/>
    <w:rsid w:val="009C2692"/>
    <w:rsid w:val="009C41E6"/>
    <w:rsid w:val="009C5CED"/>
    <w:rsid w:val="009C60ED"/>
    <w:rsid w:val="009C66FB"/>
    <w:rsid w:val="009C6E40"/>
    <w:rsid w:val="009C70CC"/>
    <w:rsid w:val="009D056C"/>
    <w:rsid w:val="009D0B7A"/>
    <w:rsid w:val="009D0C05"/>
    <w:rsid w:val="009D16F9"/>
    <w:rsid w:val="009D1F44"/>
    <w:rsid w:val="009D2039"/>
    <w:rsid w:val="009D37EF"/>
    <w:rsid w:val="009D39B5"/>
    <w:rsid w:val="009D3B6E"/>
    <w:rsid w:val="009D4E11"/>
    <w:rsid w:val="009D5728"/>
    <w:rsid w:val="009D5B65"/>
    <w:rsid w:val="009D6B8E"/>
    <w:rsid w:val="009D6CDB"/>
    <w:rsid w:val="009D70B4"/>
    <w:rsid w:val="009E0634"/>
    <w:rsid w:val="009E2C74"/>
    <w:rsid w:val="009E4312"/>
    <w:rsid w:val="009E46B5"/>
    <w:rsid w:val="009E76AC"/>
    <w:rsid w:val="009F051B"/>
    <w:rsid w:val="009F06AC"/>
    <w:rsid w:val="009F0D99"/>
    <w:rsid w:val="009F134F"/>
    <w:rsid w:val="009F1455"/>
    <w:rsid w:val="009F1E1E"/>
    <w:rsid w:val="009F2CA7"/>
    <w:rsid w:val="009F31F9"/>
    <w:rsid w:val="009F328A"/>
    <w:rsid w:val="009F3BA5"/>
    <w:rsid w:val="009F4945"/>
    <w:rsid w:val="009F6949"/>
    <w:rsid w:val="009F724B"/>
    <w:rsid w:val="009F7377"/>
    <w:rsid w:val="00A00678"/>
    <w:rsid w:val="00A01A2A"/>
    <w:rsid w:val="00A02D2F"/>
    <w:rsid w:val="00A0345A"/>
    <w:rsid w:val="00A0393A"/>
    <w:rsid w:val="00A048BB"/>
    <w:rsid w:val="00A04D87"/>
    <w:rsid w:val="00A04F31"/>
    <w:rsid w:val="00A05486"/>
    <w:rsid w:val="00A077D8"/>
    <w:rsid w:val="00A103F4"/>
    <w:rsid w:val="00A1216F"/>
    <w:rsid w:val="00A12D08"/>
    <w:rsid w:val="00A1343A"/>
    <w:rsid w:val="00A135C2"/>
    <w:rsid w:val="00A142B9"/>
    <w:rsid w:val="00A1516D"/>
    <w:rsid w:val="00A1598E"/>
    <w:rsid w:val="00A167AE"/>
    <w:rsid w:val="00A16FF3"/>
    <w:rsid w:val="00A17617"/>
    <w:rsid w:val="00A2096C"/>
    <w:rsid w:val="00A20DAD"/>
    <w:rsid w:val="00A2112B"/>
    <w:rsid w:val="00A219C0"/>
    <w:rsid w:val="00A21C8A"/>
    <w:rsid w:val="00A220EB"/>
    <w:rsid w:val="00A22DAB"/>
    <w:rsid w:val="00A240A2"/>
    <w:rsid w:val="00A24138"/>
    <w:rsid w:val="00A246DF"/>
    <w:rsid w:val="00A25230"/>
    <w:rsid w:val="00A261F7"/>
    <w:rsid w:val="00A26C40"/>
    <w:rsid w:val="00A27976"/>
    <w:rsid w:val="00A27D04"/>
    <w:rsid w:val="00A30CC7"/>
    <w:rsid w:val="00A31CF7"/>
    <w:rsid w:val="00A341C2"/>
    <w:rsid w:val="00A341DA"/>
    <w:rsid w:val="00A35BC1"/>
    <w:rsid w:val="00A3605A"/>
    <w:rsid w:val="00A37494"/>
    <w:rsid w:val="00A42D35"/>
    <w:rsid w:val="00A42D7D"/>
    <w:rsid w:val="00A437A7"/>
    <w:rsid w:val="00A43D42"/>
    <w:rsid w:val="00A457D1"/>
    <w:rsid w:val="00A45CDF"/>
    <w:rsid w:val="00A46B89"/>
    <w:rsid w:val="00A46B8E"/>
    <w:rsid w:val="00A50ABA"/>
    <w:rsid w:val="00A52D05"/>
    <w:rsid w:val="00A52E45"/>
    <w:rsid w:val="00A5315B"/>
    <w:rsid w:val="00A53716"/>
    <w:rsid w:val="00A5371A"/>
    <w:rsid w:val="00A5378B"/>
    <w:rsid w:val="00A53B30"/>
    <w:rsid w:val="00A53E30"/>
    <w:rsid w:val="00A54D8F"/>
    <w:rsid w:val="00A554E5"/>
    <w:rsid w:val="00A55E54"/>
    <w:rsid w:val="00A57CC3"/>
    <w:rsid w:val="00A60F85"/>
    <w:rsid w:val="00A6129C"/>
    <w:rsid w:val="00A618BF"/>
    <w:rsid w:val="00A64F10"/>
    <w:rsid w:val="00A6539F"/>
    <w:rsid w:val="00A67087"/>
    <w:rsid w:val="00A6756E"/>
    <w:rsid w:val="00A67876"/>
    <w:rsid w:val="00A67897"/>
    <w:rsid w:val="00A67BC7"/>
    <w:rsid w:val="00A67DC7"/>
    <w:rsid w:val="00A74A9B"/>
    <w:rsid w:val="00A74AB8"/>
    <w:rsid w:val="00A75588"/>
    <w:rsid w:val="00A75E7E"/>
    <w:rsid w:val="00A7600B"/>
    <w:rsid w:val="00A7671C"/>
    <w:rsid w:val="00A776D4"/>
    <w:rsid w:val="00A77B3B"/>
    <w:rsid w:val="00A80E5A"/>
    <w:rsid w:val="00A81E48"/>
    <w:rsid w:val="00A828FD"/>
    <w:rsid w:val="00A82B65"/>
    <w:rsid w:val="00A82B6F"/>
    <w:rsid w:val="00A830CE"/>
    <w:rsid w:val="00A84944"/>
    <w:rsid w:val="00A85519"/>
    <w:rsid w:val="00A85DD0"/>
    <w:rsid w:val="00A8642F"/>
    <w:rsid w:val="00A86E6C"/>
    <w:rsid w:val="00A86E78"/>
    <w:rsid w:val="00A9074E"/>
    <w:rsid w:val="00A908D5"/>
    <w:rsid w:val="00A91269"/>
    <w:rsid w:val="00A92445"/>
    <w:rsid w:val="00A92C29"/>
    <w:rsid w:val="00A93643"/>
    <w:rsid w:val="00A93CBC"/>
    <w:rsid w:val="00A94F5D"/>
    <w:rsid w:val="00A95A2F"/>
    <w:rsid w:val="00A95AD6"/>
    <w:rsid w:val="00AA0944"/>
    <w:rsid w:val="00AA0B27"/>
    <w:rsid w:val="00AA1C7D"/>
    <w:rsid w:val="00AA200D"/>
    <w:rsid w:val="00AA2DE6"/>
    <w:rsid w:val="00AA3EF5"/>
    <w:rsid w:val="00AA47A3"/>
    <w:rsid w:val="00AA5E8B"/>
    <w:rsid w:val="00AA7133"/>
    <w:rsid w:val="00AA78CC"/>
    <w:rsid w:val="00AA7CE6"/>
    <w:rsid w:val="00AB0435"/>
    <w:rsid w:val="00AB0E78"/>
    <w:rsid w:val="00AB140A"/>
    <w:rsid w:val="00AB2C85"/>
    <w:rsid w:val="00AB33BD"/>
    <w:rsid w:val="00AB38F0"/>
    <w:rsid w:val="00AB3AB9"/>
    <w:rsid w:val="00AB4077"/>
    <w:rsid w:val="00AB4223"/>
    <w:rsid w:val="00AB497E"/>
    <w:rsid w:val="00AB55A1"/>
    <w:rsid w:val="00AB5656"/>
    <w:rsid w:val="00AB5B21"/>
    <w:rsid w:val="00AB6357"/>
    <w:rsid w:val="00AB6A4A"/>
    <w:rsid w:val="00AB7554"/>
    <w:rsid w:val="00AB7A75"/>
    <w:rsid w:val="00AB7DD8"/>
    <w:rsid w:val="00AC1BFA"/>
    <w:rsid w:val="00AC293C"/>
    <w:rsid w:val="00AC2BF1"/>
    <w:rsid w:val="00AC4303"/>
    <w:rsid w:val="00AC5C58"/>
    <w:rsid w:val="00AC5D20"/>
    <w:rsid w:val="00AC5D2A"/>
    <w:rsid w:val="00AC63E4"/>
    <w:rsid w:val="00AC65CF"/>
    <w:rsid w:val="00AC77B9"/>
    <w:rsid w:val="00AC7ED3"/>
    <w:rsid w:val="00AD029B"/>
    <w:rsid w:val="00AD0A26"/>
    <w:rsid w:val="00AD1D41"/>
    <w:rsid w:val="00AD21BB"/>
    <w:rsid w:val="00AD2FA6"/>
    <w:rsid w:val="00AD433B"/>
    <w:rsid w:val="00AD78FF"/>
    <w:rsid w:val="00AE347C"/>
    <w:rsid w:val="00AE5FF4"/>
    <w:rsid w:val="00AE720D"/>
    <w:rsid w:val="00AE74FA"/>
    <w:rsid w:val="00AF06E7"/>
    <w:rsid w:val="00AF219D"/>
    <w:rsid w:val="00AF282A"/>
    <w:rsid w:val="00AF2B3A"/>
    <w:rsid w:val="00AF301E"/>
    <w:rsid w:val="00AF459C"/>
    <w:rsid w:val="00AF4896"/>
    <w:rsid w:val="00AF49E8"/>
    <w:rsid w:val="00AF5C4E"/>
    <w:rsid w:val="00AF7AEE"/>
    <w:rsid w:val="00AF7B75"/>
    <w:rsid w:val="00AF7D1C"/>
    <w:rsid w:val="00B00640"/>
    <w:rsid w:val="00B01C9B"/>
    <w:rsid w:val="00B028DD"/>
    <w:rsid w:val="00B02A8A"/>
    <w:rsid w:val="00B02A8C"/>
    <w:rsid w:val="00B03326"/>
    <w:rsid w:val="00B04656"/>
    <w:rsid w:val="00B04E1F"/>
    <w:rsid w:val="00B0500C"/>
    <w:rsid w:val="00B10360"/>
    <w:rsid w:val="00B1061E"/>
    <w:rsid w:val="00B10CF9"/>
    <w:rsid w:val="00B10CFD"/>
    <w:rsid w:val="00B11EB4"/>
    <w:rsid w:val="00B136DD"/>
    <w:rsid w:val="00B13FB6"/>
    <w:rsid w:val="00B14C4D"/>
    <w:rsid w:val="00B15356"/>
    <w:rsid w:val="00B15885"/>
    <w:rsid w:val="00B15E51"/>
    <w:rsid w:val="00B178B1"/>
    <w:rsid w:val="00B17A8D"/>
    <w:rsid w:val="00B2191F"/>
    <w:rsid w:val="00B23D1D"/>
    <w:rsid w:val="00B23DED"/>
    <w:rsid w:val="00B242AC"/>
    <w:rsid w:val="00B24B5D"/>
    <w:rsid w:val="00B251EF"/>
    <w:rsid w:val="00B265FA"/>
    <w:rsid w:val="00B2751A"/>
    <w:rsid w:val="00B32B94"/>
    <w:rsid w:val="00B33386"/>
    <w:rsid w:val="00B34305"/>
    <w:rsid w:val="00B34612"/>
    <w:rsid w:val="00B3489E"/>
    <w:rsid w:val="00B3707B"/>
    <w:rsid w:val="00B37D5D"/>
    <w:rsid w:val="00B37DF4"/>
    <w:rsid w:val="00B406CE"/>
    <w:rsid w:val="00B40D60"/>
    <w:rsid w:val="00B414FB"/>
    <w:rsid w:val="00B417B1"/>
    <w:rsid w:val="00B41D1D"/>
    <w:rsid w:val="00B424C7"/>
    <w:rsid w:val="00B4264B"/>
    <w:rsid w:val="00B44336"/>
    <w:rsid w:val="00B44672"/>
    <w:rsid w:val="00B45E2A"/>
    <w:rsid w:val="00B47BA1"/>
    <w:rsid w:val="00B51844"/>
    <w:rsid w:val="00B5287F"/>
    <w:rsid w:val="00B531D9"/>
    <w:rsid w:val="00B538D8"/>
    <w:rsid w:val="00B54454"/>
    <w:rsid w:val="00B548AD"/>
    <w:rsid w:val="00B55420"/>
    <w:rsid w:val="00B554AA"/>
    <w:rsid w:val="00B55752"/>
    <w:rsid w:val="00B5617D"/>
    <w:rsid w:val="00B570BF"/>
    <w:rsid w:val="00B60E5C"/>
    <w:rsid w:val="00B624C3"/>
    <w:rsid w:val="00B6274E"/>
    <w:rsid w:val="00B62EAF"/>
    <w:rsid w:val="00B63AD2"/>
    <w:rsid w:val="00B6440D"/>
    <w:rsid w:val="00B65A62"/>
    <w:rsid w:val="00B66354"/>
    <w:rsid w:val="00B66367"/>
    <w:rsid w:val="00B666A8"/>
    <w:rsid w:val="00B67037"/>
    <w:rsid w:val="00B7019A"/>
    <w:rsid w:val="00B7037D"/>
    <w:rsid w:val="00B70BE7"/>
    <w:rsid w:val="00B71123"/>
    <w:rsid w:val="00B7155C"/>
    <w:rsid w:val="00B72D8F"/>
    <w:rsid w:val="00B73913"/>
    <w:rsid w:val="00B73928"/>
    <w:rsid w:val="00B73A70"/>
    <w:rsid w:val="00B73C95"/>
    <w:rsid w:val="00B74283"/>
    <w:rsid w:val="00B745A8"/>
    <w:rsid w:val="00B749B0"/>
    <w:rsid w:val="00B75193"/>
    <w:rsid w:val="00B75E12"/>
    <w:rsid w:val="00B76B28"/>
    <w:rsid w:val="00B80C67"/>
    <w:rsid w:val="00B82480"/>
    <w:rsid w:val="00B82EBE"/>
    <w:rsid w:val="00B82EDA"/>
    <w:rsid w:val="00B83D02"/>
    <w:rsid w:val="00B84443"/>
    <w:rsid w:val="00B851F0"/>
    <w:rsid w:val="00B85FE6"/>
    <w:rsid w:val="00B909AE"/>
    <w:rsid w:val="00B914DA"/>
    <w:rsid w:val="00B92996"/>
    <w:rsid w:val="00B94F38"/>
    <w:rsid w:val="00B9794D"/>
    <w:rsid w:val="00BA02F7"/>
    <w:rsid w:val="00BA0C60"/>
    <w:rsid w:val="00BA0F06"/>
    <w:rsid w:val="00BA11EC"/>
    <w:rsid w:val="00BA1461"/>
    <w:rsid w:val="00BA20EA"/>
    <w:rsid w:val="00BA2561"/>
    <w:rsid w:val="00BA284F"/>
    <w:rsid w:val="00BA29A7"/>
    <w:rsid w:val="00BA2C15"/>
    <w:rsid w:val="00BA2EF7"/>
    <w:rsid w:val="00BA3252"/>
    <w:rsid w:val="00BA3B45"/>
    <w:rsid w:val="00BA401E"/>
    <w:rsid w:val="00BA4EDD"/>
    <w:rsid w:val="00BA5808"/>
    <w:rsid w:val="00BA6A39"/>
    <w:rsid w:val="00BA7B04"/>
    <w:rsid w:val="00BB00EF"/>
    <w:rsid w:val="00BB1374"/>
    <w:rsid w:val="00BB140A"/>
    <w:rsid w:val="00BB1EC4"/>
    <w:rsid w:val="00BB45A0"/>
    <w:rsid w:val="00BB473E"/>
    <w:rsid w:val="00BB49FC"/>
    <w:rsid w:val="00BB5143"/>
    <w:rsid w:val="00BB5B3C"/>
    <w:rsid w:val="00BB5C08"/>
    <w:rsid w:val="00BB5FD5"/>
    <w:rsid w:val="00BB637B"/>
    <w:rsid w:val="00BB6763"/>
    <w:rsid w:val="00BB79A6"/>
    <w:rsid w:val="00BB7AC1"/>
    <w:rsid w:val="00BB7C78"/>
    <w:rsid w:val="00BC03D4"/>
    <w:rsid w:val="00BC06B9"/>
    <w:rsid w:val="00BC1208"/>
    <w:rsid w:val="00BC1807"/>
    <w:rsid w:val="00BC23F9"/>
    <w:rsid w:val="00BC26B9"/>
    <w:rsid w:val="00BC28AD"/>
    <w:rsid w:val="00BC3262"/>
    <w:rsid w:val="00BC35AA"/>
    <w:rsid w:val="00BC37DD"/>
    <w:rsid w:val="00BC3C27"/>
    <w:rsid w:val="00BC3DFF"/>
    <w:rsid w:val="00BC4559"/>
    <w:rsid w:val="00BC4879"/>
    <w:rsid w:val="00BC4C4D"/>
    <w:rsid w:val="00BC5659"/>
    <w:rsid w:val="00BC6C05"/>
    <w:rsid w:val="00BC755E"/>
    <w:rsid w:val="00BD1183"/>
    <w:rsid w:val="00BD1A7F"/>
    <w:rsid w:val="00BD2352"/>
    <w:rsid w:val="00BD2471"/>
    <w:rsid w:val="00BD368D"/>
    <w:rsid w:val="00BD39AE"/>
    <w:rsid w:val="00BD480D"/>
    <w:rsid w:val="00BD7C84"/>
    <w:rsid w:val="00BE110E"/>
    <w:rsid w:val="00BE1FE9"/>
    <w:rsid w:val="00BE239F"/>
    <w:rsid w:val="00BE27DC"/>
    <w:rsid w:val="00BE29C8"/>
    <w:rsid w:val="00BE465B"/>
    <w:rsid w:val="00BE4E08"/>
    <w:rsid w:val="00BE587B"/>
    <w:rsid w:val="00BE6C75"/>
    <w:rsid w:val="00BE6F83"/>
    <w:rsid w:val="00BE7762"/>
    <w:rsid w:val="00BE7B8A"/>
    <w:rsid w:val="00BE7D18"/>
    <w:rsid w:val="00BE7FF8"/>
    <w:rsid w:val="00BF035F"/>
    <w:rsid w:val="00BF0A0D"/>
    <w:rsid w:val="00BF2A00"/>
    <w:rsid w:val="00BF3029"/>
    <w:rsid w:val="00BF32EA"/>
    <w:rsid w:val="00BF3862"/>
    <w:rsid w:val="00BF4DBA"/>
    <w:rsid w:val="00BF5931"/>
    <w:rsid w:val="00BF6A01"/>
    <w:rsid w:val="00BF6D84"/>
    <w:rsid w:val="00C03AD5"/>
    <w:rsid w:val="00C03FBF"/>
    <w:rsid w:val="00C04466"/>
    <w:rsid w:val="00C05572"/>
    <w:rsid w:val="00C06928"/>
    <w:rsid w:val="00C06C1C"/>
    <w:rsid w:val="00C077EC"/>
    <w:rsid w:val="00C07E38"/>
    <w:rsid w:val="00C11038"/>
    <w:rsid w:val="00C12319"/>
    <w:rsid w:val="00C131DD"/>
    <w:rsid w:val="00C13959"/>
    <w:rsid w:val="00C139F5"/>
    <w:rsid w:val="00C13FE0"/>
    <w:rsid w:val="00C15DCC"/>
    <w:rsid w:val="00C17EC3"/>
    <w:rsid w:val="00C20616"/>
    <w:rsid w:val="00C20CDB"/>
    <w:rsid w:val="00C216B6"/>
    <w:rsid w:val="00C218A4"/>
    <w:rsid w:val="00C22A48"/>
    <w:rsid w:val="00C23007"/>
    <w:rsid w:val="00C244ED"/>
    <w:rsid w:val="00C24F94"/>
    <w:rsid w:val="00C268E1"/>
    <w:rsid w:val="00C26A92"/>
    <w:rsid w:val="00C3025B"/>
    <w:rsid w:val="00C317AA"/>
    <w:rsid w:val="00C31C42"/>
    <w:rsid w:val="00C3242C"/>
    <w:rsid w:val="00C329B4"/>
    <w:rsid w:val="00C32DD0"/>
    <w:rsid w:val="00C34C52"/>
    <w:rsid w:val="00C36CEE"/>
    <w:rsid w:val="00C370CD"/>
    <w:rsid w:val="00C371FF"/>
    <w:rsid w:val="00C37593"/>
    <w:rsid w:val="00C403F7"/>
    <w:rsid w:val="00C40797"/>
    <w:rsid w:val="00C40A64"/>
    <w:rsid w:val="00C40B37"/>
    <w:rsid w:val="00C40C46"/>
    <w:rsid w:val="00C40F23"/>
    <w:rsid w:val="00C41240"/>
    <w:rsid w:val="00C41510"/>
    <w:rsid w:val="00C42639"/>
    <w:rsid w:val="00C42BFB"/>
    <w:rsid w:val="00C43991"/>
    <w:rsid w:val="00C43DB6"/>
    <w:rsid w:val="00C43DC3"/>
    <w:rsid w:val="00C44566"/>
    <w:rsid w:val="00C45C9D"/>
    <w:rsid w:val="00C46188"/>
    <w:rsid w:val="00C46CE5"/>
    <w:rsid w:val="00C46D89"/>
    <w:rsid w:val="00C47132"/>
    <w:rsid w:val="00C5064F"/>
    <w:rsid w:val="00C508C6"/>
    <w:rsid w:val="00C50FBA"/>
    <w:rsid w:val="00C51218"/>
    <w:rsid w:val="00C51464"/>
    <w:rsid w:val="00C51F55"/>
    <w:rsid w:val="00C52788"/>
    <w:rsid w:val="00C529A0"/>
    <w:rsid w:val="00C533AC"/>
    <w:rsid w:val="00C53D62"/>
    <w:rsid w:val="00C54EAA"/>
    <w:rsid w:val="00C550EC"/>
    <w:rsid w:val="00C55404"/>
    <w:rsid w:val="00C55619"/>
    <w:rsid w:val="00C571DF"/>
    <w:rsid w:val="00C61B21"/>
    <w:rsid w:val="00C6400B"/>
    <w:rsid w:val="00C6425E"/>
    <w:rsid w:val="00C647F0"/>
    <w:rsid w:val="00C64E4C"/>
    <w:rsid w:val="00C657EF"/>
    <w:rsid w:val="00C70CCE"/>
    <w:rsid w:val="00C72504"/>
    <w:rsid w:val="00C72BCF"/>
    <w:rsid w:val="00C732AF"/>
    <w:rsid w:val="00C7483F"/>
    <w:rsid w:val="00C75B12"/>
    <w:rsid w:val="00C77CEB"/>
    <w:rsid w:val="00C80272"/>
    <w:rsid w:val="00C815B1"/>
    <w:rsid w:val="00C84B8F"/>
    <w:rsid w:val="00C87ABD"/>
    <w:rsid w:val="00C87D15"/>
    <w:rsid w:val="00C91595"/>
    <w:rsid w:val="00C9263E"/>
    <w:rsid w:val="00C92B52"/>
    <w:rsid w:val="00C95808"/>
    <w:rsid w:val="00C96138"/>
    <w:rsid w:val="00C96F88"/>
    <w:rsid w:val="00C9722D"/>
    <w:rsid w:val="00C974E3"/>
    <w:rsid w:val="00C97A23"/>
    <w:rsid w:val="00C97E6A"/>
    <w:rsid w:val="00CA076C"/>
    <w:rsid w:val="00CA22AE"/>
    <w:rsid w:val="00CA234D"/>
    <w:rsid w:val="00CA24EE"/>
    <w:rsid w:val="00CA40C7"/>
    <w:rsid w:val="00CA46BC"/>
    <w:rsid w:val="00CA5236"/>
    <w:rsid w:val="00CA5D76"/>
    <w:rsid w:val="00CA6C99"/>
    <w:rsid w:val="00CA7375"/>
    <w:rsid w:val="00CB1169"/>
    <w:rsid w:val="00CB132A"/>
    <w:rsid w:val="00CB1DD8"/>
    <w:rsid w:val="00CB1DDB"/>
    <w:rsid w:val="00CB45D4"/>
    <w:rsid w:val="00CB5F31"/>
    <w:rsid w:val="00CB6BBC"/>
    <w:rsid w:val="00CB7A59"/>
    <w:rsid w:val="00CC0B07"/>
    <w:rsid w:val="00CC12EA"/>
    <w:rsid w:val="00CC2A11"/>
    <w:rsid w:val="00CC4139"/>
    <w:rsid w:val="00CC4A37"/>
    <w:rsid w:val="00CC4FEF"/>
    <w:rsid w:val="00CC5695"/>
    <w:rsid w:val="00CC5825"/>
    <w:rsid w:val="00CC7E97"/>
    <w:rsid w:val="00CD4303"/>
    <w:rsid w:val="00CD4CAA"/>
    <w:rsid w:val="00CD5085"/>
    <w:rsid w:val="00CD5451"/>
    <w:rsid w:val="00CE0159"/>
    <w:rsid w:val="00CE0185"/>
    <w:rsid w:val="00CE1814"/>
    <w:rsid w:val="00CE378C"/>
    <w:rsid w:val="00CE51ED"/>
    <w:rsid w:val="00CE53C3"/>
    <w:rsid w:val="00CE6195"/>
    <w:rsid w:val="00CE6263"/>
    <w:rsid w:val="00CE6362"/>
    <w:rsid w:val="00CF18FE"/>
    <w:rsid w:val="00CF33AF"/>
    <w:rsid w:val="00CF366E"/>
    <w:rsid w:val="00CF426D"/>
    <w:rsid w:val="00CF5D43"/>
    <w:rsid w:val="00CF64D2"/>
    <w:rsid w:val="00D0110F"/>
    <w:rsid w:val="00D0285A"/>
    <w:rsid w:val="00D0287F"/>
    <w:rsid w:val="00D0371A"/>
    <w:rsid w:val="00D03BE0"/>
    <w:rsid w:val="00D041EA"/>
    <w:rsid w:val="00D04993"/>
    <w:rsid w:val="00D04A26"/>
    <w:rsid w:val="00D04F80"/>
    <w:rsid w:val="00D05018"/>
    <w:rsid w:val="00D051BC"/>
    <w:rsid w:val="00D05B8D"/>
    <w:rsid w:val="00D0633A"/>
    <w:rsid w:val="00D0790A"/>
    <w:rsid w:val="00D07A60"/>
    <w:rsid w:val="00D10373"/>
    <w:rsid w:val="00D107AE"/>
    <w:rsid w:val="00D10972"/>
    <w:rsid w:val="00D13F6A"/>
    <w:rsid w:val="00D147C2"/>
    <w:rsid w:val="00D14C80"/>
    <w:rsid w:val="00D14E35"/>
    <w:rsid w:val="00D15F81"/>
    <w:rsid w:val="00D1693E"/>
    <w:rsid w:val="00D17650"/>
    <w:rsid w:val="00D22195"/>
    <w:rsid w:val="00D22218"/>
    <w:rsid w:val="00D22753"/>
    <w:rsid w:val="00D237D6"/>
    <w:rsid w:val="00D23FDB"/>
    <w:rsid w:val="00D25DF5"/>
    <w:rsid w:val="00D310CF"/>
    <w:rsid w:val="00D31762"/>
    <w:rsid w:val="00D332FC"/>
    <w:rsid w:val="00D338D7"/>
    <w:rsid w:val="00D33BFC"/>
    <w:rsid w:val="00D33C41"/>
    <w:rsid w:val="00D33CF9"/>
    <w:rsid w:val="00D36337"/>
    <w:rsid w:val="00D36C76"/>
    <w:rsid w:val="00D40B9F"/>
    <w:rsid w:val="00D41D4F"/>
    <w:rsid w:val="00D42222"/>
    <w:rsid w:val="00D42E2C"/>
    <w:rsid w:val="00D4360B"/>
    <w:rsid w:val="00D4372B"/>
    <w:rsid w:val="00D438B3"/>
    <w:rsid w:val="00D448A5"/>
    <w:rsid w:val="00D44C34"/>
    <w:rsid w:val="00D45FB4"/>
    <w:rsid w:val="00D467A7"/>
    <w:rsid w:val="00D47DBE"/>
    <w:rsid w:val="00D50DA9"/>
    <w:rsid w:val="00D51BBA"/>
    <w:rsid w:val="00D521B4"/>
    <w:rsid w:val="00D53E5B"/>
    <w:rsid w:val="00D5446F"/>
    <w:rsid w:val="00D550FF"/>
    <w:rsid w:val="00D55167"/>
    <w:rsid w:val="00D57820"/>
    <w:rsid w:val="00D6078E"/>
    <w:rsid w:val="00D608B5"/>
    <w:rsid w:val="00D617CB"/>
    <w:rsid w:val="00D617CE"/>
    <w:rsid w:val="00D619AD"/>
    <w:rsid w:val="00D62606"/>
    <w:rsid w:val="00D62854"/>
    <w:rsid w:val="00D6355A"/>
    <w:rsid w:val="00D637D5"/>
    <w:rsid w:val="00D63810"/>
    <w:rsid w:val="00D63BEF"/>
    <w:rsid w:val="00D6538C"/>
    <w:rsid w:val="00D654BC"/>
    <w:rsid w:val="00D67943"/>
    <w:rsid w:val="00D70A8D"/>
    <w:rsid w:val="00D70FC9"/>
    <w:rsid w:val="00D72012"/>
    <w:rsid w:val="00D725A3"/>
    <w:rsid w:val="00D72875"/>
    <w:rsid w:val="00D73000"/>
    <w:rsid w:val="00D73778"/>
    <w:rsid w:val="00D74463"/>
    <w:rsid w:val="00D748A4"/>
    <w:rsid w:val="00D7516D"/>
    <w:rsid w:val="00D75605"/>
    <w:rsid w:val="00D75D9D"/>
    <w:rsid w:val="00D7622D"/>
    <w:rsid w:val="00D770F4"/>
    <w:rsid w:val="00D77966"/>
    <w:rsid w:val="00D7798E"/>
    <w:rsid w:val="00D77A75"/>
    <w:rsid w:val="00D77B14"/>
    <w:rsid w:val="00D77C2B"/>
    <w:rsid w:val="00D80A8E"/>
    <w:rsid w:val="00D80B4E"/>
    <w:rsid w:val="00D8216A"/>
    <w:rsid w:val="00D82BEE"/>
    <w:rsid w:val="00D8589E"/>
    <w:rsid w:val="00D8596D"/>
    <w:rsid w:val="00D86339"/>
    <w:rsid w:val="00D86FFE"/>
    <w:rsid w:val="00D87290"/>
    <w:rsid w:val="00D874D4"/>
    <w:rsid w:val="00D87F5E"/>
    <w:rsid w:val="00D9230A"/>
    <w:rsid w:val="00D9240F"/>
    <w:rsid w:val="00D9424B"/>
    <w:rsid w:val="00D94419"/>
    <w:rsid w:val="00D946A7"/>
    <w:rsid w:val="00D95675"/>
    <w:rsid w:val="00DA2358"/>
    <w:rsid w:val="00DA24DE"/>
    <w:rsid w:val="00DA2946"/>
    <w:rsid w:val="00DA2AC2"/>
    <w:rsid w:val="00DA2FF0"/>
    <w:rsid w:val="00DA4B3E"/>
    <w:rsid w:val="00DA4CBE"/>
    <w:rsid w:val="00DA70DD"/>
    <w:rsid w:val="00DA729B"/>
    <w:rsid w:val="00DB24A8"/>
    <w:rsid w:val="00DB4A9C"/>
    <w:rsid w:val="00DB4E7E"/>
    <w:rsid w:val="00DB5B83"/>
    <w:rsid w:val="00DB5C32"/>
    <w:rsid w:val="00DB6037"/>
    <w:rsid w:val="00DB6741"/>
    <w:rsid w:val="00DB7146"/>
    <w:rsid w:val="00DB7908"/>
    <w:rsid w:val="00DB7E20"/>
    <w:rsid w:val="00DC0EA8"/>
    <w:rsid w:val="00DC1308"/>
    <w:rsid w:val="00DC183E"/>
    <w:rsid w:val="00DC3088"/>
    <w:rsid w:val="00DC3B87"/>
    <w:rsid w:val="00DC3EDB"/>
    <w:rsid w:val="00DC706C"/>
    <w:rsid w:val="00DC76F9"/>
    <w:rsid w:val="00DC799C"/>
    <w:rsid w:val="00DC7B53"/>
    <w:rsid w:val="00DD1811"/>
    <w:rsid w:val="00DD1CB1"/>
    <w:rsid w:val="00DD2072"/>
    <w:rsid w:val="00DD3049"/>
    <w:rsid w:val="00DD39D7"/>
    <w:rsid w:val="00DD52B5"/>
    <w:rsid w:val="00DD57A0"/>
    <w:rsid w:val="00DD594B"/>
    <w:rsid w:val="00DD6031"/>
    <w:rsid w:val="00DD6C0A"/>
    <w:rsid w:val="00DD6EC1"/>
    <w:rsid w:val="00DD7A1F"/>
    <w:rsid w:val="00DE060D"/>
    <w:rsid w:val="00DE07A3"/>
    <w:rsid w:val="00DE10D0"/>
    <w:rsid w:val="00DE315D"/>
    <w:rsid w:val="00DE4DAB"/>
    <w:rsid w:val="00DE550D"/>
    <w:rsid w:val="00DE552F"/>
    <w:rsid w:val="00DE5C80"/>
    <w:rsid w:val="00DE7A2B"/>
    <w:rsid w:val="00DF0E36"/>
    <w:rsid w:val="00DF1638"/>
    <w:rsid w:val="00DF1865"/>
    <w:rsid w:val="00DF2498"/>
    <w:rsid w:val="00DF24DC"/>
    <w:rsid w:val="00DF2AD6"/>
    <w:rsid w:val="00DF3A93"/>
    <w:rsid w:val="00DF53D9"/>
    <w:rsid w:val="00DF57D3"/>
    <w:rsid w:val="00DF5DA0"/>
    <w:rsid w:val="00DF64D4"/>
    <w:rsid w:val="00DF6708"/>
    <w:rsid w:val="00DF7174"/>
    <w:rsid w:val="00DF781C"/>
    <w:rsid w:val="00DF7AB0"/>
    <w:rsid w:val="00DF7E27"/>
    <w:rsid w:val="00DF7E47"/>
    <w:rsid w:val="00E01078"/>
    <w:rsid w:val="00E02634"/>
    <w:rsid w:val="00E02780"/>
    <w:rsid w:val="00E02A91"/>
    <w:rsid w:val="00E03DBD"/>
    <w:rsid w:val="00E055C8"/>
    <w:rsid w:val="00E05794"/>
    <w:rsid w:val="00E0589D"/>
    <w:rsid w:val="00E05FD1"/>
    <w:rsid w:val="00E11CD0"/>
    <w:rsid w:val="00E121C7"/>
    <w:rsid w:val="00E136BD"/>
    <w:rsid w:val="00E14635"/>
    <w:rsid w:val="00E167CD"/>
    <w:rsid w:val="00E17A37"/>
    <w:rsid w:val="00E206CB"/>
    <w:rsid w:val="00E210DD"/>
    <w:rsid w:val="00E21340"/>
    <w:rsid w:val="00E22632"/>
    <w:rsid w:val="00E241B7"/>
    <w:rsid w:val="00E2604D"/>
    <w:rsid w:val="00E27093"/>
    <w:rsid w:val="00E279C8"/>
    <w:rsid w:val="00E27FB4"/>
    <w:rsid w:val="00E3161D"/>
    <w:rsid w:val="00E317BF"/>
    <w:rsid w:val="00E32666"/>
    <w:rsid w:val="00E33A5C"/>
    <w:rsid w:val="00E33CAD"/>
    <w:rsid w:val="00E33FD3"/>
    <w:rsid w:val="00E3405F"/>
    <w:rsid w:val="00E35A88"/>
    <w:rsid w:val="00E35D96"/>
    <w:rsid w:val="00E36FD9"/>
    <w:rsid w:val="00E375A1"/>
    <w:rsid w:val="00E37A4D"/>
    <w:rsid w:val="00E40BBF"/>
    <w:rsid w:val="00E41377"/>
    <w:rsid w:val="00E41DFF"/>
    <w:rsid w:val="00E42334"/>
    <w:rsid w:val="00E42D51"/>
    <w:rsid w:val="00E432E6"/>
    <w:rsid w:val="00E44CC8"/>
    <w:rsid w:val="00E44ED6"/>
    <w:rsid w:val="00E45824"/>
    <w:rsid w:val="00E45D70"/>
    <w:rsid w:val="00E461CA"/>
    <w:rsid w:val="00E46638"/>
    <w:rsid w:val="00E4711D"/>
    <w:rsid w:val="00E4774E"/>
    <w:rsid w:val="00E4793B"/>
    <w:rsid w:val="00E47C30"/>
    <w:rsid w:val="00E50456"/>
    <w:rsid w:val="00E507B2"/>
    <w:rsid w:val="00E51783"/>
    <w:rsid w:val="00E519E8"/>
    <w:rsid w:val="00E528B5"/>
    <w:rsid w:val="00E533F3"/>
    <w:rsid w:val="00E5373A"/>
    <w:rsid w:val="00E53835"/>
    <w:rsid w:val="00E540A9"/>
    <w:rsid w:val="00E54ACD"/>
    <w:rsid w:val="00E55306"/>
    <w:rsid w:val="00E553EF"/>
    <w:rsid w:val="00E5568D"/>
    <w:rsid w:val="00E561A1"/>
    <w:rsid w:val="00E60375"/>
    <w:rsid w:val="00E603DD"/>
    <w:rsid w:val="00E6052B"/>
    <w:rsid w:val="00E61A30"/>
    <w:rsid w:val="00E62936"/>
    <w:rsid w:val="00E63149"/>
    <w:rsid w:val="00E63E5C"/>
    <w:rsid w:val="00E64EAB"/>
    <w:rsid w:val="00E663E7"/>
    <w:rsid w:val="00E665EF"/>
    <w:rsid w:val="00E66C2C"/>
    <w:rsid w:val="00E672D4"/>
    <w:rsid w:val="00E67E92"/>
    <w:rsid w:val="00E67EDD"/>
    <w:rsid w:val="00E70231"/>
    <w:rsid w:val="00E7048D"/>
    <w:rsid w:val="00E70524"/>
    <w:rsid w:val="00E70B78"/>
    <w:rsid w:val="00E7195F"/>
    <w:rsid w:val="00E72067"/>
    <w:rsid w:val="00E72EE4"/>
    <w:rsid w:val="00E74256"/>
    <w:rsid w:val="00E74A5C"/>
    <w:rsid w:val="00E755A3"/>
    <w:rsid w:val="00E77475"/>
    <w:rsid w:val="00E77E38"/>
    <w:rsid w:val="00E8034D"/>
    <w:rsid w:val="00E80FA3"/>
    <w:rsid w:val="00E820AF"/>
    <w:rsid w:val="00E83A01"/>
    <w:rsid w:val="00E84510"/>
    <w:rsid w:val="00E85823"/>
    <w:rsid w:val="00E870CC"/>
    <w:rsid w:val="00E87277"/>
    <w:rsid w:val="00E87648"/>
    <w:rsid w:val="00E87966"/>
    <w:rsid w:val="00E87CAA"/>
    <w:rsid w:val="00E9046C"/>
    <w:rsid w:val="00E90D6F"/>
    <w:rsid w:val="00E914D9"/>
    <w:rsid w:val="00E925A6"/>
    <w:rsid w:val="00E93668"/>
    <w:rsid w:val="00E940AA"/>
    <w:rsid w:val="00E940C2"/>
    <w:rsid w:val="00E96637"/>
    <w:rsid w:val="00E96FF1"/>
    <w:rsid w:val="00E975DE"/>
    <w:rsid w:val="00E976A6"/>
    <w:rsid w:val="00E97F63"/>
    <w:rsid w:val="00EA1866"/>
    <w:rsid w:val="00EA1FF8"/>
    <w:rsid w:val="00EA2078"/>
    <w:rsid w:val="00EA2365"/>
    <w:rsid w:val="00EA290F"/>
    <w:rsid w:val="00EA2F95"/>
    <w:rsid w:val="00EA31E7"/>
    <w:rsid w:val="00EA3CED"/>
    <w:rsid w:val="00EA4239"/>
    <w:rsid w:val="00EA47AB"/>
    <w:rsid w:val="00EA548C"/>
    <w:rsid w:val="00EA5AA5"/>
    <w:rsid w:val="00EA60A4"/>
    <w:rsid w:val="00EA7340"/>
    <w:rsid w:val="00EB04F4"/>
    <w:rsid w:val="00EB08D4"/>
    <w:rsid w:val="00EB13EA"/>
    <w:rsid w:val="00EB254E"/>
    <w:rsid w:val="00EB2CC0"/>
    <w:rsid w:val="00EB2E6F"/>
    <w:rsid w:val="00EB3352"/>
    <w:rsid w:val="00EB4303"/>
    <w:rsid w:val="00EB568D"/>
    <w:rsid w:val="00EB5F10"/>
    <w:rsid w:val="00EB662D"/>
    <w:rsid w:val="00EB6654"/>
    <w:rsid w:val="00EB677D"/>
    <w:rsid w:val="00EB6E61"/>
    <w:rsid w:val="00EB7306"/>
    <w:rsid w:val="00EC0033"/>
    <w:rsid w:val="00EC0244"/>
    <w:rsid w:val="00EC122A"/>
    <w:rsid w:val="00EC16B0"/>
    <w:rsid w:val="00EC243F"/>
    <w:rsid w:val="00EC2669"/>
    <w:rsid w:val="00EC2BE5"/>
    <w:rsid w:val="00EC3C14"/>
    <w:rsid w:val="00EC5BEC"/>
    <w:rsid w:val="00EC5F9A"/>
    <w:rsid w:val="00EC6166"/>
    <w:rsid w:val="00EC64CA"/>
    <w:rsid w:val="00ED069A"/>
    <w:rsid w:val="00ED0B2F"/>
    <w:rsid w:val="00ED0F2E"/>
    <w:rsid w:val="00ED23EE"/>
    <w:rsid w:val="00ED4EB6"/>
    <w:rsid w:val="00ED5463"/>
    <w:rsid w:val="00ED5576"/>
    <w:rsid w:val="00ED784D"/>
    <w:rsid w:val="00ED7D97"/>
    <w:rsid w:val="00EE0B0B"/>
    <w:rsid w:val="00EE19C0"/>
    <w:rsid w:val="00EE1A4F"/>
    <w:rsid w:val="00EE1C0E"/>
    <w:rsid w:val="00EE204C"/>
    <w:rsid w:val="00EE222B"/>
    <w:rsid w:val="00EE29F1"/>
    <w:rsid w:val="00EE4EBE"/>
    <w:rsid w:val="00EE5174"/>
    <w:rsid w:val="00EE5219"/>
    <w:rsid w:val="00EE6FAC"/>
    <w:rsid w:val="00EE7CD2"/>
    <w:rsid w:val="00EF139E"/>
    <w:rsid w:val="00EF16E7"/>
    <w:rsid w:val="00EF1D14"/>
    <w:rsid w:val="00EF1F9A"/>
    <w:rsid w:val="00EF2318"/>
    <w:rsid w:val="00EF2472"/>
    <w:rsid w:val="00EF2D27"/>
    <w:rsid w:val="00EF2F0A"/>
    <w:rsid w:val="00EF3B0A"/>
    <w:rsid w:val="00EF45AE"/>
    <w:rsid w:val="00EF69B8"/>
    <w:rsid w:val="00F00BD4"/>
    <w:rsid w:val="00F00F2B"/>
    <w:rsid w:val="00F0129D"/>
    <w:rsid w:val="00F019F2"/>
    <w:rsid w:val="00F022C5"/>
    <w:rsid w:val="00F02A04"/>
    <w:rsid w:val="00F03500"/>
    <w:rsid w:val="00F03DA0"/>
    <w:rsid w:val="00F041EC"/>
    <w:rsid w:val="00F044A4"/>
    <w:rsid w:val="00F04E52"/>
    <w:rsid w:val="00F04F7F"/>
    <w:rsid w:val="00F0502E"/>
    <w:rsid w:val="00F051D8"/>
    <w:rsid w:val="00F05870"/>
    <w:rsid w:val="00F05E13"/>
    <w:rsid w:val="00F07C28"/>
    <w:rsid w:val="00F10326"/>
    <w:rsid w:val="00F1058F"/>
    <w:rsid w:val="00F113D8"/>
    <w:rsid w:val="00F13028"/>
    <w:rsid w:val="00F1412D"/>
    <w:rsid w:val="00F1615C"/>
    <w:rsid w:val="00F16C78"/>
    <w:rsid w:val="00F209CD"/>
    <w:rsid w:val="00F20A5A"/>
    <w:rsid w:val="00F20AD9"/>
    <w:rsid w:val="00F21662"/>
    <w:rsid w:val="00F226FB"/>
    <w:rsid w:val="00F227C7"/>
    <w:rsid w:val="00F22C4B"/>
    <w:rsid w:val="00F23F56"/>
    <w:rsid w:val="00F2464F"/>
    <w:rsid w:val="00F24BC4"/>
    <w:rsid w:val="00F25D6A"/>
    <w:rsid w:val="00F26343"/>
    <w:rsid w:val="00F27143"/>
    <w:rsid w:val="00F3134B"/>
    <w:rsid w:val="00F32374"/>
    <w:rsid w:val="00F32616"/>
    <w:rsid w:val="00F32A7A"/>
    <w:rsid w:val="00F33250"/>
    <w:rsid w:val="00F34784"/>
    <w:rsid w:val="00F36B09"/>
    <w:rsid w:val="00F371C5"/>
    <w:rsid w:val="00F375B5"/>
    <w:rsid w:val="00F377F6"/>
    <w:rsid w:val="00F37952"/>
    <w:rsid w:val="00F37A25"/>
    <w:rsid w:val="00F37D0E"/>
    <w:rsid w:val="00F37DD3"/>
    <w:rsid w:val="00F4057C"/>
    <w:rsid w:val="00F40959"/>
    <w:rsid w:val="00F417AB"/>
    <w:rsid w:val="00F4194B"/>
    <w:rsid w:val="00F41D5E"/>
    <w:rsid w:val="00F42223"/>
    <w:rsid w:val="00F42B2A"/>
    <w:rsid w:val="00F42DAF"/>
    <w:rsid w:val="00F42E34"/>
    <w:rsid w:val="00F4306F"/>
    <w:rsid w:val="00F434D9"/>
    <w:rsid w:val="00F438C3"/>
    <w:rsid w:val="00F43AC2"/>
    <w:rsid w:val="00F45180"/>
    <w:rsid w:val="00F45B5E"/>
    <w:rsid w:val="00F45EB6"/>
    <w:rsid w:val="00F464AF"/>
    <w:rsid w:val="00F46942"/>
    <w:rsid w:val="00F50155"/>
    <w:rsid w:val="00F50D5F"/>
    <w:rsid w:val="00F5169B"/>
    <w:rsid w:val="00F51A47"/>
    <w:rsid w:val="00F54374"/>
    <w:rsid w:val="00F54C03"/>
    <w:rsid w:val="00F55DA6"/>
    <w:rsid w:val="00F55EA5"/>
    <w:rsid w:val="00F5651F"/>
    <w:rsid w:val="00F60190"/>
    <w:rsid w:val="00F60A39"/>
    <w:rsid w:val="00F62F5D"/>
    <w:rsid w:val="00F64132"/>
    <w:rsid w:val="00F6451C"/>
    <w:rsid w:val="00F64EE9"/>
    <w:rsid w:val="00F65066"/>
    <w:rsid w:val="00F67779"/>
    <w:rsid w:val="00F72E8F"/>
    <w:rsid w:val="00F72E9E"/>
    <w:rsid w:val="00F73238"/>
    <w:rsid w:val="00F7406E"/>
    <w:rsid w:val="00F74667"/>
    <w:rsid w:val="00F74A4A"/>
    <w:rsid w:val="00F74A98"/>
    <w:rsid w:val="00F762E2"/>
    <w:rsid w:val="00F7665B"/>
    <w:rsid w:val="00F76AF9"/>
    <w:rsid w:val="00F76F72"/>
    <w:rsid w:val="00F8138B"/>
    <w:rsid w:val="00F82631"/>
    <w:rsid w:val="00F84366"/>
    <w:rsid w:val="00F84DE9"/>
    <w:rsid w:val="00F85A88"/>
    <w:rsid w:val="00F90144"/>
    <w:rsid w:val="00F90275"/>
    <w:rsid w:val="00F910B9"/>
    <w:rsid w:val="00F91E2E"/>
    <w:rsid w:val="00F922D5"/>
    <w:rsid w:val="00F92939"/>
    <w:rsid w:val="00F933F1"/>
    <w:rsid w:val="00F93CC5"/>
    <w:rsid w:val="00F95D43"/>
    <w:rsid w:val="00F95ECF"/>
    <w:rsid w:val="00F95F57"/>
    <w:rsid w:val="00F9668A"/>
    <w:rsid w:val="00F973CD"/>
    <w:rsid w:val="00F97966"/>
    <w:rsid w:val="00FA0A68"/>
    <w:rsid w:val="00FA16EE"/>
    <w:rsid w:val="00FA1762"/>
    <w:rsid w:val="00FA17A6"/>
    <w:rsid w:val="00FA1A9B"/>
    <w:rsid w:val="00FA2691"/>
    <w:rsid w:val="00FA32A1"/>
    <w:rsid w:val="00FA3827"/>
    <w:rsid w:val="00FA3E28"/>
    <w:rsid w:val="00FA49E2"/>
    <w:rsid w:val="00FA4F3B"/>
    <w:rsid w:val="00FA5097"/>
    <w:rsid w:val="00FA5190"/>
    <w:rsid w:val="00FA5498"/>
    <w:rsid w:val="00FA59C3"/>
    <w:rsid w:val="00FA6FD3"/>
    <w:rsid w:val="00FA7C5F"/>
    <w:rsid w:val="00FB0018"/>
    <w:rsid w:val="00FB02AC"/>
    <w:rsid w:val="00FB083C"/>
    <w:rsid w:val="00FB09C3"/>
    <w:rsid w:val="00FB0B73"/>
    <w:rsid w:val="00FB1E37"/>
    <w:rsid w:val="00FB1E68"/>
    <w:rsid w:val="00FB2658"/>
    <w:rsid w:val="00FB2BBB"/>
    <w:rsid w:val="00FB3936"/>
    <w:rsid w:val="00FB3DD3"/>
    <w:rsid w:val="00FB51DD"/>
    <w:rsid w:val="00FB6102"/>
    <w:rsid w:val="00FB79BB"/>
    <w:rsid w:val="00FC01C0"/>
    <w:rsid w:val="00FC0240"/>
    <w:rsid w:val="00FC0DC8"/>
    <w:rsid w:val="00FC14F4"/>
    <w:rsid w:val="00FC2083"/>
    <w:rsid w:val="00FC2BF7"/>
    <w:rsid w:val="00FC4335"/>
    <w:rsid w:val="00FC4D1B"/>
    <w:rsid w:val="00FC582B"/>
    <w:rsid w:val="00FC60D7"/>
    <w:rsid w:val="00FC60FC"/>
    <w:rsid w:val="00FC6CB0"/>
    <w:rsid w:val="00FD00D1"/>
    <w:rsid w:val="00FD0629"/>
    <w:rsid w:val="00FD1EC2"/>
    <w:rsid w:val="00FD259E"/>
    <w:rsid w:val="00FD29DB"/>
    <w:rsid w:val="00FD2F6D"/>
    <w:rsid w:val="00FD3A0A"/>
    <w:rsid w:val="00FD3C02"/>
    <w:rsid w:val="00FD45A5"/>
    <w:rsid w:val="00FD4738"/>
    <w:rsid w:val="00FD4BCE"/>
    <w:rsid w:val="00FD64C2"/>
    <w:rsid w:val="00FD6596"/>
    <w:rsid w:val="00FD70F7"/>
    <w:rsid w:val="00FD725F"/>
    <w:rsid w:val="00FD7465"/>
    <w:rsid w:val="00FD758A"/>
    <w:rsid w:val="00FE0C8F"/>
    <w:rsid w:val="00FE28EE"/>
    <w:rsid w:val="00FE2D1C"/>
    <w:rsid w:val="00FE3AC0"/>
    <w:rsid w:val="00FE4236"/>
    <w:rsid w:val="00FE4E0B"/>
    <w:rsid w:val="00FE50B3"/>
    <w:rsid w:val="00FE5C5D"/>
    <w:rsid w:val="00FE60F5"/>
    <w:rsid w:val="00FE69DC"/>
    <w:rsid w:val="00FE7141"/>
    <w:rsid w:val="00FE7995"/>
    <w:rsid w:val="00FF0502"/>
    <w:rsid w:val="00FF0595"/>
    <w:rsid w:val="00FF2998"/>
    <w:rsid w:val="00FF3D55"/>
    <w:rsid w:val="00FF4A14"/>
    <w:rsid w:val="00FF4B50"/>
    <w:rsid w:val="00FF61C4"/>
    <w:rsid w:val="00FF6D61"/>
    <w:rsid w:val="02BF41B9"/>
    <w:rsid w:val="02FC4695"/>
    <w:rsid w:val="030E2C52"/>
    <w:rsid w:val="03FB437B"/>
    <w:rsid w:val="04173C15"/>
    <w:rsid w:val="047F0AB8"/>
    <w:rsid w:val="04FA630F"/>
    <w:rsid w:val="053630CF"/>
    <w:rsid w:val="05483D35"/>
    <w:rsid w:val="05E26896"/>
    <w:rsid w:val="06280E47"/>
    <w:rsid w:val="0705076E"/>
    <w:rsid w:val="0772EACB"/>
    <w:rsid w:val="080E3CE6"/>
    <w:rsid w:val="08461BD8"/>
    <w:rsid w:val="0970575E"/>
    <w:rsid w:val="09AA3B97"/>
    <w:rsid w:val="0A275200"/>
    <w:rsid w:val="0A300C32"/>
    <w:rsid w:val="0A3856D8"/>
    <w:rsid w:val="0A3B4E77"/>
    <w:rsid w:val="0AF136BA"/>
    <w:rsid w:val="0B5D32FA"/>
    <w:rsid w:val="0B6A456D"/>
    <w:rsid w:val="0C07036C"/>
    <w:rsid w:val="0C292109"/>
    <w:rsid w:val="0CC8433F"/>
    <w:rsid w:val="0D790A02"/>
    <w:rsid w:val="0D9E2912"/>
    <w:rsid w:val="0E0E0A3F"/>
    <w:rsid w:val="0EC77624"/>
    <w:rsid w:val="0F567C2D"/>
    <w:rsid w:val="1051519C"/>
    <w:rsid w:val="105A2DB2"/>
    <w:rsid w:val="10EB38BD"/>
    <w:rsid w:val="10FD5DA3"/>
    <w:rsid w:val="124F2134"/>
    <w:rsid w:val="12551DFB"/>
    <w:rsid w:val="12656560"/>
    <w:rsid w:val="12B75A95"/>
    <w:rsid w:val="12ED27AD"/>
    <w:rsid w:val="133D6436"/>
    <w:rsid w:val="134C3338"/>
    <w:rsid w:val="13CD114C"/>
    <w:rsid w:val="14616A02"/>
    <w:rsid w:val="14647E42"/>
    <w:rsid w:val="155907E3"/>
    <w:rsid w:val="15EC3BFB"/>
    <w:rsid w:val="16CE3B9A"/>
    <w:rsid w:val="16F7311C"/>
    <w:rsid w:val="17813E84"/>
    <w:rsid w:val="17EC7569"/>
    <w:rsid w:val="180A190A"/>
    <w:rsid w:val="18321E84"/>
    <w:rsid w:val="194B6E2D"/>
    <w:rsid w:val="195E039E"/>
    <w:rsid w:val="19DF2911"/>
    <w:rsid w:val="1A0B155B"/>
    <w:rsid w:val="1AB564EF"/>
    <w:rsid w:val="1B5C682F"/>
    <w:rsid w:val="1B7D1DFE"/>
    <w:rsid w:val="1B7EE1D2"/>
    <w:rsid w:val="1B7F428C"/>
    <w:rsid w:val="1B92360F"/>
    <w:rsid w:val="1C8E592B"/>
    <w:rsid w:val="1E571078"/>
    <w:rsid w:val="1E871D6D"/>
    <w:rsid w:val="1EA23A68"/>
    <w:rsid w:val="1EA56CF8"/>
    <w:rsid w:val="1F201B03"/>
    <w:rsid w:val="1FD06F85"/>
    <w:rsid w:val="1FFBF515"/>
    <w:rsid w:val="20615F71"/>
    <w:rsid w:val="21440D53"/>
    <w:rsid w:val="215057E5"/>
    <w:rsid w:val="217C2EA7"/>
    <w:rsid w:val="22CC01FD"/>
    <w:rsid w:val="233C0D30"/>
    <w:rsid w:val="23F0618F"/>
    <w:rsid w:val="24B02295"/>
    <w:rsid w:val="24F8090A"/>
    <w:rsid w:val="2560772E"/>
    <w:rsid w:val="26503BE4"/>
    <w:rsid w:val="27535E5C"/>
    <w:rsid w:val="2756113B"/>
    <w:rsid w:val="27592C1D"/>
    <w:rsid w:val="27C806B1"/>
    <w:rsid w:val="28C90F60"/>
    <w:rsid w:val="291D4830"/>
    <w:rsid w:val="29CD0D65"/>
    <w:rsid w:val="2A055515"/>
    <w:rsid w:val="2B2208E7"/>
    <w:rsid w:val="2B5E6B61"/>
    <w:rsid w:val="2CB03B8A"/>
    <w:rsid w:val="2CEE2469"/>
    <w:rsid w:val="2D342693"/>
    <w:rsid w:val="2DE26EB0"/>
    <w:rsid w:val="2E1A38D2"/>
    <w:rsid w:val="2EFFF877"/>
    <w:rsid w:val="2FB170E9"/>
    <w:rsid w:val="2FFD7EFB"/>
    <w:rsid w:val="300D68CB"/>
    <w:rsid w:val="307D7EE4"/>
    <w:rsid w:val="307E02D2"/>
    <w:rsid w:val="30A45A38"/>
    <w:rsid w:val="31A15BC1"/>
    <w:rsid w:val="31FF600D"/>
    <w:rsid w:val="32076182"/>
    <w:rsid w:val="325A516F"/>
    <w:rsid w:val="326F4919"/>
    <w:rsid w:val="33DB0344"/>
    <w:rsid w:val="35567BE2"/>
    <w:rsid w:val="35E4095F"/>
    <w:rsid w:val="3633089A"/>
    <w:rsid w:val="368E6B8F"/>
    <w:rsid w:val="36A971B1"/>
    <w:rsid w:val="36CC20C3"/>
    <w:rsid w:val="374751BB"/>
    <w:rsid w:val="37FD398B"/>
    <w:rsid w:val="38880667"/>
    <w:rsid w:val="38F01856"/>
    <w:rsid w:val="39043A58"/>
    <w:rsid w:val="39FC9256"/>
    <w:rsid w:val="3A3C2235"/>
    <w:rsid w:val="3AB1EE37"/>
    <w:rsid w:val="3B5D04FB"/>
    <w:rsid w:val="3B8775DD"/>
    <w:rsid w:val="3BF5AB81"/>
    <w:rsid w:val="3C183E2C"/>
    <w:rsid w:val="3CC970F7"/>
    <w:rsid w:val="3D3712FA"/>
    <w:rsid w:val="3D4666C1"/>
    <w:rsid w:val="3D4C2BA5"/>
    <w:rsid w:val="3DFF21D6"/>
    <w:rsid w:val="3E891B0C"/>
    <w:rsid w:val="3EB7C2E7"/>
    <w:rsid w:val="3F47204B"/>
    <w:rsid w:val="3F5678FE"/>
    <w:rsid w:val="3FB664B0"/>
    <w:rsid w:val="3FBA7437"/>
    <w:rsid w:val="3FDF469D"/>
    <w:rsid w:val="4044184A"/>
    <w:rsid w:val="407267A7"/>
    <w:rsid w:val="41072671"/>
    <w:rsid w:val="4200715B"/>
    <w:rsid w:val="4310227F"/>
    <w:rsid w:val="441E7A68"/>
    <w:rsid w:val="449147D1"/>
    <w:rsid w:val="44A8713F"/>
    <w:rsid w:val="44E337E1"/>
    <w:rsid w:val="44F41EA9"/>
    <w:rsid w:val="45433782"/>
    <w:rsid w:val="463E1F34"/>
    <w:rsid w:val="471A07AB"/>
    <w:rsid w:val="47594EFA"/>
    <w:rsid w:val="47F2440D"/>
    <w:rsid w:val="481079AC"/>
    <w:rsid w:val="48652D29"/>
    <w:rsid w:val="49DE0D55"/>
    <w:rsid w:val="4AFD0C10"/>
    <w:rsid w:val="4C2108F2"/>
    <w:rsid w:val="4C6E355A"/>
    <w:rsid w:val="4D373603"/>
    <w:rsid w:val="4D41037F"/>
    <w:rsid w:val="4E00253A"/>
    <w:rsid w:val="4E087FAC"/>
    <w:rsid w:val="4EF06BD9"/>
    <w:rsid w:val="4F426569"/>
    <w:rsid w:val="4F5C4304"/>
    <w:rsid w:val="4FBF42B7"/>
    <w:rsid w:val="4FFE16F3"/>
    <w:rsid w:val="504F170B"/>
    <w:rsid w:val="50771D6E"/>
    <w:rsid w:val="510C23D3"/>
    <w:rsid w:val="511354DF"/>
    <w:rsid w:val="519E168F"/>
    <w:rsid w:val="538E6A5A"/>
    <w:rsid w:val="548752C4"/>
    <w:rsid w:val="551D4318"/>
    <w:rsid w:val="556F6100"/>
    <w:rsid w:val="55740AA2"/>
    <w:rsid w:val="560212A2"/>
    <w:rsid w:val="56292A53"/>
    <w:rsid w:val="568B3C27"/>
    <w:rsid w:val="56DE5785"/>
    <w:rsid w:val="57FFA9FA"/>
    <w:rsid w:val="5854298F"/>
    <w:rsid w:val="58775880"/>
    <w:rsid w:val="58D70B91"/>
    <w:rsid w:val="596B0C0E"/>
    <w:rsid w:val="59C239CE"/>
    <w:rsid w:val="59CE7133"/>
    <w:rsid w:val="5A8E2709"/>
    <w:rsid w:val="5ACD0080"/>
    <w:rsid w:val="5AD002E5"/>
    <w:rsid w:val="5B5A7E4E"/>
    <w:rsid w:val="5B5C68C7"/>
    <w:rsid w:val="5BA25E31"/>
    <w:rsid w:val="5C3F09A7"/>
    <w:rsid w:val="5C9B0E33"/>
    <w:rsid w:val="5CCE7403"/>
    <w:rsid w:val="5D746E2D"/>
    <w:rsid w:val="5D7A527F"/>
    <w:rsid w:val="5DDD1045"/>
    <w:rsid w:val="5DED289E"/>
    <w:rsid w:val="5DFF147A"/>
    <w:rsid w:val="5E466436"/>
    <w:rsid w:val="5E6724F9"/>
    <w:rsid w:val="5E9FC65D"/>
    <w:rsid w:val="5EBB7B2C"/>
    <w:rsid w:val="5EEF8925"/>
    <w:rsid w:val="5F3AE809"/>
    <w:rsid w:val="5F4F5B0D"/>
    <w:rsid w:val="5F8A4B04"/>
    <w:rsid w:val="5FB4217D"/>
    <w:rsid w:val="5FEF9069"/>
    <w:rsid w:val="5FF96E01"/>
    <w:rsid w:val="60644402"/>
    <w:rsid w:val="60CC3F89"/>
    <w:rsid w:val="61133A62"/>
    <w:rsid w:val="61560161"/>
    <w:rsid w:val="61765A44"/>
    <w:rsid w:val="61AA25D1"/>
    <w:rsid w:val="61C9587A"/>
    <w:rsid w:val="62022A9F"/>
    <w:rsid w:val="62571977"/>
    <w:rsid w:val="62DC1541"/>
    <w:rsid w:val="634D6C97"/>
    <w:rsid w:val="635FFB3B"/>
    <w:rsid w:val="637D5973"/>
    <w:rsid w:val="63D6558A"/>
    <w:rsid w:val="6522739D"/>
    <w:rsid w:val="652A037D"/>
    <w:rsid w:val="65B2526C"/>
    <w:rsid w:val="65F60104"/>
    <w:rsid w:val="664B6BA4"/>
    <w:rsid w:val="66793AAE"/>
    <w:rsid w:val="66B36BC1"/>
    <w:rsid w:val="66F010D5"/>
    <w:rsid w:val="671A1F5A"/>
    <w:rsid w:val="6759048E"/>
    <w:rsid w:val="67D93A92"/>
    <w:rsid w:val="68061795"/>
    <w:rsid w:val="6829226C"/>
    <w:rsid w:val="692F29C3"/>
    <w:rsid w:val="6961564E"/>
    <w:rsid w:val="69843B78"/>
    <w:rsid w:val="69BF9186"/>
    <w:rsid w:val="69D875B4"/>
    <w:rsid w:val="69FB4099"/>
    <w:rsid w:val="6A9D0441"/>
    <w:rsid w:val="6AAC5627"/>
    <w:rsid w:val="6B2D3B8A"/>
    <w:rsid w:val="6C6D714E"/>
    <w:rsid w:val="6D060452"/>
    <w:rsid w:val="6D191862"/>
    <w:rsid w:val="6D2C451B"/>
    <w:rsid w:val="6DDBBC87"/>
    <w:rsid w:val="6DFEEE9D"/>
    <w:rsid w:val="6E0D6D3F"/>
    <w:rsid w:val="6E365E81"/>
    <w:rsid w:val="6E7A8729"/>
    <w:rsid w:val="6E912340"/>
    <w:rsid w:val="6F2150C5"/>
    <w:rsid w:val="6F23301A"/>
    <w:rsid w:val="6F5FB5BB"/>
    <w:rsid w:val="6F782E47"/>
    <w:rsid w:val="6FB7E436"/>
    <w:rsid w:val="6FDE9DE9"/>
    <w:rsid w:val="6FED4846"/>
    <w:rsid w:val="6FFD1B41"/>
    <w:rsid w:val="6FFF35F4"/>
    <w:rsid w:val="70250A28"/>
    <w:rsid w:val="70324649"/>
    <w:rsid w:val="70541E83"/>
    <w:rsid w:val="70F75A45"/>
    <w:rsid w:val="71031833"/>
    <w:rsid w:val="71F93EC2"/>
    <w:rsid w:val="7201358B"/>
    <w:rsid w:val="720D5D7C"/>
    <w:rsid w:val="72352C97"/>
    <w:rsid w:val="736D10C6"/>
    <w:rsid w:val="73BB355F"/>
    <w:rsid w:val="73E5BDE2"/>
    <w:rsid w:val="73F71DE9"/>
    <w:rsid w:val="741F6B3E"/>
    <w:rsid w:val="741F6B82"/>
    <w:rsid w:val="746A63CC"/>
    <w:rsid w:val="746E6602"/>
    <w:rsid w:val="74B527E2"/>
    <w:rsid w:val="755A47B0"/>
    <w:rsid w:val="757BC3BB"/>
    <w:rsid w:val="75D01CD0"/>
    <w:rsid w:val="76FF3B6F"/>
    <w:rsid w:val="776EDB99"/>
    <w:rsid w:val="77B6AC7B"/>
    <w:rsid w:val="77DE9D2F"/>
    <w:rsid w:val="77F72BC3"/>
    <w:rsid w:val="77F7710A"/>
    <w:rsid w:val="77FDE3BA"/>
    <w:rsid w:val="77FF2D81"/>
    <w:rsid w:val="78112729"/>
    <w:rsid w:val="787DF291"/>
    <w:rsid w:val="79C44EB1"/>
    <w:rsid w:val="7A141938"/>
    <w:rsid w:val="7AAF4B56"/>
    <w:rsid w:val="7AC062BA"/>
    <w:rsid w:val="7B294B88"/>
    <w:rsid w:val="7B37C411"/>
    <w:rsid w:val="7BB64D3E"/>
    <w:rsid w:val="7BDFBEC9"/>
    <w:rsid w:val="7BE5EF54"/>
    <w:rsid w:val="7BF97640"/>
    <w:rsid w:val="7BFDCCDF"/>
    <w:rsid w:val="7C3A25C2"/>
    <w:rsid w:val="7CFA8D42"/>
    <w:rsid w:val="7CFB8F63"/>
    <w:rsid w:val="7D054749"/>
    <w:rsid w:val="7D35214E"/>
    <w:rsid w:val="7D811AA7"/>
    <w:rsid w:val="7D9F8298"/>
    <w:rsid w:val="7DFD42B2"/>
    <w:rsid w:val="7DFF7565"/>
    <w:rsid w:val="7E3C39B7"/>
    <w:rsid w:val="7E493DC6"/>
    <w:rsid w:val="7F2EA75B"/>
    <w:rsid w:val="7F3E9CBE"/>
    <w:rsid w:val="7F5F463B"/>
    <w:rsid w:val="7FBB4BCD"/>
    <w:rsid w:val="7FCC559D"/>
    <w:rsid w:val="7FCDCD64"/>
    <w:rsid w:val="7FDA1A25"/>
    <w:rsid w:val="7FDF6D8C"/>
    <w:rsid w:val="7FDF95C8"/>
    <w:rsid w:val="7FE7227F"/>
    <w:rsid w:val="7FEF67DD"/>
    <w:rsid w:val="7FFB43E2"/>
    <w:rsid w:val="7FFF3CE3"/>
    <w:rsid w:val="88BF3EBA"/>
    <w:rsid w:val="9BDF3794"/>
    <w:rsid w:val="9BFF441F"/>
    <w:rsid w:val="9D53AA58"/>
    <w:rsid w:val="9EEFE3C7"/>
    <w:rsid w:val="9FFFA5F1"/>
    <w:rsid w:val="A4DE03A1"/>
    <w:rsid w:val="A7F1CF36"/>
    <w:rsid w:val="AAAF6525"/>
    <w:rsid w:val="AB989357"/>
    <w:rsid w:val="AEFF292F"/>
    <w:rsid w:val="AF5D1F68"/>
    <w:rsid w:val="AFF10508"/>
    <w:rsid w:val="B6FF5A19"/>
    <w:rsid w:val="B79F3A77"/>
    <w:rsid w:val="B8FFCCA7"/>
    <w:rsid w:val="BAFA3959"/>
    <w:rsid w:val="BBBFFDD9"/>
    <w:rsid w:val="BBFD306D"/>
    <w:rsid w:val="BBFDABA7"/>
    <w:rsid w:val="BBFF461E"/>
    <w:rsid w:val="BD7D0071"/>
    <w:rsid w:val="BEEFA8C4"/>
    <w:rsid w:val="BF1FD093"/>
    <w:rsid w:val="BFAFEAC4"/>
    <w:rsid w:val="BFF5DE9B"/>
    <w:rsid w:val="BFF7A4BD"/>
    <w:rsid w:val="BFF7A7BD"/>
    <w:rsid w:val="CA37915C"/>
    <w:rsid w:val="CAFFF8ED"/>
    <w:rsid w:val="CE5322D3"/>
    <w:rsid w:val="D53F2D21"/>
    <w:rsid w:val="D5FF3CF6"/>
    <w:rsid w:val="D77F2F8C"/>
    <w:rsid w:val="DABF4471"/>
    <w:rsid w:val="DAF87D94"/>
    <w:rsid w:val="DEBB5D37"/>
    <w:rsid w:val="DEEEA770"/>
    <w:rsid w:val="DF47E6CA"/>
    <w:rsid w:val="DFCB3EB4"/>
    <w:rsid w:val="DFD768F6"/>
    <w:rsid w:val="DFFB7B48"/>
    <w:rsid w:val="E35FB77C"/>
    <w:rsid w:val="E3B93D75"/>
    <w:rsid w:val="E7E920F6"/>
    <w:rsid w:val="E9FB7E58"/>
    <w:rsid w:val="EB37C2CC"/>
    <w:rsid w:val="EDFC3100"/>
    <w:rsid w:val="EF2D5F45"/>
    <w:rsid w:val="EFF5D11A"/>
    <w:rsid w:val="EFFD01BA"/>
    <w:rsid w:val="EFFD451E"/>
    <w:rsid w:val="F16798A7"/>
    <w:rsid w:val="F2F757B2"/>
    <w:rsid w:val="F3FB2C5F"/>
    <w:rsid w:val="F53B3178"/>
    <w:rsid w:val="F5FB1989"/>
    <w:rsid w:val="F776ED6D"/>
    <w:rsid w:val="F7DFAC52"/>
    <w:rsid w:val="F7EF5E13"/>
    <w:rsid w:val="F7FD5DCA"/>
    <w:rsid w:val="F9DEFE5C"/>
    <w:rsid w:val="FAEF0256"/>
    <w:rsid w:val="FB3F266F"/>
    <w:rsid w:val="FB93F87A"/>
    <w:rsid w:val="FBC7D330"/>
    <w:rsid w:val="FBCF3E3E"/>
    <w:rsid w:val="FCB16D6B"/>
    <w:rsid w:val="FDBDDCCB"/>
    <w:rsid w:val="FEFFDFC7"/>
    <w:rsid w:val="FEFFE498"/>
    <w:rsid w:val="FF5FDF50"/>
    <w:rsid w:val="FF65C700"/>
    <w:rsid w:val="FFBFFF54"/>
    <w:rsid w:val="FFFBFE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0" w:lineRule="exact"/>
      <w:ind w:firstLine="200" w:firstLineChars="200"/>
      <w:jc w:val="both"/>
    </w:pPr>
    <w:rPr>
      <w:rFonts w:ascii="仿宋_GB2312" w:hAnsi="Times New Roman" w:eastAsia="仿宋_GB2312" w:cs="Times New Roman"/>
      <w:spacing w:val="-3"/>
      <w:kern w:val="21"/>
      <w:sz w:val="32"/>
      <w:lang w:val="en-US" w:eastAsia="zh-CN" w:bidi="ar-SA"/>
    </w:rPr>
  </w:style>
  <w:style w:type="paragraph" w:styleId="4">
    <w:name w:val="heading 3"/>
    <w:basedOn w:val="1"/>
    <w:next w:val="5"/>
    <w:qFormat/>
    <w:uiPriority w:val="0"/>
    <w:pPr>
      <w:keepNext/>
      <w:keepLines/>
      <w:spacing w:before="1000" w:after="400"/>
      <w:jc w:val="center"/>
      <w:outlineLvl w:val="2"/>
    </w:pPr>
    <w:rPr>
      <w:rFonts w:ascii="文鼎小标宋简" w:eastAsia="文鼎小标宋简"/>
      <w:sz w:val="44"/>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25"/>
    <w:qFormat/>
    <w:uiPriority w:val="0"/>
    <w:pPr>
      <w:spacing w:after="120"/>
      <w:ind w:firstLine="420" w:firstLineChars="100"/>
    </w:pPr>
  </w:style>
  <w:style w:type="paragraph" w:styleId="3">
    <w:name w:val="Body Text"/>
    <w:basedOn w:val="1"/>
    <w:qFormat/>
    <w:uiPriority w:val="0"/>
  </w:style>
  <w:style w:type="paragraph" w:styleId="5">
    <w:name w:val="Normal Indent"/>
    <w:basedOn w:val="1"/>
    <w:qFormat/>
    <w:uiPriority w:val="0"/>
    <w:pPr>
      <w:ind w:firstLine="420"/>
    </w:pPr>
  </w:style>
  <w:style w:type="paragraph" w:styleId="6">
    <w:name w:val="Body Text Indent"/>
    <w:basedOn w:val="1"/>
    <w:qFormat/>
    <w:uiPriority w:val="0"/>
    <w:pPr>
      <w:snapToGrid w:val="0"/>
      <w:spacing w:line="540" w:lineRule="atLeast"/>
      <w:ind w:firstLine="624"/>
    </w:pPr>
    <w:rPr>
      <w:rFonts w:hint="eastAsia" w:hAnsi="宋体"/>
    </w:rPr>
  </w:style>
  <w:style w:type="paragraph" w:styleId="7">
    <w:name w:val="Date"/>
    <w:basedOn w:val="1"/>
    <w:next w:val="1"/>
    <w:qFormat/>
    <w:uiPriority w:val="0"/>
    <w:pPr>
      <w:ind w:left="100" w:leftChars="2500"/>
    </w:pPr>
  </w:style>
  <w:style w:type="paragraph" w:styleId="8">
    <w:name w:val="Body Text Indent 2"/>
    <w:basedOn w:val="1"/>
    <w:qFormat/>
    <w:uiPriority w:val="0"/>
    <w:pPr>
      <w:ind w:firstLine="640"/>
    </w:pPr>
  </w:style>
  <w:style w:type="paragraph" w:styleId="9">
    <w:name w:val="Balloon Text"/>
    <w:basedOn w:val="1"/>
    <w:semiHidden/>
    <w:qFormat/>
    <w:uiPriority w:val="0"/>
    <w:rPr>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spacing w:line="580" w:lineRule="exact"/>
      <w:ind w:firstLine="628"/>
    </w:pPr>
  </w:style>
  <w:style w:type="paragraph" w:styleId="13">
    <w:name w:val="Normal (Web)"/>
    <w:basedOn w:val="1"/>
    <w:qFormat/>
    <w:uiPriority w:val="99"/>
    <w:pPr>
      <w:widowControl/>
      <w:spacing w:before="100" w:beforeAutospacing="1" w:after="100" w:afterAutospacing="1" w:line="240" w:lineRule="auto"/>
      <w:ind w:firstLine="0" w:firstLineChars="0"/>
      <w:jc w:val="left"/>
    </w:pPr>
    <w:rPr>
      <w:rFonts w:ascii="宋体" w:hAnsi="宋体" w:eastAsia="宋体" w:cs="宋体"/>
      <w:spacing w:val="0"/>
      <w:kern w:val="0"/>
      <w:sz w:val="24"/>
      <w:szCs w:val="24"/>
    </w:rPr>
  </w:style>
  <w:style w:type="character" w:styleId="16">
    <w:name w:val="Strong"/>
    <w:basedOn w:val="15"/>
    <w:qFormat/>
    <w:uiPriority w:val="22"/>
    <w:rPr>
      <w:b/>
      <w:bCs/>
    </w:rPr>
  </w:style>
  <w:style w:type="character" w:styleId="17">
    <w:name w:val="page number"/>
    <w:basedOn w:val="15"/>
    <w:qFormat/>
    <w:uiPriority w:val="0"/>
  </w:style>
  <w:style w:type="paragraph" w:customStyle="1" w:styleId="18">
    <w:name w:val="样式1"/>
    <w:basedOn w:val="1"/>
    <w:qFormat/>
    <w:uiPriority w:val="0"/>
    <w:pPr>
      <w:ind w:firstLine="628"/>
    </w:pPr>
  </w:style>
  <w:style w:type="paragraph" w:customStyle="1" w:styleId="19">
    <w:name w:val="Char Char Char"/>
    <w:basedOn w:val="1"/>
    <w:qFormat/>
    <w:uiPriority w:val="0"/>
    <w:pPr>
      <w:spacing w:line="240" w:lineRule="auto"/>
      <w:ind w:firstLine="0" w:firstLineChars="0"/>
    </w:pPr>
    <w:rPr>
      <w:rFonts w:ascii="Times New Roman" w:eastAsia="宋体"/>
      <w:spacing w:val="0"/>
      <w:kern w:val="2"/>
      <w:sz w:val="21"/>
    </w:rPr>
  </w:style>
  <w:style w:type="paragraph" w:customStyle="1" w:styleId="20">
    <w:name w:val="Char Char Char Char"/>
    <w:basedOn w:val="1"/>
    <w:qFormat/>
    <w:uiPriority w:val="0"/>
    <w:pPr>
      <w:widowControl/>
      <w:spacing w:after="160" w:line="240" w:lineRule="exact"/>
      <w:ind w:firstLine="0" w:firstLineChars="0"/>
      <w:jc w:val="left"/>
    </w:pPr>
    <w:rPr>
      <w:rFonts w:ascii="Arial" w:hAnsi="Arial" w:eastAsia="Times New Roman" w:cs="Verdana"/>
      <w:b/>
      <w:spacing w:val="0"/>
      <w:kern w:val="0"/>
      <w:sz w:val="24"/>
      <w:lang w:eastAsia="en-US"/>
    </w:rPr>
  </w:style>
  <w:style w:type="paragraph" w:customStyle="1" w:styleId="21">
    <w:name w:val="Char"/>
    <w:basedOn w:val="1"/>
    <w:qFormat/>
    <w:uiPriority w:val="0"/>
    <w:pPr>
      <w:spacing w:line="240" w:lineRule="auto"/>
      <w:ind w:firstLine="0" w:firstLineChars="0"/>
    </w:pPr>
    <w:rPr>
      <w:rFonts w:ascii="Times New Roman" w:eastAsia="宋体"/>
      <w:spacing w:val="0"/>
      <w:kern w:val="2"/>
      <w:sz w:val="21"/>
    </w:rPr>
  </w:style>
  <w:style w:type="paragraph" w:customStyle="1" w:styleId="22">
    <w:name w:val="Char Char Char Char Char Char Char Char Char Char"/>
    <w:basedOn w:val="1"/>
    <w:qFormat/>
    <w:uiPriority w:val="0"/>
    <w:pPr>
      <w:widowControl/>
      <w:spacing w:after="160" w:line="240" w:lineRule="exact"/>
      <w:ind w:firstLine="0" w:firstLineChars="0"/>
      <w:jc w:val="left"/>
    </w:pPr>
    <w:rPr>
      <w:rFonts w:ascii="Verdana" w:hAnsi="Verdana"/>
      <w:spacing w:val="0"/>
      <w:kern w:val="0"/>
      <w:sz w:val="24"/>
      <w:lang w:eastAsia="en-US"/>
    </w:rPr>
  </w:style>
  <w:style w:type="paragraph" w:styleId="23">
    <w:name w:val="List Paragraph"/>
    <w:basedOn w:val="1"/>
    <w:qFormat/>
    <w:uiPriority w:val="34"/>
    <w:pPr>
      <w:spacing w:line="240" w:lineRule="auto"/>
      <w:ind w:firstLine="420"/>
    </w:pPr>
    <w:rPr>
      <w:rFonts w:asciiTheme="minorHAnsi" w:hAnsiTheme="minorHAnsi" w:eastAsiaTheme="minorEastAsia" w:cstheme="minorBidi"/>
      <w:spacing w:val="0"/>
      <w:kern w:val="2"/>
      <w:sz w:val="21"/>
      <w:szCs w:val="22"/>
    </w:rPr>
  </w:style>
  <w:style w:type="character" w:customStyle="1" w:styleId="24">
    <w:name w:val="页脚 Char"/>
    <w:basedOn w:val="15"/>
    <w:link w:val="10"/>
    <w:qFormat/>
    <w:uiPriority w:val="99"/>
    <w:rPr>
      <w:rFonts w:ascii="仿宋_GB2312" w:eastAsia="仿宋_GB2312"/>
      <w:spacing w:val="-3"/>
      <w:kern w:val="21"/>
      <w:sz w:val="18"/>
      <w:szCs w:val="18"/>
    </w:rPr>
  </w:style>
  <w:style w:type="character" w:customStyle="1" w:styleId="25">
    <w:name w:val="正文首行缩进 Char"/>
    <w:basedOn w:val="15"/>
    <w:link w:val="2"/>
    <w:qFormat/>
    <w:uiPriority w:val="0"/>
    <w:rPr>
      <w:rFonts w:ascii="仿宋_GB2312" w:eastAsia="仿宋_GB2312"/>
      <w:spacing w:val="-3"/>
      <w:kern w:val="21"/>
      <w:sz w:val="32"/>
    </w:rPr>
  </w:style>
  <w:style w:type="character" w:customStyle="1" w:styleId="26">
    <w:name w:val="页眉 Char"/>
    <w:basedOn w:val="15"/>
    <w:link w:val="11"/>
    <w:qFormat/>
    <w:uiPriority w:val="99"/>
    <w:rPr>
      <w:rFonts w:ascii="仿宋_GB2312" w:eastAsia="仿宋_GB2312"/>
      <w:spacing w:val="-3"/>
      <w:kern w:val="21"/>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1353</Words>
  <Characters>7715</Characters>
  <Lines>64</Lines>
  <Paragraphs>18</Paragraphs>
  <TotalTime>130</TotalTime>
  <ScaleCrop>false</ScaleCrop>
  <LinksUpToDate>false</LinksUpToDate>
  <CharactersWithSpaces>9050</CharactersWithSpaces>
  <Application>WPS Office_11.8.2.10682_F1E327BC-269C-435d-A152-05C5408002CA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2019-11-23T18:39:00Z</dcterms:created>
  <dc:creator>Lenovo User</dc:creator>
  <cp:lastModifiedBy>高静姗</cp:lastModifiedBy>
  <cp:lastPrinted>2020-12-23T10:54:00Z</cp:lastPrinted>
  <dcterms:modified xsi:type="dcterms:W3CDTF">2023-09-06T16:16:10Z</dcterms:modified>
  <dc:title>关于清理基建暂存款的请示</dc:title>
  <cp:revision>4241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2052-11.8.2.10682</vt:lpwstr>
  </property>
</Properties>
</file>