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6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spacing w:line="560" w:lineRule="exact"/>
        <w:jc w:val="center"/>
        <w:rPr>
          <w:rFonts w:hint="eastAsia" w:ascii="方正小标宋简体" w:hAnsi="方正小标宋简体" w:eastAsia="方正小标宋简体" w:cs="方正小标宋简体"/>
          <w:color w:val="auto"/>
          <w:sz w:val="44"/>
          <w:szCs w:val="44"/>
          <w:highlight w:val="none"/>
        </w:rPr>
      </w:pPr>
    </w:p>
    <w:p>
      <w:pPr>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深圳市大鹏新区关于促进制造业高质量</w:t>
      </w:r>
    </w:p>
    <w:p>
      <w:pPr>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发展的若干措施</w:t>
      </w:r>
    </w:p>
    <w:p>
      <w:pPr>
        <w:adjustRightInd w:val="0"/>
        <w:snapToGrid w:val="0"/>
        <w:spacing w:line="560" w:lineRule="exact"/>
        <w:jc w:val="center"/>
        <w:rPr>
          <w:rFonts w:hint="default" w:ascii="仿宋_GB2312" w:eastAsia="仿宋_GB2312"/>
          <w:color w:val="auto"/>
          <w:sz w:val="32"/>
          <w:szCs w:val="32"/>
        </w:rPr>
      </w:pPr>
      <w:r>
        <w:rPr>
          <w:rFonts w:hint="default" w:ascii="仿宋_GB2312" w:eastAsia="仿宋_GB2312"/>
          <w:color w:val="auto"/>
          <w:sz w:val="32"/>
          <w:szCs w:val="32"/>
        </w:rPr>
        <w:t>（征求意见稿）</w:t>
      </w:r>
    </w:p>
    <w:p>
      <w:pPr>
        <w:numPr>
          <w:ilvl w:val="-1"/>
          <w:numId w:val="0"/>
        </w:numPr>
        <w:tabs>
          <w:tab w:val="left" w:pos="0"/>
        </w:tabs>
        <w:spacing w:line="560" w:lineRule="exact"/>
        <w:ind w:left="0" w:firstLine="0" w:firstLineChars="0"/>
        <w:jc w:val="both"/>
        <w:outlineLvl w:val="0"/>
        <w:rPr>
          <w:rFonts w:ascii="黑体" w:hAnsi="黑体" w:eastAsia="黑体" w:cs="黑体"/>
          <w:bCs/>
          <w:color w:val="auto"/>
          <w:kern w:val="44"/>
          <w:sz w:val="32"/>
          <w:szCs w:val="32"/>
          <w:highlight w:val="none"/>
        </w:rPr>
      </w:pPr>
    </w:p>
    <w:p>
      <w:pPr>
        <w:numPr>
          <w:ilvl w:val="-1"/>
          <w:numId w:val="0"/>
        </w:numPr>
        <w:tabs>
          <w:tab w:val="left" w:pos="0"/>
        </w:tabs>
        <w:spacing w:line="560" w:lineRule="exact"/>
        <w:ind w:left="0" w:firstLine="0" w:firstLineChars="0"/>
        <w:jc w:val="center"/>
        <w:outlineLvl w:val="0"/>
        <w:rPr>
          <w:rFonts w:ascii="黑体" w:hAnsi="黑体" w:eastAsia="黑体" w:cs="黑体"/>
          <w:bCs/>
          <w:color w:val="auto"/>
          <w:kern w:val="44"/>
          <w:sz w:val="32"/>
          <w:szCs w:val="32"/>
          <w:highlight w:val="none"/>
        </w:rPr>
      </w:pPr>
      <w:r>
        <w:rPr>
          <w:rFonts w:ascii="黑体" w:hAnsi="黑体" w:eastAsia="黑体" w:cs="黑体"/>
          <w:bCs/>
          <w:color w:val="auto"/>
          <w:kern w:val="44"/>
          <w:sz w:val="32"/>
          <w:szCs w:val="32"/>
          <w:highlight w:val="none"/>
        </w:rPr>
        <w:t>第一章</w:t>
      </w:r>
      <w:r>
        <w:rPr>
          <w:rFonts w:hint="default" w:ascii="黑体" w:hAnsi="黑体" w:eastAsia="黑体" w:cs="黑体"/>
          <w:bCs/>
          <w:color w:val="auto"/>
          <w:kern w:val="44"/>
          <w:sz w:val="32"/>
          <w:szCs w:val="32"/>
          <w:highlight w:val="none"/>
        </w:rPr>
        <w:t xml:space="preserve">  </w:t>
      </w:r>
      <w:r>
        <w:rPr>
          <w:rFonts w:ascii="黑体" w:hAnsi="黑体" w:eastAsia="黑体" w:cs="黑体"/>
          <w:bCs/>
          <w:color w:val="auto"/>
          <w:kern w:val="44"/>
          <w:sz w:val="32"/>
          <w:szCs w:val="32"/>
          <w:highlight w:val="none"/>
        </w:rPr>
        <w:t>总则</w:t>
      </w:r>
    </w:p>
    <w:p>
      <w:pPr>
        <w:numPr>
          <w:ilvl w:val="-1"/>
          <w:numId w:val="0"/>
        </w:numPr>
        <w:tabs>
          <w:tab w:val="left" w:pos="0"/>
        </w:tabs>
        <w:spacing w:line="560" w:lineRule="exact"/>
        <w:ind w:leftChars="0" w:firstLine="640" w:firstLineChars="200"/>
        <w:outlineLvl w:val="1"/>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第一条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为抢抓粤港澳大湾区和深圳建设中国特色社会主义先行示范区“双区驱动”重大历史机遇，推动制造业高质量发展，全面促进新区经济科学发展，根据《深圳市人民政府印发关于推动制造业高质量发展坚定不移打造制造强市若干措施的通知》（深府规〔2021〕1号）、《深圳市人民政府关于印发深圳市市长质量奖管理办法的通知》（深府规〔2019〕5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深圳市人民政府关于加快培育壮大市场主体的实施意见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（深府〔20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号）等相关规定，结合新区实际，制定本措施。</w:t>
      </w:r>
    </w:p>
    <w:p>
      <w:pPr>
        <w:numPr>
          <w:ilvl w:val="-1"/>
          <w:numId w:val="0"/>
        </w:numPr>
        <w:tabs>
          <w:tab w:val="left" w:pos="0"/>
        </w:tabs>
        <w:spacing w:line="560" w:lineRule="exact"/>
        <w:ind w:leftChars="0" w:firstLine="640" w:firstLineChars="200"/>
        <w:outlineLvl w:val="1"/>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第二条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新区科技创新和经济服务部门</w:t>
      </w:r>
      <w:r>
        <w:rPr>
          <w:rFonts w:hint="eastAsia" w:ascii="仿宋_GB2312" w:hAnsi="仿宋_GB2312" w:eastAsia="仿宋_GB2312" w:cs="仿宋_GB2312"/>
          <w:color w:val="auto"/>
          <w:sz w:val="32"/>
          <w:szCs w:val="32"/>
          <w:highlight w:val="none"/>
          <w:lang w:eastAsia="zh-CN"/>
        </w:rPr>
        <w:t>是新区促进制造业高质量发展专项资金的</w:t>
      </w:r>
      <w:r>
        <w:rPr>
          <w:rFonts w:hint="eastAsia" w:ascii="仿宋_GB2312" w:hAnsi="仿宋_GB2312" w:eastAsia="仿宋_GB2312" w:cs="仿宋_GB2312"/>
          <w:color w:val="auto"/>
          <w:sz w:val="32"/>
          <w:szCs w:val="32"/>
          <w:highlight w:val="none"/>
        </w:rPr>
        <w:t>主管部门，按照《深圳市大鹏新区科技创新和产业发展专项资金管理办法》有关规定履行职责。</w:t>
      </w:r>
    </w:p>
    <w:p>
      <w:pPr>
        <w:adjustRightInd w:val="0"/>
        <w:snapToGrid w:val="0"/>
        <w:spacing w:line="560" w:lineRule="exact"/>
        <w:ind w:firstLine="640" w:firstLineChars="200"/>
        <w:rPr>
          <w:rFonts w:hint="default" w:ascii="仿宋_GB2312" w:eastAsia="仿宋_GB2312"/>
          <w:color w:val="auto"/>
          <w:sz w:val="32"/>
          <w:szCs w:val="32"/>
        </w:rPr>
      </w:pPr>
      <w:r>
        <w:rPr>
          <w:rFonts w:hint="eastAsia" w:ascii="黑体" w:hAnsi="黑体" w:eastAsia="黑体" w:cs="黑体"/>
          <w:color w:val="auto"/>
          <w:sz w:val="32"/>
          <w:szCs w:val="32"/>
          <w:highlight w:val="none"/>
        </w:rPr>
        <w:t>第三条</w:t>
      </w:r>
      <w:r>
        <w:rPr>
          <w:rFonts w:hint="default" w:ascii="仿宋_GB2312" w:hAnsi="仿宋_GB2312" w:eastAsia="仿宋_GB2312" w:cs="仿宋_GB2312"/>
          <w:color w:val="auto"/>
          <w:sz w:val="32"/>
          <w:szCs w:val="32"/>
          <w:highlight w:val="none"/>
        </w:rPr>
        <w:t xml:space="preserve">  </w:t>
      </w:r>
      <w:r>
        <w:rPr>
          <w:rFonts w:hint="eastAsia" w:ascii="仿宋_GB2312" w:hAnsi="Arial" w:eastAsia="仿宋_GB2312" w:cs="Arial"/>
          <w:color w:val="auto"/>
          <w:sz w:val="32"/>
          <w:szCs w:val="32"/>
          <w:u w:val="none"/>
        </w:rPr>
        <w:t>本措施</w:t>
      </w:r>
      <w:r>
        <w:rPr>
          <w:rFonts w:hint="eastAsia" w:ascii="仿宋_GB2312" w:hAnsi="Arial" w:eastAsia="仿宋_GB2312" w:cs="Arial"/>
          <w:color w:val="auto"/>
          <w:sz w:val="32"/>
          <w:szCs w:val="32"/>
          <w:u w:val="none"/>
          <w:lang w:eastAsia="zh-CN"/>
        </w:rPr>
        <w:t>主要</w:t>
      </w:r>
      <w:r>
        <w:rPr>
          <w:rFonts w:hint="default" w:ascii="仿宋_GB2312" w:eastAsia="仿宋_GB2312"/>
          <w:color w:val="auto"/>
          <w:sz w:val="32"/>
          <w:szCs w:val="32"/>
        </w:rPr>
        <w:t>聚焦</w:t>
      </w:r>
      <w:r>
        <w:rPr>
          <w:rFonts w:hint="eastAsia" w:ascii="仿宋_GB2312" w:eastAsia="仿宋_GB2312"/>
          <w:color w:val="auto"/>
          <w:sz w:val="32"/>
          <w:szCs w:val="32"/>
          <w:lang w:eastAsia="zh-CN"/>
        </w:rPr>
        <w:t>“</w:t>
      </w:r>
      <w:r>
        <w:rPr>
          <w:rFonts w:hint="default" w:ascii="仿宋_GB2312" w:eastAsia="仿宋_GB2312"/>
          <w:color w:val="auto"/>
          <w:sz w:val="32"/>
          <w:szCs w:val="32"/>
        </w:rPr>
        <w:t>20+8</w:t>
      </w:r>
      <w:r>
        <w:rPr>
          <w:rFonts w:hint="eastAsia" w:ascii="仿宋_GB2312" w:eastAsia="仿宋_GB2312"/>
          <w:color w:val="auto"/>
          <w:sz w:val="32"/>
          <w:szCs w:val="32"/>
          <w:lang w:eastAsia="zh-CN"/>
        </w:rPr>
        <w:t>”</w:t>
      </w:r>
      <w:r>
        <w:rPr>
          <w:rFonts w:hint="default" w:ascii="仿宋_GB2312" w:eastAsia="仿宋_GB2312"/>
          <w:color w:val="auto"/>
          <w:sz w:val="32"/>
          <w:szCs w:val="32"/>
        </w:rPr>
        <w:t>战略性新兴产业集群和未来产业，</w:t>
      </w:r>
      <w:r>
        <w:rPr>
          <w:rFonts w:hint="eastAsia" w:ascii="仿宋_GB2312" w:eastAsia="仿宋_GB2312"/>
          <w:color w:val="auto"/>
          <w:sz w:val="32"/>
          <w:szCs w:val="32"/>
        </w:rPr>
        <w:t>用于</w:t>
      </w:r>
      <w:r>
        <w:rPr>
          <w:rFonts w:hint="default" w:ascii="仿宋_GB2312" w:eastAsia="仿宋_GB2312"/>
          <w:color w:val="auto"/>
          <w:sz w:val="32"/>
          <w:szCs w:val="32"/>
        </w:rPr>
        <w:t>推动</w:t>
      </w:r>
      <w:r>
        <w:rPr>
          <w:rFonts w:hint="default" w:ascii="仿宋_GB2312" w:hAnsi="仿宋_GB2312" w:eastAsia="仿宋_GB2312" w:cs="仿宋_GB2312"/>
          <w:color w:val="auto"/>
          <w:sz w:val="32"/>
          <w:szCs w:val="32"/>
          <w:lang w:eastAsia="zh-CN"/>
        </w:rPr>
        <w:t>新区高质量发展，促进新区制造业稳步提升，重点支持</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专精特新</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等新区企业</w:t>
      </w:r>
      <w:r>
        <w:rPr>
          <w:rFonts w:hint="eastAsia" w:ascii="仿宋_GB2312" w:hAnsi="仿宋_GB2312" w:eastAsia="仿宋_GB2312" w:cs="仿宋_GB2312"/>
          <w:color w:val="auto"/>
          <w:sz w:val="32"/>
          <w:szCs w:val="32"/>
          <w:lang w:eastAsia="zh-CN"/>
        </w:rPr>
        <w:t>。</w:t>
      </w:r>
    </w:p>
    <w:p>
      <w:pPr>
        <w:keepNext w:val="0"/>
        <w:keepLines w:val="0"/>
        <w:pageBreakBefore w:val="0"/>
        <w:numPr>
          <w:ilvl w:val="-1"/>
          <w:numId w:val="0"/>
        </w:numPr>
        <w:kinsoku/>
        <w:wordWrap/>
        <w:overflowPunct/>
        <w:topLinePunct w:val="0"/>
        <w:autoSpaceDE/>
        <w:autoSpaceDN/>
        <w:bidi w:val="0"/>
        <w:adjustRightInd w:val="0"/>
        <w:snapToGrid w:val="0"/>
        <w:spacing w:line="560" w:lineRule="exact"/>
        <w:ind w:left="0" w:firstLine="640" w:firstLineChars="200"/>
        <w:textAlignment w:val="auto"/>
        <w:rPr>
          <w:rFonts w:ascii="仿宋_GB2312" w:hAnsi="Arial" w:eastAsia="仿宋_GB2312" w:cs="Arial"/>
          <w:color w:val="auto"/>
          <w:sz w:val="32"/>
          <w:szCs w:val="32"/>
          <w:u w:val="none"/>
        </w:rPr>
      </w:pPr>
    </w:p>
    <w:p>
      <w:pPr>
        <w:numPr>
          <w:ilvl w:val="-1"/>
          <w:numId w:val="0"/>
        </w:numPr>
        <w:tabs>
          <w:tab w:val="left" w:pos="0"/>
        </w:tabs>
        <w:spacing w:line="560" w:lineRule="exact"/>
        <w:ind w:left="0" w:firstLine="0"/>
        <w:jc w:val="center"/>
        <w:outlineLvl w:val="0"/>
        <w:rPr>
          <w:rFonts w:ascii="黑体" w:hAnsi="黑体" w:eastAsia="黑体" w:cs="黑体"/>
          <w:bCs/>
          <w:color w:val="auto"/>
          <w:kern w:val="44"/>
          <w:sz w:val="32"/>
          <w:szCs w:val="32"/>
          <w:highlight w:val="none"/>
        </w:rPr>
      </w:pPr>
      <w:r>
        <w:rPr>
          <w:rFonts w:ascii="黑体" w:hAnsi="黑体" w:eastAsia="黑体" w:cs="黑体"/>
          <w:bCs/>
          <w:color w:val="auto"/>
          <w:kern w:val="44"/>
          <w:sz w:val="32"/>
          <w:szCs w:val="32"/>
          <w:highlight w:val="none"/>
        </w:rPr>
        <w:t>第二章</w:t>
      </w:r>
      <w:r>
        <w:rPr>
          <w:rFonts w:hint="default" w:ascii="黑体" w:hAnsi="黑体" w:eastAsia="黑体" w:cs="黑体"/>
          <w:bCs/>
          <w:color w:val="auto"/>
          <w:kern w:val="44"/>
          <w:sz w:val="32"/>
          <w:szCs w:val="32"/>
          <w:highlight w:val="none"/>
        </w:rPr>
        <w:t xml:space="preserve">  </w:t>
      </w:r>
      <w:r>
        <w:rPr>
          <w:rFonts w:ascii="黑体" w:hAnsi="黑体" w:eastAsia="黑体" w:cs="黑体"/>
          <w:bCs/>
          <w:color w:val="auto"/>
          <w:kern w:val="44"/>
          <w:sz w:val="32"/>
          <w:szCs w:val="32"/>
          <w:highlight w:val="none"/>
        </w:rPr>
        <w:t>支持制造业创新发展</w:t>
      </w:r>
    </w:p>
    <w:p>
      <w:pPr>
        <w:numPr>
          <w:ilvl w:val="-1"/>
          <w:numId w:val="0"/>
        </w:numPr>
        <w:tabs>
          <w:tab w:val="left" w:pos="0"/>
        </w:tabs>
        <w:spacing w:line="560" w:lineRule="exact"/>
        <w:ind w:leftChars="0" w:firstLine="640" w:firstLineChars="200"/>
        <w:outlineLvl w:val="1"/>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支持工业投资</w:t>
      </w:r>
      <w:r>
        <w:rPr>
          <w:rFonts w:hint="default" w:ascii="仿宋_GB2312" w:hAnsi="仿宋_GB2312" w:eastAsia="仿宋_GB2312" w:cs="仿宋_GB2312"/>
          <w:color w:val="auto"/>
          <w:sz w:val="32"/>
          <w:szCs w:val="32"/>
          <w:highlight w:val="none"/>
        </w:rPr>
        <w:t>。</w:t>
      </w:r>
    </w:p>
    <w:p>
      <w:pPr>
        <w:numPr>
          <w:ilvl w:val="-1"/>
          <w:numId w:val="0"/>
        </w:numPr>
        <w:spacing w:line="560" w:lineRule="exact"/>
        <w:ind w:firstLine="640" w:firstLineChars="200"/>
        <w:rPr>
          <w:rFonts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rPr>
        <w:t>对上一年度获得市级技术改造项目</w:t>
      </w:r>
      <w:r>
        <w:rPr>
          <w:rFonts w:hint="eastAsia" w:ascii="仿宋_GB2312" w:hAnsi="仿宋_GB2312" w:eastAsia="仿宋_GB2312" w:cs="仿宋_GB2312"/>
          <w:color w:val="auto"/>
          <w:sz w:val="32"/>
          <w:szCs w:val="32"/>
          <w:highlight w:val="none"/>
          <w:lang w:eastAsia="zh-CN"/>
        </w:rPr>
        <w:t>资助</w:t>
      </w:r>
      <w:r>
        <w:rPr>
          <w:rFonts w:hint="eastAsia" w:ascii="仿宋_GB2312" w:hAnsi="仿宋_GB2312" w:eastAsia="仿宋_GB2312" w:cs="仿宋_GB2312"/>
          <w:color w:val="auto"/>
          <w:sz w:val="32"/>
          <w:szCs w:val="32"/>
          <w:highlight w:val="none"/>
        </w:rPr>
        <w:t>，且符合新区产业指导中鼓励类的项目，给予市级</w:t>
      </w:r>
      <w:r>
        <w:rPr>
          <w:rFonts w:hint="eastAsia" w:ascii="仿宋_GB2312" w:hAnsi="仿宋_GB2312" w:eastAsia="仿宋_GB2312" w:cs="仿宋_GB2312"/>
          <w:color w:val="auto"/>
          <w:sz w:val="32"/>
          <w:szCs w:val="32"/>
          <w:highlight w:val="none"/>
          <w:lang w:eastAsia="zh-CN"/>
        </w:rPr>
        <w:t>资助</w:t>
      </w:r>
      <w:r>
        <w:rPr>
          <w:rFonts w:hint="eastAsia" w:ascii="仿宋_GB2312" w:hAnsi="仿宋_GB2312" w:eastAsia="仿宋_GB2312" w:cs="仿宋_GB2312"/>
          <w:color w:val="auto"/>
          <w:sz w:val="32"/>
          <w:szCs w:val="32"/>
          <w:highlight w:val="none"/>
        </w:rPr>
        <w:t>金额20%的资金支持，最高不超过200万元。</w:t>
      </w:r>
    </w:p>
    <w:p>
      <w:pPr>
        <w:numPr>
          <w:ilvl w:val="-1"/>
          <w:numId w:val="0"/>
        </w:numPr>
        <w:spacing w:line="560" w:lineRule="exact"/>
        <w:ind w:firstLine="640" w:firstLineChars="200"/>
        <w:rPr>
          <w:rFonts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rPr>
        <w:t>对上一年度获得市级重大工业投资项目</w:t>
      </w:r>
      <w:r>
        <w:rPr>
          <w:rFonts w:hint="eastAsia" w:ascii="仿宋_GB2312" w:hAnsi="仿宋_GB2312" w:eastAsia="仿宋_GB2312" w:cs="仿宋_GB2312"/>
          <w:color w:val="auto"/>
          <w:sz w:val="32"/>
          <w:szCs w:val="32"/>
          <w:highlight w:val="none"/>
          <w:lang w:eastAsia="zh-CN"/>
        </w:rPr>
        <w:t>资助</w:t>
      </w:r>
      <w:r>
        <w:rPr>
          <w:rFonts w:hint="eastAsia" w:ascii="仿宋_GB2312" w:hAnsi="仿宋_GB2312" w:eastAsia="仿宋_GB2312" w:cs="仿宋_GB2312"/>
          <w:color w:val="auto"/>
          <w:sz w:val="32"/>
          <w:szCs w:val="32"/>
          <w:highlight w:val="none"/>
        </w:rPr>
        <w:t>，且符合新区产业指导中的鼓励类的项目，给予市级</w:t>
      </w:r>
      <w:r>
        <w:rPr>
          <w:rFonts w:hint="eastAsia" w:ascii="仿宋_GB2312" w:hAnsi="仿宋_GB2312" w:eastAsia="仿宋_GB2312" w:cs="仿宋_GB2312"/>
          <w:color w:val="auto"/>
          <w:sz w:val="32"/>
          <w:szCs w:val="32"/>
          <w:highlight w:val="none"/>
          <w:lang w:eastAsia="zh-CN"/>
        </w:rPr>
        <w:t>资助</w:t>
      </w:r>
      <w:r>
        <w:rPr>
          <w:rFonts w:hint="eastAsia" w:ascii="仿宋_GB2312" w:hAnsi="仿宋_GB2312" w:eastAsia="仿宋_GB2312" w:cs="仿宋_GB2312"/>
          <w:color w:val="auto"/>
          <w:sz w:val="32"/>
          <w:szCs w:val="32"/>
          <w:highlight w:val="none"/>
        </w:rPr>
        <w:t>金额20%的资金支持，最高不超过200万元。</w:t>
      </w:r>
    </w:p>
    <w:p>
      <w:pPr>
        <w:numPr>
          <w:ilvl w:val="-1"/>
          <w:numId w:val="0"/>
        </w:numPr>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rPr>
        <w:t>对工业投资数据纳入大鹏新区统计的工业企业，上年度完成1亿元以上投资额的工业投资项目，经专项审计后，一次性给予30万元</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以上三项</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政策不得重复享受。</w:t>
      </w:r>
    </w:p>
    <w:p>
      <w:pPr>
        <w:numPr>
          <w:ilvl w:val="-1"/>
          <w:numId w:val="0"/>
        </w:numPr>
        <w:tabs>
          <w:tab w:val="left" w:pos="0"/>
        </w:tabs>
        <w:spacing w:line="560" w:lineRule="exact"/>
        <w:ind w:leftChars="0" w:firstLine="640" w:firstLineChars="200"/>
        <w:outlineLvl w:val="1"/>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支持重大技术装备的自主创新</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对于获得深圳市首台（套）重大技术装备奖励的工业企业，按市级奖励金额的50%给予配套奖励，最高500万元。</w:t>
      </w:r>
    </w:p>
    <w:p>
      <w:pPr>
        <w:numPr>
          <w:ilvl w:val="-1"/>
          <w:numId w:val="0"/>
        </w:numPr>
        <w:tabs>
          <w:tab w:val="left" w:pos="0"/>
        </w:tabs>
        <w:spacing w:line="560" w:lineRule="exact"/>
        <w:ind w:leftChars="0" w:firstLine="640" w:firstLineChars="200"/>
        <w:outlineLvl w:val="1"/>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鼓励企业提升质量创建品牌</w:t>
      </w:r>
      <w:r>
        <w:rPr>
          <w:rFonts w:hint="default"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rPr>
        <w:t>对获得“市长质量奖金奖”“市长质量奖银奖”“市长质量奖铜奖”的工业企业，按市级奖励金额的50%给予配套奖励。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rPr>
        <w:t>对上年度由国家知识产权部门依法认定为驰名商标的制造业企业，给予20万元的一次性奖励（已在市级和其他行政区域内享受过此项</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的，不予重复奖励）</w:t>
      </w:r>
      <w:r>
        <w:rPr>
          <w:rFonts w:hint="default" w:ascii="仿宋_GB2312" w:hAnsi="仿宋_GB2312" w:eastAsia="仿宋_GB2312" w:cs="仿宋_GB2312"/>
          <w:color w:val="auto"/>
          <w:sz w:val="32"/>
          <w:szCs w:val="32"/>
          <w:highlight w:val="none"/>
        </w:rPr>
        <w:t>。</w:t>
      </w:r>
    </w:p>
    <w:p>
      <w:pPr>
        <w:numPr>
          <w:ilvl w:val="-1"/>
          <w:numId w:val="0"/>
        </w:numPr>
        <w:tabs>
          <w:tab w:val="left" w:pos="0"/>
        </w:tabs>
        <w:spacing w:line="560" w:lineRule="exact"/>
        <w:ind w:left="0" w:firstLine="0"/>
        <w:jc w:val="both"/>
        <w:outlineLvl w:val="0"/>
        <w:rPr>
          <w:rFonts w:ascii="黑体" w:hAnsi="黑体" w:eastAsia="黑体" w:cs="黑体"/>
          <w:bCs/>
          <w:color w:val="auto"/>
          <w:kern w:val="44"/>
          <w:sz w:val="32"/>
          <w:szCs w:val="32"/>
          <w:highlight w:val="none"/>
        </w:rPr>
      </w:pPr>
    </w:p>
    <w:p>
      <w:pPr>
        <w:numPr>
          <w:ilvl w:val="-1"/>
          <w:numId w:val="0"/>
        </w:numPr>
        <w:tabs>
          <w:tab w:val="left" w:pos="0"/>
        </w:tabs>
        <w:spacing w:line="560" w:lineRule="exact"/>
        <w:ind w:left="0" w:firstLine="0"/>
        <w:jc w:val="center"/>
        <w:outlineLvl w:val="0"/>
        <w:rPr>
          <w:rFonts w:ascii="黑体" w:hAnsi="黑体" w:eastAsia="黑体" w:cs="黑体"/>
          <w:bCs/>
          <w:color w:val="auto"/>
          <w:kern w:val="44"/>
          <w:sz w:val="32"/>
          <w:szCs w:val="32"/>
          <w:highlight w:val="none"/>
        </w:rPr>
      </w:pPr>
      <w:r>
        <w:rPr>
          <w:rFonts w:ascii="黑体" w:hAnsi="黑体" w:eastAsia="黑体" w:cs="黑体"/>
          <w:bCs/>
          <w:color w:val="auto"/>
          <w:kern w:val="44"/>
          <w:sz w:val="32"/>
          <w:szCs w:val="32"/>
          <w:highlight w:val="none"/>
        </w:rPr>
        <w:t>第三章</w:t>
      </w:r>
      <w:r>
        <w:rPr>
          <w:rFonts w:hint="default" w:ascii="黑体" w:hAnsi="黑体" w:eastAsia="黑体" w:cs="黑体"/>
          <w:bCs/>
          <w:color w:val="auto"/>
          <w:kern w:val="44"/>
          <w:sz w:val="32"/>
          <w:szCs w:val="32"/>
          <w:highlight w:val="none"/>
        </w:rPr>
        <w:t xml:space="preserve">  </w:t>
      </w:r>
      <w:r>
        <w:rPr>
          <w:rFonts w:ascii="黑体" w:hAnsi="黑体" w:eastAsia="黑体" w:cs="黑体"/>
          <w:bCs/>
          <w:color w:val="auto"/>
          <w:kern w:val="44"/>
          <w:sz w:val="32"/>
          <w:szCs w:val="32"/>
          <w:highlight w:val="none"/>
        </w:rPr>
        <w:t>提升制造业发展质量</w:t>
      </w:r>
    </w:p>
    <w:p>
      <w:pPr>
        <w:numPr>
          <w:ilvl w:val="-1"/>
          <w:numId w:val="0"/>
        </w:numPr>
        <w:tabs>
          <w:tab w:val="left" w:pos="0"/>
        </w:tabs>
        <w:spacing w:line="560" w:lineRule="exact"/>
        <w:ind w:leftChars="0" w:firstLine="640" w:firstLineChars="200"/>
        <w:outlineLvl w:val="1"/>
        <w:rPr>
          <w:rFonts w:ascii="仿宋_GB2312" w:hAnsi="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培育百强企业</w:t>
      </w:r>
      <w:r>
        <w:rPr>
          <w:rFonts w:hint="default" w:ascii="仿宋_GB2312" w:hAnsi="仿宋_GB2312" w:eastAsia="仿宋_GB2312" w:cs="仿宋_GB2312"/>
          <w:color w:val="auto"/>
          <w:sz w:val="32"/>
          <w:szCs w:val="32"/>
          <w:highlight w:val="none"/>
        </w:rPr>
        <w:t>。自2021年起</w:t>
      </w:r>
      <w:r>
        <w:rPr>
          <w:rFonts w:hint="eastAsia" w:ascii="仿宋_GB2312" w:hAnsi="仿宋_GB2312" w:eastAsia="仿宋_GB2312" w:cs="仿宋_GB2312"/>
          <w:color w:val="auto"/>
          <w:sz w:val="32"/>
          <w:szCs w:val="32"/>
          <w:highlight w:val="none"/>
        </w:rPr>
        <w:t>首次入选“世界500强”“中国制造业500强”“深圳工业百强”的工业企业，分别给予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000万元、</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00万元、</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00万元的一次性奖励。同一企业获不同级别的，按照“从高不重复”原则给予奖励。对获得奖励后获评更高级别的，按相应奖励标准追加差额奖励。</w:t>
      </w:r>
    </w:p>
    <w:p>
      <w:pPr>
        <w:numPr>
          <w:ilvl w:val="-1"/>
          <w:numId w:val="0"/>
        </w:numPr>
        <w:tabs>
          <w:tab w:val="left" w:pos="0"/>
        </w:tabs>
        <w:spacing w:line="560" w:lineRule="exact"/>
        <w:ind w:leftChars="0" w:firstLine="640" w:firstLineChars="200"/>
        <w:outlineLvl w:val="1"/>
        <w:rPr>
          <w:rFonts w:ascii="仿宋_GB2312" w:hAnsi="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培育制造业“单项冠军”</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首次</w:t>
      </w:r>
      <w:r>
        <w:rPr>
          <w:rFonts w:hint="eastAsia" w:ascii="仿宋_GB2312" w:hAnsi="仿宋_GB2312" w:eastAsia="仿宋_GB2312" w:cs="仿宋_GB2312"/>
          <w:color w:val="auto"/>
          <w:sz w:val="32"/>
          <w:szCs w:val="32"/>
          <w:highlight w:val="none"/>
        </w:rPr>
        <w:t>获得国家</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“单项冠军”示范企业、“单项冠军”产品称号</w:t>
      </w:r>
      <w:r>
        <w:rPr>
          <w:rFonts w:hint="eastAsia" w:ascii="仿宋_GB2312" w:hAnsi="仿宋_GB2312" w:eastAsia="仿宋_GB2312" w:cs="仿宋_GB2312"/>
          <w:color w:val="auto"/>
          <w:sz w:val="32"/>
          <w:szCs w:val="32"/>
          <w:highlight w:val="none"/>
          <w:lang w:eastAsia="zh-CN"/>
        </w:rPr>
        <w:t>的企业，以及市级“单项冠军”示范企业、“单项冠军”产品称号的企业，</w:t>
      </w:r>
      <w:r>
        <w:rPr>
          <w:rFonts w:hint="eastAsia" w:ascii="仿宋_GB2312" w:hAnsi="仿宋_GB2312" w:eastAsia="仿宋_GB2312" w:cs="仿宋_GB2312"/>
          <w:color w:val="auto"/>
          <w:sz w:val="32"/>
          <w:szCs w:val="32"/>
          <w:highlight w:val="none"/>
        </w:rPr>
        <w:t>分别按市级奖励金额的</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0%给予一次性配套奖励。同一企业获不同级别的，按照“从高不重复”原则给予奖励。对获得奖励后获评更高级别的，按相应奖励标准追加差额奖励。</w:t>
      </w:r>
    </w:p>
    <w:p>
      <w:pPr>
        <w:numPr>
          <w:ilvl w:val="-1"/>
          <w:numId w:val="0"/>
        </w:numPr>
        <w:tabs>
          <w:tab w:val="left" w:pos="0"/>
        </w:tabs>
        <w:spacing w:line="560" w:lineRule="exact"/>
        <w:ind w:leftChars="0" w:firstLine="640" w:firstLineChars="200"/>
        <w:outlineLvl w:val="1"/>
        <w:rPr>
          <w:rFonts w:ascii="仿宋_GB2312" w:hAnsi="仿宋_GB2312" w:cs="仿宋_GB2312"/>
          <w:color w:val="auto"/>
          <w:sz w:val="32"/>
          <w:szCs w:val="32"/>
          <w:highlight w:val="none"/>
        </w:rPr>
      </w:pPr>
      <w:r>
        <w:rPr>
          <w:rFonts w:hint="eastAsia" w:ascii="黑体" w:hAnsi="黑体" w:eastAsia="黑体" w:cs="黑体"/>
          <w:color w:val="auto"/>
          <w:sz w:val="32"/>
          <w:szCs w:val="32"/>
          <w:highlight w:val="none"/>
        </w:rPr>
        <w:t>第九条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引导企业“专精特新”发展。对首次入选</w:t>
      </w:r>
      <w:r>
        <w:rPr>
          <w:rFonts w:hint="eastAsia" w:ascii="仿宋_GB2312" w:hAnsi="仿宋_GB2312" w:eastAsia="仿宋_GB2312" w:cs="仿宋_GB2312"/>
          <w:color w:val="auto"/>
          <w:sz w:val="32"/>
          <w:szCs w:val="32"/>
          <w:highlight w:val="none"/>
        </w:rPr>
        <w:t>国家</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专精特新“小巨人”</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省</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专精特新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的企业，</w:t>
      </w:r>
      <w:r>
        <w:rPr>
          <w:rFonts w:hint="eastAsia" w:ascii="仿宋_GB2312" w:hAnsi="仿宋_GB2312" w:eastAsia="仿宋_GB2312" w:cs="仿宋_GB2312"/>
          <w:color w:val="auto"/>
          <w:sz w:val="32"/>
          <w:szCs w:val="32"/>
          <w:highlight w:val="none"/>
          <w:lang w:eastAsia="zh-CN"/>
        </w:rPr>
        <w:t>按市级奖励金额给予</w:t>
      </w:r>
      <w:r>
        <w:rPr>
          <w:rFonts w:hint="eastAsia" w:ascii="仿宋_GB2312" w:hAnsi="仿宋_GB2312" w:eastAsia="仿宋_GB2312" w:cs="仿宋_GB2312"/>
          <w:color w:val="auto"/>
          <w:sz w:val="32"/>
          <w:szCs w:val="32"/>
          <w:highlight w:val="none"/>
          <w:lang w:val="en-US" w:eastAsia="zh-CN"/>
        </w:rPr>
        <w:t>1:1配套奖励，最高分别不超过50万元、20万元、10万元。</w:t>
      </w:r>
      <w:r>
        <w:rPr>
          <w:rFonts w:hint="eastAsia" w:ascii="仿宋_GB2312" w:hAnsi="仿宋_GB2312" w:eastAsia="仿宋_GB2312" w:cs="仿宋_GB2312"/>
          <w:color w:val="auto"/>
          <w:sz w:val="32"/>
          <w:szCs w:val="32"/>
          <w:highlight w:val="none"/>
        </w:rPr>
        <w:t>同一企业获不同级别的，按照“从高不重复”原则给予奖励。对获得奖励后获评更高级别的，按相应奖励标准追加差额奖励。</w:t>
      </w:r>
    </w:p>
    <w:p>
      <w:pPr>
        <w:numPr>
          <w:ilvl w:val="-1"/>
          <w:numId w:val="0"/>
        </w:numPr>
        <w:tabs>
          <w:tab w:val="left" w:pos="0"/>
        </w:tabs>
        <w:spacing w:line="560" w:lineRule="exact"/>
        <w:ind w:leftChars="0" w:firstLine="640" w:firstLineChars="200"/>
        <w:outlineLvl w:val="1"/>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支持企业稳健成长</w:t>
      </w:r>
      <w:r>
        <w:rPr>
          <w:rFonts w:hint="default" w:ascii="仿宋_GB2312" w:hAnsi="仿宋_GB2312" w:eastAsia="仿宋_GB2312" w:cs="仿宋_GB2312"/>
          <w:color w:val="auto"/>
          <w:sz w:val="32"/>
          <w:szCs w:val="32"/>
          <w:highlight w:val="none"/>
        </w:rPr>
        <w:t>。自2021年起年度</w:t>
      </w:r>
      <w:r>
        <w:rPr>
          <w:rFonts w:hint="eastAsia" w:ascii="仿宋_GB2312" w:hAnsi="仿宋_GB2312" w:eastAsia="仿宋_GB2312" w:cs="仿宋_GB2312"/>
          <w:color w:val="auto"/>
          <w:sz w:val="32"/>
          <w:szCs w:val="32"/>
          <w:highlight w:val="none"/>
        </w:rPr>
        <w:t>纳统工业总产值首次达到50亿元、20亿元、10亿元、2亿元的规模以上制造业企业，分别给予100万元、40万元、20万元、10万元的奖励，分两年拨付，首年给予一半奖励，如果第二年产值同比下降则取消剩余一半的奖励。</w:t>
      </w:r>
    </w:p>
    <w:p>
      <w:pPr>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对获得奖励后产值达到更高标准的企业，按相应标准追加差额奖励。</w:t>
      </w:r>
      <w:bookmarkStart w:id="0" w:name="_GoBack"/>
      <w:bookmarkEnd w:id="0"/>
    </w:p>
    <w:p>
      <w:pPr>
        <w:numPr>
          <w:ilvl w:val="-1"/>
          <w:numId w:val="0"/>
        </w:numPr>
        <w:tabs>
          <w:tab w:val="left" w:pos="0"/>
        </w:tabs>
        <w:spacing w:line="560" w:lineRule="exact"/>
        <w:ind w:leftChars="0" w:firstLine="640" w:firstLineChars="200"/>
        <w:outlineLvl w:val="1"/>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第十一条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支持企业扩产增效</w:t>
      </w:r>
      <w:r>
        <w:rPr>
          <w:rFonts w:hint="default"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rPr>
        <w:t>对上一年度产值1亿元以上且产值同比增长达20%以上的规模以上制造业企业，按增长部分的0.5%给予奖励，最高50万元。</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rPr>
        <w:t>对上一年度产值1亿元以下且产值同比增长达25%以上的规模以上制造业企业，按增长部分的0.5%给予奖励，最高20万元。</w:t>
      </w:r>
    </w:p>
    <w:p>
      <w:pPr>
        <w:numPr>
          <w:ilvl w:val="-1"/>
          <w:numId w:val="0"/>
        </w:numPr>
        <w:tabs>
          <w:tab w:val="left" w:pos="0"/>
        </w:tabs>
        <w:spacing w:line="560" w:lineRule="exact"/>
        <w:ind w:leftChars="0" w:firstLine="640" w:firstLineChars="200"/>
        <w:outlineLvl w:val="1"/>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第十二条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推动小微工业企业升级为规上企业</w:t>
      </w:r>
      <w:r>
        <w:rPr>
          <w:rFonts w:hint="default"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u w:val="none"/>
        </w:rPr>
        <w:t>对首次纳入</w:t>
      </w:r>
      <w:r>
        <w:rPr>
          <w:rFonts w:hint="eastAsia" w:ascii="仿宋_GB2312" w:hAnsi="仿宋_GB2312" w:eastAsia="仿宋_GB2312" w:cs="仿宋_GB2312"/>
          <w:color w:val="auto"/>
          <w:sz w:val="32"/>
          <w:szCs w:val="32"/>
          <w:highlight w:val="none"/>
          <w:u w:val="none"/>
          <w:lang w:eastAsia="zh-CN"/>
        </w:rPr>
        <w:t>新</w:t>
      </w:r>
      <w:r>
        <w:rPr>
          <w:rFonts w:hint="default" w:ascii="仿宋_GB2312" w:hAnsi="仿宋_GB2312" w:eastAsia="仿宋_GB2312" w:cs="仿宋_GB2312"/>
          <w:color w:val="auto"/>
          <w:sz w:val="32"/>
          <w:szCs w:val="32"/>
          <w:highlight w:val="none"/>
          <w:u w:val="none"/>
        </w:rPr>
        <w:t>区“规上工业”统计库的工业企业</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给予</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0万元奖励</w:t>
      </w:r>
      <w:r>
        <w:rPr>
          <w:rFonts w:hint="eastAsia" w:ascii="仿宋_GB2312" w:hAnsi="仿宋_GB2312" w:eastAsia="仿宋_GB2312" w:cs="仿宋_GB2312"/>
          <w:color w:val="auto"/>
          <w:sz w:val="32"/>
          <w:szCs w:val="32"/>
          <w:highlight w:val="none"/>
          <w:lang w:eastAsia="zh-CN"/>
        </w:rPr>
        <w:t>，分两年拨付，入库首年给予</w:t>
      </w:r>
      <w:r>
        <w:rPr>
          <w:rFonts w:hint="eastAsia" w:ascii="仿宋_GB2312" w:hAnsi="仿宋_GB2312" w:eastAsia="仿宋_GB2312" w:cs="仿宋_GB2312"/>
          <w:color w:val="auto"/>
          <w:sz w:val="32"/>
          <w:szCs w:val="32"/>
          <w:highlight w:val="none"/>
          <w:lang w:val="en-US" w:eastAsia="zh-CN"/>
        </w:rPr>
        <w:t>10万元</w:t>
      </w:r>
      <w:r>
        <w:rPr>
          <w:rFonts w:hint="eastAsia" w:ascii="仿宋_GB2312" w:hAnsi="仿宋_GB2312" w:eastAsia="仿宋_GB2312" w:cs="仿宋_GB2312"/>
          <w:color w:val="auto"/>
          <w:sz w:val="32"/>
          <w:szCs w:val="32"/>
          <w:highlight w:val="none"/>
          <w:lang w:eastAsia="zh-CN"/>
        </w:rPr>
        <w:t>奖励，入库后次年全年实现产值正增长的，再给予10万元奖励。</w:t>
      </w:r>
    </w:p>
    <w:p>
      <w:pPr>
        <w:numPr>
          <w:ilvl w:val="-1"/>
          <w:numId w:val="0"/>
        </w:numPr>
        <w:tabs>
          <w:tab w:val="left" w:pos="0"/>
        </w:tabs>
        <w:spacing w:line="560" w:lineRule="exact"/>
        <w:ind w:leftChars="0" w:firstLine="640" w:firstLineChars="200"/>
        <w:outlineLvl w:val="1"/>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第十三条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实施中小企业上市培育工程</w:t>
      </w:r>
      <w:r>
        <w:rPr>
          <w:rFonts w:hint="default" w:ascii="仿宋_GB2312" w:hAnsi="仿宋_GB2312" w:eastAsia="仿宋_GB2312" w:cs="仿宋_GB2312"/>
          <w:color w:val="auto"/>
          <w:sz w:val="32"/>
          <w:szCs w:val="32"/>
          <w:highlight w:val="none"/>
        </w:rPr>
        <w:t>。</w:t>
      </w:r>
    </w:p>
    <w:p>
      <w:pPr>
        <w:numPr>
          <w:ilvl w:val="-1"/>
          <w:numId w:val="0"/>
        </w:numPr>
        <w:adjustRightInd w:val="0"/>
        <w:snapToGrid w:val="0"/>
        <w:spacing w:line="560" w:lineRule="exact"/>
        <w:ind w:firstLine="640" w:firstLineChars="200"/>
        <w:rPr>
          <w:rFonts w:ascii="仿宋_GB2312" w:hAnsi="仿宋_GB2312" w:eastAsia="仿宋_GB2312"/>
          <w:color w:val="auto"/>
          <w:sz w:val="32"/>
          <w:szCs w:val="24"/>
          <w:highlight w:val="none"/>
        </w:rPr>
      </w:pPr>
      <w:r>
        <w:rPr>
          <w:rFonts w:hint="default" w:ascii="仿宋_GB2312" w:hAnsi="仿宋_GB2312" w:eastAsia="仿宋_GB2312"/>
          <w:color w:val="auto"/>
          <w:sz w:val="32"/>
          <w:szCs w:val="24"/>
          <w:highlight w:val="none"/>
        </w:rPr>
        <w:t>（一）</w:t>
      </w:r>
      <w:r>
        <w:rPr>
          <w:rFonts w:hint="eastAsia" w:ascii="仿宋_GB2312" w:hAnsi="仿宋_GB2312" w:eastAsia="仿宋_GB2312"/>
          <w:color w:val="auto"/>
          <w:sz w:val="32"/>
          <w:szCs w:val="24"/>
          <w:highlight w:val="none"/>
        </w:rPr>
        <w:t>对上年度在境内主板、创业板、科创板首次完成上市的工业企业，给予最高400万元的一次性支持；</w:t>
      </w:r>
    </w:p>
    <w:p>
      <w:pPr>
        <w:numPr>
          <w:ilvl w:val="-1"/>
          <w:numId w:val="0"/>
        </w:numPr>
        <w:adjustRightInd w:val="0"/>
        <w:snapToGrid w:val="0"/>
        <w:spacing w:line="560" w:lineRule="exact"/>
        <w:ind w:firstLine="640" w:firstLineChars="200"/>
        <w:rPr>
          <w:rFonts w:ascii="仿宋_GB2312" w:hAnsi="仿宋_GB2312" w:eastAsia="仿宋_GB2312"/>
          <w:color w:val="auto"/>
          <w:sz w:val="32"/>
          <w:szCs w:val="24"/>
          <w:highlight w:val="none"/>
        </w:rPr>
      </w:pPr>
      <w:r>
        <w:rPr>
          <w:rFonts w:hint="default" w:ascii="仿宋_GB2312" w:hAnsi="仿宋_GB2312" w:eastAsia="仿宋_GB2312"/>
          <w:color w:val="auto"/>
          <w:sz w:val="32"/>
          <w:szCs w:val="24"/>
          <w:highlight w:val="none"/>
          <w:lang w:bidi="ar"/>
        </w:rPr>
        <w:t>（二）</w:t>
      </w:r>
      <w:r>
        <w:rPr>
          <w:rFonts w:hint="eastAsia" w:ascii="仿宋_GB2312" w:hAnsi="仿宋_GB2312" w:eastAsia="仿宋_GB2312"/>
          <w:color w:val="auto"/>
          <w:sz w:val="32"/>
          <w:szCs w:val="24"/>
          <w:highlight w:val="none"/>
          <w:lang w:bidi="ar"/>
        </w:rPr>
        <w:t>对上年度在境外主要资本市场（</w:t>
      </w:r>
      <w:r>
        <w:rPr>
          <w:rFonts w:hint="eastAsia" w:ascii="仿宋_GB2312" w:hAnsi="仿宋_GB2312" w:eastAsia="仿宋_GB2312"/>
          <w:color w:val="auto"/>
          <w:sz w:val="32"/>
          <w:szCs w:val="24"/>
          <w:highlight w:val="none"/>
          <w:lang w:val="en-US" w:bidi="ar"/>
        </w:rPr>
        <w:t>中国</w:t>
      </w:r>
      <w:r>
        <w:rPr>
          <w:rFonts w:hint="eastAsia" w:ascii="仿宋_GB2312" w:hAnsi="仿宋_GB2312" w:eastAsia="仿宋_GB2312"/>
          <w:color w:val="auto"/>
          <w:sz w:val="32"/>
          <w:szCs w:val="24"/>
          <w:highlight w:val="none"/>
          <w:lang w:bidi="ar"/>
        </w:rPr>
        <w:t>香港、纽约、伦敦、东京、新加坡、纳斯达克）</w:t>
      </w:r>
      <w:r>
        <w:rPr>
          <w:rFonts w:hint="eastAsia" w:ascii="仿宋_GB2312" w:hAnsi="仿宋_GB2312" w:eastAsia="仿宋_GB2312"/>
          <w:color w:val="auto"/>
          <w:sz w:val="32"/>
          <w:szCs w:val="24"/>
          <w:highlight w:val="none"/>
        </w:rPr>
        <w:t>首次</w:t>
      </w:r>
      <w:r>
        <w:rPr>
          <w:rFonts w:hint="eastAsia" w:ascii="仿宋_GB2312" w:hAnsi="仿宋_GB2312" w:eastAsia="仿宋_GB2312"/>
          <w:color w:val="auto"/>
          <w:sz w:val="32"/>
          <w:szCs w:val="24"/>
          <w:highlight w:val="none"/>
          <w:lang w:bidi="ar"/>
        </w:rPr>
        <w:t>完成上市的</w:t>
      </w:r>
      <w:r>
        <w:rPr>
          <w:rFonts w:hint="eastAsia" w:ascii="仿宋_GB2312" w:hAnsi="仿宋_GB2312" w:eastAsia="仿宋_GB2312"/>
          <w:color w:val="auto"/>
          <w:sz w:val="32"/>
          <w:szCs w:val="24"/>
          <w:highlight w:val="none"/>
        </w:rPr>
        <w:t>工业企业</w:t>
      </w:r>
      <w:r>
        <w:rPr>
          <w:rFonts w:hint="eastAsia" w:ascii="仿宋_GB2312" w:hAnsi="仿宋_GB2312" w:eastAsia="仿宋_GB2312"/>
          <w:color w:val="auto"/>
          <w:sz w:val="32"/>
          <w:szCs w:val="24"/>
          <w:highlight w:val="none"/>
          <w:lang w:bidi="ar"/>
        </w:rPr>
        <w:t>，给予100万元一次性支持；</w:t>
      </w:r>
    </w:p>
    <w:p>
      <w:pPr>
        <w:numPr>
          <w:ilvl w:val="-1"/>
          <w:numId w:val="0"/>
        </w:numPr>
        <w:adjustRightInd w:val="0"/>
        <w:snapToGrid w:val="0"/>
        <w:spacing w:line="560" w:lineRule="exact"/>
        <w:ind w:firstLine="640" w:firstLineChars="200"/>
        <w:rPr>
          <w:rFonts w:ascii="仿宋_GB2312" w:hAnsi="仿宋_GB2312" w:eastAsia="仿宋_GB2312"/>
          <w:color w:val="auto"/>
          <w:sz w:val="32"/>
          <w:szCs w:val="24"/>
          <w:highlight w:val="none"/>
        </w:rPr>
      </w:pPr>
      <w:r>
        <w:rPr>
          <w:rFonts w:hint="default" w:ascii="仿宋_GB2312" w:hAnsi="仿宋_GB2312" w:eastAsia="仿宋_GB2312"/>
          <w:color w:val="auto"/>
          <w:sz w:val="32"/>
          <w:szCs w:val="24"/>
          <w:highlight w:val="none"/>
        </w:rPr>
        <w:t>（三）</w:t>
      </w:r>
      <w:r>
        <w:rPr>
          <w:rFonts w:hint="eastAsia" w:ascii="仿宋_GB2312" w:hAnsi="仿宋_GB2312" w:eastAsia="仿宋_GB2312"/>
          <w:color w:val="auto"/>
          <w:sz w:val="32"/>
          <w:szCs w:val="24"/>
          <w:highlight w:val="none"/>
        </w:rPr>
        <w:t>对上年度首次在“新三板”挂牌的工业企业，给予50万元的一次性支持。</w:t>
      </w:r>
    </w:p>
    <w:p>
      <w:pPr>
        <w:adjustRightInd w:val="0"/>
        <w:snapToGrid w:val="0"/>
        <w:spacing w:line="560" w:lineRule="exact"/>
        <w:ind w:firstLine="640" w:firstLineChars="200"/>
        <w:rPr>
          <w:rFonts w:ascii="仿宋_GB2312" w:hAnsi="仿宋_GB2312" w:eastAsia="仿宋_GB2312" w:cs="仿宋_GB2312"/>
          <w:color w:val="auto"/>
          <w:kern w:val="0"/>
          <w:sz w:val="32"/>
          <w:szCs w:val="32"/>
          <w:highlight w:val="none"/>
          <w:shd w:val="clear" w:color="auto" w:fill="FFFFFF"/>
          <w:lang w:bidi="ar"/>
        </w:rPr>
      </w:pPr>
      <w:r>
        <w:rPr>
          <w:rFonts w:hint="eastAsia" w:ascii="仿宋_GB2312" w:hAnsi="仿宋_GB2312" w:eastAsia="仿宋_GB2312" w:cs="Times New Roman"/>
          <w:color w:val="auto"/>
          <w:sz w:val="32"/>
          <w:szCs w:val="24"/>
          <w:highlight w:val="none"/>
        </w:rPr>
        <w:t>对在多个证券市场上市的企业不重复</w:t>
      </w:r>
      <w:r>
        <w:rPr>
          <w:rFonts w:hint="eastAsia" w:ascii="仿宋_GB2312" w:hAnsi="仿宋_GB2312" w:eastAsia="仿宋_GB2312" w:cs="Times New Roman"/>
          <w:color w:val="auto"/>
          <w:sz w:val="32"/>
          <w:szCs w:val="24"/>
          <w:highlight w:val="none"/>
          <w:lang w:eastAsia="zh-CN"/>
        </w:rPr>
        <w:t>支持</w:t>
      </w:r>
      <w:r>
        <w:rPr>
          <w:rFonts w:hint="eastAsia" w:ascii="仿宋_GB2312" w:hAnsi="仿宋_GB2312" w:eastAsia="仿宋_GB2312" w:cs="Times New Roman"/>
          <w:color w:val="auto"/>
          <w:sz w:val="32"/>
          <w:szCs w:val="24"/>
          <w:highlight w:val="none"/>
        </w:rPr>
        <w:t>。对“新三板”挂牌企业成功转板上市的，补齐</w:t>
      </w:r>
      <w:r>
        <w:rPr>
          <w:rFonts w:hint="eastAsia" w:ascii="仿宋_GB2312" w:hAnsi="仿宋_GB2312" w:eastAsia="仿宋_GB2312" w:cs="Times New Roman"/>
          <w:color w:val="auto"/>
          <w:sz w:val="32"/>
          <w:szCs w:val="24"/>
          <w:highlight w:val="none"/>
          <w:lang w:eastAsia="zh-CN"/>
        </w:rPr>
        <w:t>支持</w:t>
      </w:r>
      <w:r>
        <w:rPr>
          <w:rFonts w:hint="eastAsia" w:ascii="仿宋_GB2312" w:hAnsi="仿宋_GB2312" w:eastAsia="仿宋_GB2312" w:cs="Times New Roman"/>
          <w:color w:val="auto"/>
          <w:sz w:val="32"/>
          <w:szCs w:val="24"/>
          <w:highlight w:val="none"/>
        </w:rPr>
        <w:t>差额。</w:t>
      </w:r>
    </w:p>
    <w:p>
      <w:pPr>
        <w:spacing w:line="560" w:lineRule="exact"/>
        <w:rPr>
          <w:color w:val="auto"/>
        </w:rPr>
      </w:pPr>
    </w:p>
    <w:p>
      <w:pPr>
        <w:numPr>
          <w:ilvl w:val="-1"/>
          <w:numId w:val="0"/>
        </w:numPr>
        <w:tabs>
          <w:tab w:val="left" w:pos="0"/>
        </w:tabs>
        <w:spacing w:line="560" w:lineRule="exact"/>
        <w:ind w:left="0" w:firstLine="0"/>
        <w:jc w:val="both"/>
        <w:outlineLvl w:val="0"/>
        <w:rPr>
          <w:rFonts w:ascii="黑体" w:hAnsi="黑体" w:eastAsia="黑体" w:cs="黑体"/>
          <w:bCs/>
          <w:color w:val="auto"/>
          <w:kern w:val="44"/>
          <w:sz w:val="32"/>
          <w:szCs w:val="32"/>
          <w:highlight w:val="none"/>
        </w:rPr>
      </w:pPr>
    </w:p>
    <w:p>
      <w:pPr>
        <w:numPr>
          <w:ilvl w:val="-1"/>
          <w:numId w:val="0"/>
        </w:numPr>
        <w:tabs>
          <w:tab w:val="left" w:pos="0"/>
        </w:tabs>
        <w:spacing w:line="560" w:lineRule="exact"/>
        <w:ind w:left="0" w:firstLine="0"/>
        <w:jc w:val="center"/>
        <w:outlineLvl w:val="0"/>
        <w:rPr>
          <w:rFonts w:ascii="仿宋_GB2312" w:hAnsi="仿宋_GB2312" w:eastAsia="仿宋_GB2312" w:cs="仿宋_GB2312"/>
          <w:bCs/>
          <w:color w:val="auto"/>
          <w:kern w:val="44"/>
          <w:sz w:val="32"/>
          <w:szCs w:val="48"/>
          <w:highlight w:val="none"/>
        </w:rPr>
      </w:pPr>
      <w:r>
        <w:rPr>
          <w:rFonts w:ascii="黑体" w:hAnsi="黑体" w:eastAsia="黑体" w:cs="黑体"/>
          <w:bCs/>
          <w:color w:val="auto"/>
          <w:kern w:val="44"/>
          <w:sz w:val="32"/>
          <w:szCs w:val="32"/>
          <w:highlight w:val="none"/>
        </w:rPr>
        <w:t>第</w:t>
      </w:r>
      <w:r>
        <w:rPr>
          <w:rFonts w:hint="eastAsia" w:ascii="黑体" w:hAnsi="黑体" w:eastAsia="黑体" w:cs="黑体"/>
          <w:bCs/>
          <w:color w:val="auto"/>
          <w:kern w:val="44"/>
          <w:sz w:val="32"/>
          <w:szCs w:val="32"/>
          <w:highlight w:val="none"/>
          <w:lang w:eastAsia="zh-CN"/>
        </w:rPr>
        <w:t>四</w:t>
      </w:r>
      <w:r>
        <w:rPr>
          <w:rFonts w:ascii="黑体" w:hAnsi="黑体" w:eastAsia="黑体" w:cs="黑体"/>
          <w:bCs/>
          <w:color w:val="auto"/>
          <w:kern w:val="44"/>
          <w:sz w:val="32"/>
          <w:szCs w:val="32"/>
          <w:highlight w:val="none"/>
        </w:rPr>
        <w:t>章</w:t>
      </w:r>
      <w:r>
        <w:rPr>
          <w:rFonts w:hint="default" w:ascii="黑体" w:hAnsi="黑体" w:eastAsia="黑体" w:cs="黑体"/>
          <w:bCs/>
          <w:color w:val="auto"/>
          <w:kern w:val="44"/>
          <w:sz w:val="32"/>
          <w:szCs w:val="32"/>
          <w:highlight w:val="none"/>
        </w:rPr>
        <w:t xml:space="preserve">  </w:t>
      </w:r>
      <w:r>
        <w:rPr>
          <w:rFonts w:ascii="黑体" w:hAnsi="黑体" w:eastAsia="黑体" w:cs="黑体"/>
          <w:bCs/>
          <w:color w:val="auto"/>
          <w:kern w:val="44"/>
          <w:sz w:val="32"/>
          <w:szCs w:val="32"/>
          <w:highlight w:val="none"/>
        </w:rPr>
        <w:t>附则</w:t>
      </w:r>
    </w:p>
    <w:p>
      <w:pPr>
        <w:numPr>
          <w:ilvl w:val="-1"/>
          <w:numId w:val="0"/>
        </w:numPr>
        <w:tabs>
          <w:tab w:val="left" w:pos="0"/>
        </w:tabs>
        <w:spacing w:line="560" w:lineRule="exact"/>
        <w:ind w:leftChars="0" w:firstLine="640" w:firstLineChars="200"/>
        <w:outlineLvl w:val="1"/>
        <w:rPr>
          <w:rFonts w:ascii="Arial" w:hAnsi="Arial" w:eastAsia="楷体"/>
          <w:bCs/>
          <w:color w:val="auto"/>
          <w:sz w:val="32"/>
          <w:szCs w:val="24"/>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本措施由新区科技创新和经济服务部门负责解释，并由新区科技创新和经济服务部门另行制定相应的申报文件，明确申报材料等本措施未尽事宜。同一项目，符合本措施同时又符合大鹏新区其他同类支持政策时，从高执行，不予重复支持。</w:t>
      </w:r>
    </w:p>
    <w:p>
      <w:pPr>
        <w:numPr>
          <w:ilvl w:val="-1"/>
          <w:numId w:val="0"/>
        </w:numPr>
        <w:tabs>
          <w:tab w:val="left" w:pos="0"/>
        </w:tabs>
        <w:spacing w:line="560" w:lineRule="exact"/>
        <w:ind w:leftChars="0" w:firstLine="640" w:firstLineChars="200"/>
        <w:outlineLvl w:val="1"/>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本措施规定的“以上”，包含本数；规定的“以下”，不包含本数；规定最高不超过的，包含本数。</w:t>
      </w:r>
    </w:p>
    <w:p>
      <w:pPr>
        <w:numPr>
          <w:ilvl w:val="-1"/>
          <w:numId w:val="0"/>
        </w:numPr>
        <w:tabs>
          <w:tab w:val="left" w:pos="0"/>
        </w:tabs>
        <w:spacing w:line="560" w:lineRule="exact"/>
        <w:ind w:leftChars="0" w:firstLine="640" w:firstLineChars="200"/>
        <w:outlineLvl w:val="1"/>
        <w:rPr>
          <w:rFonts w:ascii="Arial" w:hAnsi="Arial" w:eastAsia="楷体"/>
          <w:bCs/>
          <w:color w:val="auto"/>
          <w:sz w:val="32"/>
          <w:szCs w:val="24"/>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本措施规定的支持资金的审核、批准、管理、发放、监督、验收等适用《深圳市大鹏新区科技创新和产业发展专项资金管理办法》的规定。</w:t>
      </w:r>
    </w:p>
    <w:p>
      <w:pPr>
        <w:numPr>
          <w:ilvl w:val="-1"/>
          <w:numId w:val="0"/>
        </w:numPr>
        <w:tabs>
          <w:tab w:val="left" w:pos="0"/>
        </w:tabs>
        <w:spacing w:line="560" w:lineRule="exact"/>
        <w:ind w:leftChars="0" w:firstLine="640" w:firstLineChars="200"/>
        <w:outlineLvl w:val="1"/>
        <w:rPr>
          <w:rFonts w:ascii="仿宋_GB2312" w:hAnsi="仿宋_GB2312" w:eastAsia="仿宋_GB2312" w:cs="仿宋_GB2312"/>
          <w:b/>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本措施自</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日起施行，有效期五年。原《深圳市大鹏新区关于</w:t>
      </w:r>
      <w:r>
        <w:rPr>
          <w:rFonts w:hint="eastAsia" w:ascii="仿宋_GB2312" w:hAnsi="仿宋_GB2312" w:eastAsia="仿宋_GB2312" w:cs="仿宋_GB2312"/>
          <w:color w:val="auto"/>
          <w:sz w:val="32"/>
          <w:szCs w:val="32"/>
          <w:highlight w:val="none"/>
          <w:lang w:eastAsia="zh-CN"/>
        </w:rPr>
        <w:t>促进制造业高质量发展</w:t>
      </w:r>
      <w:r>
        <w:rPr>
          <w:rFonts w:hint="eastAsia" w:ascii="仿宋_GB2312" w:hAnsi="仿宋_GB2312" w:eastAsia="仿宋_GB2312" w:cs="仿宋_GB2312"/>
          <w:color w:val="auto"/>
          <w:sz w:val="32"/>
          <w:szCs w:val="32"/>
          <w:highlight w:val="none"/>
        </w:rPr>
        <w:t>的若干措施》（深鹏办规〔20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号）同时废止。</w:t>
      </w:r>
    </w:p>
    <w:p>
      <w:pPr>
        <w:keepNext w:val="0"/>
        <w:keepLines w:val="0"/>
        <w:pageBreakBefore w:val="0"/>
        <w:widowControl/>
        <w:tabs>
          <w:tab w:val="left" w:pos="0"/>
        </w:tabs>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本措施生效前已经申报，但尚未审核完成的，适用本措施。</w:t>
      </w:r>
      <w:r>
        <w:rPr>
          <w:rFonts w:hint="eastAsia" w:ascii="仿宋_GB2312" w:hAnsi="仿宋_GB2312" w:eastAsia="仿宋_GB2312" w:cs="仿宋_GB2312"/>
          <w:bCs/>
          <w:color w:val="auto"/>
          <w:sz w:val="32"/>
          <w:szCs w:val="24"/>
          <w:highlight w:val="none"/>
        </w:rPr>
        <w:t>本措施生效前已经申报，且审核完成的，适用原措施。</w:t>
      </w:r>
      <w:r>
        <w:rPr>
          <w:rFonts w:hint="eastAsia" w:ascii="仿宋_GB2312" w:hAnsi="仿宋_GB2312" w:eastAsia="仿宋_GB2312" w:cs="仿宋_GB2312"/>
          <w:color w:val="auto"/>
          <w:sz w:val="32"/>
          <w:szCs w:val="32"/>
          <w:highlight w:val="none"/>
        </w:rPr>
        <w:t>本措施有效期内已提交申请且符合</w:t>
      </w:r>
      <w:r>
        <w:rPr>
          <w:rFonts w:hint="eastAsia" w:ascii="仿宋_GB2312" w:hAnsi="仿宋_GB2312" w:eastAsia="仿宋_GB2312" w:cs="仿宋_GB2312"/>
          <w:color w:val="auto"/>
          <w:sz w:val="32"/>
          <w:szCs w:val="32"/>
          <w:highlight w:val="none"/>
          <w:lang w:eastAsia="zh-CN"/>
        </w:rPr>
        <w:t>资助</w:t>
      </w:r>
      <w:r>
        <w:rPr>
          <w:rFonts w:hint="eastAsia" w:ascii="仿宋_GB2312" w:hAnsi="仿宋_GB2312" w:eastAsia="仿宋_GB2312" w:cs="仿宋_GB2312"/>
          <w:color w:val="auto"/>
          <w:sz w:val="32"/>
          <w:szCs w:val="32"/>
          <w:highlight w:val="none"/>
        </w:rPr>
        <w:t>标准的，本措施失效后分期支付未结项目的</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款按本措施标准拨付。本措施所依据的文件有修订的，按照修订后的文件执行。</w:t>
      </w:r>
    </w:p>
    <w:p>
      <w:pPr>
        <w:spacing w:line="560" w:lineRule="exact"/>
        <w:rPr>
          <w:color w:val="auto"/>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-211455</wp:posOffset>
              </wp:positionV>
              <wp:extent cx="907415" cy="257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07415" cy="257810"/>
                      </a:xfrm>
                      <a:prstGeom prst="rect">
                        <a:avLst/>
                      </a:prstGeom>
                      <a:noFill/>
                      <a:ln>
                        <a:noFill/>
                      </a:ln>
                    </wps:spPr>
                    <wps:txbx>
                      <w:txbxContent>
                        <w:p>
                          <w:pPr>
                            <w:pStyle w:val="4"/>
                            <w:ind w:firstLine="280" w:firstLineChars="100"/>
                            <w:rPr>
                              <w:rFonts w:hint="default"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6.65pt;height:20.3pt;width:71.45pt;mso-position-horizontal:outside;mso-position-horizontal-relative:margin;z-index:251659264;mso-width-relative:page;mso-height-relative:page;" filled="f" stroked="f" coordsize="21600,21600" o:gfxdata="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">
              <v:fill on="f" focussize="0,0"/>
              <v:stroke on="f"/>
              <v:imagedata o:title=""/>
              <o:lock v:ext="edit" aspectratio="f"/>
              <v:textbox inset="0mm,0mm,0mm,0mm">
                <w:txbxContent>
                  <w:p>
                    <w:pPr>
                      <w:pStyle w:val="4"/>
                      <w:ind w:firstLine="280" w:firstLineChars="100"/>
                      <w:rPr>
                        <w:rFonts w:hint="default"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E7B1F8E"/>
    <w:rsid w:val="17FB6E37"/>
    <w:rsid w:val="1ADDC45D"/>
    <w:rsid w:val="1EEE056B"/>
    <w:rsid w:val="2F5B6B60"/>
    <w:rsid w:val="2FDE73E4"/>
    <w:rsid w:val="377711BE"/>
    <w:rsid w:val="3EFFFD4E"/>
    <w:rsid w:val="3FA4D18D"/>
    <w:rsid w:val="49DDAE2A"/>
    <w:rsid w:val="4A1947CF"/>
    <w:rsid w:val="4CDFCF13"/>
    <w:rsid w:val="4FC77C64"/>
    <w:rsid w:val="4FE7F7BA"/>
    <w:rsid w:val="57B5C261"/>
    <w:rsid w:val="5AEF4833"/>
    <w:rsid w:val="65D86ACD"/>
    <w:rsid w:val="6BABBF06"/>
    <w:rsid w:val="6EF75AD7"/>
    <w:rsid w:val="6FB39B8A"/>
    <w:rsid w:val="6FFF8175"/>
    <w:rsid w:val="7B9D5183"/>
    <w:rsid w:val="7CFFF1C0"/>
    <w:rsid w:val="7FC2071E"/>
    <w:rsid w:val="7FDD039A"/>
    <w:rsid w:val="7FF69591"/>
    <w:rsid w:val="8DDE4585"/>
    <w:rsid w:val="8DEEE6D3"/>
    <w:rsid w:val="AFAF36C0"/>
    <w:rsid w:val="BDADDBD2"/>
    <w:rsid w:val="BFF464C6"/>
    <w:rsid w:val="DD949621"/>
    <w:rsid w:val="DEDB93A8"/>
    <w:rsid w:val="DEFF1132"/>
    <w:rsid w:val="E7BB4241"/>
    <w:rsid w:val="E9EF8A7D"/>
    <w:rsid w:val="EEFC04FB"/>
    <w:rsid w:val="F9B2E83D"/>
    <w:rsid w:val="FAFD9C95"/>
    <w:rsid w:val="FB4FF6B7"/>
    <w:rsid w:val="FDD51896"/>
    <w:rsid w:val="FDDB9944"/>
    <w:rsid w:val="FEBDA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rPr>
      <w:rFonts w:ascii="Calibri" w:hAnsi="Calibri" w:eastAsia="宋体" w:cs="Times New Roman"/>
    </w:rPr>
  </w:style>
  <w:style w:type="paragraph" w:styleId="3">
    <w:name w:val="Body Text"/>
    <w:basedOn w:val="1"/>
    <w:qFormat/>
    <w:uiPriority w:val="0"/>
    <w:rPr>
      <w:rFonts w:ascii="Calibri" w:hAnsi="Calibri"/>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163</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黎恩</cp:lastModifiedBy>
  <cp:lastPrinted>2023-04-17T09:55:00Z</cp:lastPrinted>
  <dcterms:modified xsi:type="dcterms:W3CDTF">2023-12-08T15:17:07Z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9B3672528CCC73C613B67265886A0169</vt:lpwstr>
  </property>
</Properties>
</file>