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8"/>
        </w:rPr>
        <w:t>2</w:t>
      </w:r>
      <w:r>
        <w:rPr>
          <w:rFonts w:hint="eastAsia" w:ascii="方正小标宋简体" w:hAnsi="黑体" w:eastAsia="方正小标宋简体"/>
          <w:sz w:val="44"/>
          <w:szCs w:val="48"/>
        </w:rPr>
        <w:t>02</w:t>
      </w:r>
      <w:r>
        <w:rPr>
          <w:rFonts w:ascii="方正小标宋简体" w:hAnsi="黑体" w:eastAsia="方正小标宋简体"/>
          <w:sz w:val="44"/>
          <w:szCs w:val="48"/>
        </w:rPr>
        <w:t>2</w:t>
      </w:r>
      <w:r>
        <w:rPr>
          <w:rFonts w:hint="eastAsia" w:ascii="方正小标宋简体" w:hAnsi="黑体" w:eastAsia="方正小标宋简体"/>
          <w:sz w:val="44"/>
          <w:szCs w:val="48"/>
        </w:rPr>
        <w:t>年大鹏新区安全类资金项目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8"/>
        </w:rPr>
      </w:pPr>
      <w:r>
        <w:rPr>
          <w:rFonts w:hint="eastAsia" w:ascii="方正小标宋简体" w:hAnsi="黑体" w:eastAsia="方正小标宋简体"/>
          <w:sz w:val="44"/>
          <w:szCs w:val="48"/>
        </w:rPr>
        <w:t>绩效评价报告</w:t>
      </w:r>
      <w:bookmarkStart w:id="29" w:name="_GoBack"/>
      <w:bookmarkEnd w:id="29"/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firstLine="560" w:firstLineChars="200"/>
        <w:textAlignment w:val="auto"/>
        <w:rPr>
          <w:rFonts w:hint="eastAsia" w:ascii="仿宋_GB2312" w:hAnsi="楷体" w:cs="楷体_GB2312"/>
          <w:color w:val="000000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C0C0C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color w:val="0C0C0C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仿宋_GB2312"/>
          <w:color w:val="0C0C0C"/>
          <w:sz w:val="32"/>
          <w:szCs w:val="32"/>
        </w:rPr>
        <w:t>年5月-</w:t>
      </w:r>
      <w:r>
        <w:rPr>
          <w:rFonts w:hint="eastAsia" w:ascii="仿宋_GB2312" w:hAnsi="宋体" w:eastAsia="仿宋_GB2312" w:cs="仿宋_GB2312"/>
          <w:color w:val="0C0C0C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仿宋_GB2312"/>
          <w:color w:val="0C0C0C"/>
          <w:sz w:val="32"/>
          <w:szCs w:val="32"/>
        </w:rPr>
        <w:t>月期间，深圳市大鹏新区</w:t>
      </w:r>
      <w:r>
        <w:rPr>
          <w:rFonts w:hint="eastAsia" w:ascii="仿宋_GB2312" w:hAnsi="宋体" w:eastAsia="仿宋_GB2312" w:cs="仿宋_GB2312"/>
          <w:color w:val="0C0C0C"/>
          <w:sz w:val="32"/>
          <w:szCs w:val="32"/>
          <w:lang w:eastAsia="zh-CN"/>
        </w:rPr>
        <w:t>发展和财政局</w:t>
      </w:r>
      <w:r>
        <w:rPr>
          <w:rFonts w:hint="eastAsia" w:ascii="仿宋_GB2312" w:hAnsi="宋体" w:eastAsia="仿宋_GB2312" w:cs="仿宋_GB2312"/>
          <w:color w:val="0C0C0C"/>
          <w:sz w:val="32"/>
          <w:szCs w:val="32"/>
        </w:rPr>
        <w:t>组织评价组对2022年大鹏新区安全类资金项目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进行绩效评价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本次评价共涉及</w:t>
      </w:r>
      <w:r>
        <w:rPr>
          <w:rFonts w:ascii="仿宋_GB2312" w:hAnsi="仿宋_GB2312" w:eastAsia="仿宋_GB2312" w:cs="仿宋_GB2312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家预算单位共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7,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073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。经评价，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项目评分为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8.65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分，</w:t>
      </w:r>
      <w:r>
        <w:rPr>
          <w:rFonts w:hint="eastAsia" w:ascii="仿宋_GB2312" w:hAnsi="仿宋_GB2312" w:eastAsia="仿宋_GB2312" w:cs="仿宋_GB2312"/>
          <w:sz w:val="32"/>
          <w:szCs w:val="32"/>
        </w:rPr>
        <w:t>评定等级为“中”</w:t>
      </w:r>
      <w:r>
        <w:rPr>
          <w:rFonts w:hint="eastAsia" w:ascii="仿宋_GB2312" w:hAnsi="宋体" w:eastAsia="仿宋_GB2312" w:cs="仿宋_GB2312"/>
          <w:color w:val="0C0C0C"/>
          <w:sz w:val="32"/>
          <w:szCs w:val="32"/>
        </w:rPr>
        <w:t>。具体情况如下：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0"/>
        <w:rPr>
          <w:rFonts w:ascii="黑体" w:hAnsi="黑体" w:eastAsia="黑体"/>
          <w:sz w:val="32"/>
          <w:szCs w:val="32"/>
        </w:rPr>
      </w:pPr>
      <w:bookmarkStart w:id="0" w:name="_Toc71763201_WPSOffice_Level1"/>
      <w:bookmarkStart w:id="1" w:name="_Toc206034498"/>
      <w:bookmarkStart w:id="2" w:name="_Toc1552061140"/>
      <w:r>
        <w:rPr>
          <w:rFonts w:ascii="黑体" w:hAnsi="黑体" w:eastAsia="黑体"/>
          <w:sz w:val="32"/>
          <w:szCs w:val="32"/>
        </w:rPr>
        <w:t>一</w:t>
      </w:r>
      <w:r>
        <w:rPr>
          <w:rFonts w:hint="eastAsia" w:ascii="黑体" w:hAnsi="黑体" w:eastAsia="黑体"/>
          <w:sz w:val="32"/>
          <w:szCs w:val="32"/>
        </w:rPr>
        <w:t>、基本情况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为做好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安全工作，新区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家预算单位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年投入财政资金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7,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073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万元，用于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个项目的安全性支出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安全类资金分为安全生产资金和其他安全资金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，其</w:t>
      </w:r>
      <w:r>
        <w:rPr>
          <w:rFonts w:hint="eastAsia" w:ascii="仿宋_GB2312" w:hAnsi="仿宋_GB2312" w:eastAsia="仿宋_GB2312" w:cs="仿宋_GB2312"/>
          <w:sz w:val="32"/>
          <w:szCs w:val="32"/>
        </w:rPr>
        <w:t>中，安全生产资金项目专门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安全生产资金统筹支出，由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深圳市大鹏</w:t>
      </w:r>
      <w:r>
        <w:rPr>
          <w:rFonts w:hint="eastAsia" w:ascii="仿宋_GB2312" w:hAnsi="仿宋_GB2312" w:eastAsia="仿宋_GB2312" w:cs="仿宋_GB2312"/>
          <w:sz w:val="32"/>
          <w:szCs w:val="32"/>
        </w:rPr>
        <w:t>新区安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公室（以下简称新区安委办）</w:t>
      </w:r>
      <w:r>
        <w:rPr>
          <w:rFonts w:hint="eastAsia" w:ascii="仿宋_GB2312" w:hAnsi="仿宋_GB2312" w:eastAsia="仿宋_GB2312" w:cs="仿宋_GB2312"/>
          <w:sz w:val="32"/>
          <w:szCs w:val="32"/>
        </w:rPr>
        <w:t>统筹承办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各申报实施单位实施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；其他安全资金由各预算单位自行安排。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安全类资金项目年初预算7,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073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万元，调整后预算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749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万元，实际支出6,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338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万元，预算执行率9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92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%。其中，安全生产资金项目年初预算956.69万元，调整后预算957.52万元，实际支出919.61万元，预算执行率96.04%；其他安全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项目年初预算6,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  <w:t>116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  <w:t>65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万元，调整后预算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,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  <w:t>791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.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7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万元，实际支出5,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  <w:t>419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万元，预算执行率9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  <w:t>57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%。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二、绩效分析</w:t>
      </w:r>
    </w:p>
    <w:p>
      <w:pPr>
        <w:pStyle w:val="3"/>
        <w:adjustRightInd w:val="0"/>
        <w:snapToGrid w:val="0"/>
        <w:spacing w:after="0" w:line="560" w:lineRule="exact"/>
        <w:ind w:firstLine="672" w:firstLineChars="200"/>
        <w:jc w:val="both"/>
        <w:outlineLvl w:val="1"/>
        <w:rPr>
          <w:rFonts w:ascii="楷体_GB2312" w:hAnsi="楷体_GB2312" w:eastAsia="楷体_GB2312" w:cs="楷体_GB2312"/>
          <w:w w:val="105"/>
          <w:kern w:val="44"/>
          <w:sz w:val="32"/>
          <w:szCs w:val="32"/>
        </w:rPr>
      </w:pPr>
      <w:bookmarkStart w:id="3" w:name="_Toc541053350"/>
      <w:bookmarkStart w:id="4" w:name="_Toc147680573"/>
      <w:r>
        <w:rPr>
          <w:rFonts w:hint="eastAsia" w:ascii="楷体_GB2312" w:hAnsi="楷体_GB2312" w:eastAsia="楷体_GB2312" w:cs="楷体_GB2312"/>
          <w:w w:val="105"/>
          <w:kern w:val="44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w w:val="105"/>
          <w:kern w:val="44"/>
          <w:sz w:val="32"/>
          <w:szCs w:val="32"/>
          <w:lang w:eastAsia="zh-Hans"/>
        </w:rPr>
        <w:t>一</w:t>
      </w:r>
      <w:r>
        <w:rPr>
          <w:rFonts w:hint="eastAsia" w:ascii="楷体_GB2312" w:hAnsi="楷体_GB2312" w:eastAsia="楷体_GB2312" w:cs="楷体_GB2312"/>
          <w:w w:val="105"/>
          <w:kern w:val="44"/>
          <w:sz w:val="32"/>
          <w:szCs w:val="32"/>
        </w:rPr>
        <w:t>）安全形势长期整体向好，但近期有增长性苗头</w:t>
      </w:r>
      <w:bookmarkEnd w:id="3"/>
      <w:bookmarkEnd w:id="4"/>
    </w:p>
    <w:p>
      <w:pPr>
        <w:pStyle w:val="5"/>
        <w:ind w:firstLine="640"/>
        <w:jc w:val="both"/>
        <w:rPr>
          <w:rFonts w:hint="eastAsia" w:ascii="仿宋_GB2312" w:hAnsi="仿宋_GB2312" w:cs="仿宋_GB2312"/>
          <w:kern w:val="2"/>
          <w:szCs w:val="32"/>
          <w:lang w:val="en-US"/>
        </w:rPr>
      </w:pPr>
      <w:r>
        <w:rPr>
          <w:rFonts w:hint="eastAsia" w:ascii="仿宋_GB2312" w:hAnsi="仿宋_GB2312" w:cs="仿宋_GB2312"/>
          <w:b w:val="0"/>
          <w:bCs w:val="0"/>
          <w:kern w:val="2"/>
          <w:szCs w:val="32"/>
          <w:lang w:val="en-US" w:eastAsia="zh-CN"/>
        </w:rPr>
        <w:t>安全形势整体向好。</w:t>
      </w:r>
      <w:r>
        <w:rPr>
          <w:rFonts w:hint="eastAsia" w:ascii="仿宋_GB2312" w:hAnsi="仿宋_GB2312" w:cs="仿宋_GB2312"/>
          <w:b w:val="0"/>
          <w:bCs w:val="0"/>
          <w:kern w:val="2"/>
          <w:szCs w:val="32"/>
          <w:lang w:val="en-US"/>
        </w:rPr>
        <w:t>对比</w:t>
      </w:r>
      <w:r>
        <w:rPr>
          <w:rFonts w:hint="eastAsia" w:ascii="仿宋_GB2312" w:hAnsi="仿宋_GB2312" w:cs="仿宋_GB2312"/>
          <w:kern w:val="2"/>
          <w:szCs w:val="32"/>
          <w:highlight w:val="none"/>
          <w:lang w:val="en-US"/>
        </w:rPr>
        <w:t>分析</w:t>
      </w:r>
      <w:r>
        <w:rPr>
          <w:rFonts w:hint="eastAsia" w:ascii="仿宋_GB2312" w:hAnsi="仿宋_GB2312" w:cs="仿宋_GB2312"/>
          <w:b w:val="0"/>
          <w:bCs w:val="0"/>
          <w:kern w:val="2"/>
          <w:szCs w:val="32"/>
          <w:lang w:val="en-US"/>
        </w:rPr>
        <w:t>近两年事故四项指标，2022年</w:t>
      </w:r>
      <w:r>
        <w:rPr>
          <w:rFonts w:hint="eastAsia" w:ascii="仿宋_GB2312" w:hAnsi="仿宋_GB2312" w:cs="仿宋_GB2312"/>
          <w:b w:val="0"/>
          <w:bCs w:val="0"/>
          <w:kern w:val="2"/>
          <w:szCs w:val="32"/>
          <w:lang w:val="en-US" w:eastAsia="zh-CN"/>
        </w:rPr>
        <w:t>新</w:t>
      </w:r>
      <w:r>
        <w:rPr>
          <w:rFonts w:hint="eastAsia" w:ascii="仿宋_GB2312" w:hAnsi="仿宋_GB2312" w:cs="仿宋_GB2312"/>
          <w:b w:val="0"/>
          <w:bCs w:val="0"/>
          <w:kern w:val="2"/>
          <w:szCs w:val="32"/>
          <w:lang w:val="en-US"/>
        </w:rPr>
        <w:t>区安全事故</w:t>
      </w:r>
      <w:r>
        <w:rPr>
          <w:rFonts w:hint="eastAsia" w:ascii="仿宋_GB2312" w:hAnsi="仿宋_GB2312" w:cs="仿宋_GB2312"/>
          <w:b w:val="0"/>
          <w:bCs w:val="0"/>
          <w:kern w:val="2"/>
          <w:szCs w:val="32"/>
          <w:lang w:val="en-US" w:eastAsia="zh-CN"/>
        </w:rPr>
        <w:t>指标</w:t>
      </w:r>
      <w:r>
        <w:rPr>
          <w:rFonts w:hint="eastAsia" w:ascii="仿宋_GB2312" w:hAnsi="仿宋_GB2312" w:cs="仿宋_GB2312"/>
          <w:b w:val="0"/>
          <w:bCs w:val="0"/>
          <w:kern w:val="2"/>
          <w:szCs w:val="32"/>
          <w:lang w:val="en-US"/>
        </w:rPr>
        <w:t>呈“</w:t>
      </w:r>
      <w:r>
        <w:rPr>
          <w:rFonts w:hint="eastAsia" w:ascii="仿宋_GB2312" w:hAnsi="仿宋_GB2312" w:cs="仿宋_GB2312"/>
          <w:b w:val="0"/>
          <w:bCs w:val="0"/>
          <w:kern w:val="2"/>
          <w:szCs w:val="32"/>
          <w:lang w:val="en-US" w:eastAsia="zh-CN"/>
        </w:rPr>
        <w:t>三</w:t>
      </w:r>
      <w:r>
        <w:rPr>
          <w:rFonts w:hint="eastAsia" w:ascii="仿宋_GB2312" w:hAnsi="仿宋_GB2312" w:cs="仿宋_GB2312"/>
          <w:b w:val="0"/>
          <w:bCs w:val="0"/>
          <w:kern w:val="2"/>
          <w:szCs w:val="32"/>
          <w:lang w:val="en-US"/>
        </w:rPr>
        <w:t>降</w:t>
      </w:r>
      <w:r>
        <w:rPr>
          <w:rFonts w:hint="eastAsia" w:ascii="仿宋_GB2312" w:hAnsi="仿宋_GB2312" w:cs="仿宋_GB2312"/>
          <w:b w:val="0"/>
          <w:bCs w:val="0"/>
          <w:kern w:val="2"/>
          <w:szCs w:val="32"/>
          <w:lang w:val="en-US" w:eastAsia="zh-CN"/>
        </w:rPr>
        <w:t>一</w:t>
      </w:r>
      <w:r>
        <w:rPr>
          <w:rFonts w:hint="eastAsia" w:ascii="仿宋_GB2312" w:hAnsi="仿宋_GB2312" w:cs="仿宋_GB2312"/>
          <w:b w:val="0"/>
          <w:bCs w:val="0"/>
          <w:kern w:val="2"/>
          <w:szCs w:val="32"/>
          <w:lang w:val="en-US"/>
        </w:rPr>
        <w:t>升”态势，</w:t>
      </w:r>
      <w:r>
        <w:rPr>
          <w:rFonts w:hint="eastAsia" w:ascii="仿宋_GB2312" w:hAnsi="仿宋_GB2312" w:cs="仿宋_GB2312"/>
          <w:kern w:val="2"/>
          <w:szCs w:val="32"/>
          <w:lang w:val="en-US" w:eastAsia="zh-CN"/>
        </w:rPr>
        <w:t>但近期有增长性苗头。</w:t>
      </w:r>
      <w:r>
        <w:rPr>
          <w:rFonts w:hint="eastAsia" w:ascii="仿宋_GB2312" w:hAnsi="仿宋_GB2312" w:cs="仿宋_GB2312"/>
          <w:kern w:val="2"/>
          <w:szCs w:val="32"/>
          <w:lang w:val="en-US"/>
        </w:rPr>
        <w:t>2022年安全事故主要集中在生产安全事故、非生产经营性火灾事故、非生产经营性道路交通事故三类。其中，大多事故属于非生产经营性火灾事故，而造成人员伤亡和直接经济损失主要在建筑施工和道路交通领域。</w:t>
      </w:r>
    </w:p>
    <w:p>
      <w:pPr>
        <w:pStyle w:val="5"/>
        <w:ind w:firstLine="640"/>
        <w:jc w:val="both"/>
        <w:outlineLvl w:val="1"/>
        <w:rPr>
          <w:rFonts w:hint="default" w:ascii="楷体_GB2312" w:hAnsi="楷体_GB2312" w:eastAsia="楷体_GB2312" w:cs="楷体_GB2312"/>
          <w:w w:val="105"/>
          <w:kern w:val="44"/>
          <w:szCs w:val="32"/>
          <w:lang w:val="en-US" w:eastAsia="zh-CN"/>
        </w:rPr>
      </w:pPr>
      <w:bookmarkStart w:id="5" w:name="_Toc1037892052"/>
      <w:bookmarkStart w:id="6" w:name="_Toc147680574"/>
      <w:r>
        <w:rPr>
          <w:rFonts w:hint="eastAsia" w:ascii="楷体_GB2312" w:hAnsi="楷体_GB2312" w:eastAsia="楷体_GB2312" w:cs="楷体_GB2312"/>
          <w:w w:val="105"/>
          <w:kern w:val="44"/>
          <w:szCs w:val="32"/>
          <w:lang w:val="en-US"/>
        </w:rPr>
        <w:t>（二）</w:t>
      </w:r>
      <w:r>
        <w:rPr>
          <w:rFonts w:hint="eastAsia" w:ascii="楷体_GB2312" w:hAnsi="楷体_GB2312" w:eastAsia="楷体_GB2312" w:cs="楷体_GB2312"/>
          <w:w w:val="105"/>
          <w:kern w:val="44"/>
          <w:szCs w:val="32"/>
          <w:lang w:eastAsia="zh-CN"/>
        </w:rPr>
        <w:t>生产安全事故</w:t>
      </w:r>
      <w:r>
        <w:rPr>
          <w:rFonts w:hint="eastAsia" w:ascii="楷体_GB2312" w:hAnsi="楷体_GB2312" w:eastAsia="楷体_GB2312" w:cs="楷体_GB2312"/>
          <w:w w:val="105"/>
          <w:kern w:val="44"/>
          <w:szCs w:val="32"/>
          <w:lang w:val="en-US"/>
        </w:rPr>
        <w:t>量少可控，但</w:t>
      </w:r>
      <w:bookmarkEnd w:id="5"/>
      <w:bookmarkEnd w:id="6"/>
      <w:r>
        <w:rPr>
          <w:rFonts w:hint="eastAsia" w:ascii="楷体_GB2312" w:hAnsi="楷体_GB2312" w:eastAsia="楷体_GB2312" w:cs="楷体_GB2312"/>
          <w:w w:val="105"/>
          <w:kern w:val="44"/>
          <w:szCs w:val="32"/>
          <w:lang w:val="en-US" w:eastAsia="zh-CN"/>
        </w:rPr>
        <w:t>管理水平有待提高</w:t>
      </w:r>
    </w:p>
    <w:p>
      <w:pPr>
        <w:pStyle w:val="5"/>
        <w:ind w:firstLine="643"/>
        <w:jc w:val="both"/>
        <w:rPr>
          <w:rFonts w:hint="eastAsia" w:ascii="仿宋_GB2312" w:hAnsi="仿宋_GB2312" w:cs="仿宋_GB2312"/>
          <w:kern w:val="2"/>
          <w:szCs w:val="32"/>
          <w:lang w:val="en-US"/>
        </w:rPr>
      </w:pPr>
      <w:r>
        <w:rPr>
          <w:rFonts w:hint="eastAsia" w:ascii="仿宋_GB2312" w:hAnsi="仿宋_GB2312" w:cs="仿宋_GB2312"/>
          <w:kern w:val="2"/>
          <w:szCs w:val="32"/>
          <w:lang w:val="en-US" w:eastAsia="zh-CN"/>
        </w:rPr>
        <w:t>生产安全事故</w:t>
      </w:r>
      <w:r>
        <w:rPr>
          <w:rFonts w:hint="eastAsia" w:ascii="仿宋_GB2312" w:hAnsi="仿宋_GB2312" w:cs="仿宋_GB2312"/>
          <w:kern w:val="2"/>
          <w:szCs w:val="32"/>
          <w:lang w:val="en-US"/>
        </w:rPr>
        <w:t>四项指标均优于市级平均水平。因此，整体来看</w:t>
      </w:r>
      <w:r>
        <w:rPr>
          <w:rFonts w:hint="eastAsia" w:ascii="仿宋_GB2312" w:hAnsi="仿宋_GB2312" w:cs="仿宋_GB2312"/>
          <w:kern w:val="2"/>
          <w:szCs w:val="32"/>
          <w:lang w:val="en-US" w:eastAsia="zh-CN"/>
        </w:rPr>
        <w:t>生产安全事故</w:t>
      </w:r>
      <w:r>
        <w:rPr>
          <w:rFonts w:hint="eastAsia" w:ascii="仿宋_GB2312" w:hAnsi="仿宋_GB2312" w:cs="仿宋_GB2312"/>
          <w:kern w:val="2"/>
          <w:szCs w:val="32"/>
          <w:lang w:val="en-US"/>
        </w:rPr>
        <w:t>总量少，总体可控。</w:t>
      </w:r>
      <w:r>
        <w:rPr>
          <w:rFonts w:hint="eastAsia" w:ascii="仿宋_GB2312" w:hAnsi="仿宋_GB2312" w:cs="仿宋_GB2312"/>
          <w:kern w:val="2"/>
          <w:szCs w:val="32"/>
          <w:lang w:val="en-US" w:eastAsia="zh-CN"/>
        </w:rPr>
        <w:t>但生产安全事故</w:t>
      </w:r>
      <w:r>
        <w:rPr>
          <w:rFonts w:hint="eastAsia" w:ascii="仿宋_GB2312" w:hAnsi="仿宋_GB2312" w:cs="仿宋_GB2312"/>
          <w:kern w:val="2"/>
          <w:szCs w:val="32"/>
          <w:highlight w:val="none"/>
          <w:lang w:val="en-US"/>
        </w:rPr>
        <w:t>四项指标“</w:t>
      </w:r>
      <w:r>
        <w:rPr>
          <w:rFonts w:hint="eastAsia" w:ascii="仿宋_GB2312" w:hAnsi="仿宋_GB2312" w:cs="仿宋_GB2312"/>
          <w:kern w:val="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cs="仿宋_GB2312"/>
          <w:kern w:val="2"/>
          <w:szCs w:val="32"/>
          <w:highlight w:val="none"/>
          <w:lang w:val="en-US"/>
        </w:rPr>
        <w:t>降</w:t>
      </w:r>
      <w:r>
        <w:rPr>
          <w:rFonts w:hint="eastAsia" w:ascii="仿宋_GB2312" w:hAnsi="仿宋_GB2312" w:cs="仿宋_GB2312"/>
          <w:kern w:val="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cs="仿宋_GB2312"/>
          <w:kern w:val="2"/>
          <w:szCs w:val="32"/>
          <w:highlight w:val="none"/>
          <w:lang w:val="en-US"/>
        </w:rPr>
        <w:t>升”</w:t>
      </w:r>
      <w:r>
        <w:rPr>
          <w:rFonts w:hint="eastAsia" w:ascii="仿宋_GB2312" w:hAnsi="仿宋_GB2312" w:cs="仿宋_GB2312"/>
          <w:kern w:val="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cs="仿宋_GB2312"/>
          <w:kern w:val="2"/>
          <w:szCs w:val="32"/>
          <w:highlight w:val="none"/>
          <w:lang w:val="en-US"/>
        </w:rPr>
        <w:t>反映出</w:t>
      </w:r>
      <w:r>
        <w:rPr>
          <w:rFonts w:hint="eastAsia" w:ascii="仿宋_GB2312" w:hAnsi="仿宋_GB2312" w:cs="仿宋_GB2312"/>
          <w:kern w:val="2"/>
          <w:szCs w:val="32"/>
          <w:highlight w:val="none"/>
          <w:lang w:val="en-US" w:eastAsia="zh-CN"/>
        </w:rPr>
        <w:t>生产安全事故</w:t>
      </w:r>
      <w:r>
        <w:rPr>
          <w:rFonts w:hint="eastAsia" w:ascii="仿宋_GB2312" w:hAnsi="仿宋_GB2312" w:cs="仿宋_GB2312"/>
          <w:kern w:val="2"/>
          <w:szCs w:val="32"/>
          <w:highlight w:val="none"/>
          <w:lang w:val="en-US"/>
        </w:rPr>
        <w:t>有一定增长性苗头</w:t>
      </w:r>
      <w:r>
        <w:rPr>
          <w:rFonts w:hint="eastAsia" w:ascii="仿宋_GB2312" w:hAnsi="仿宋_GB2312" w:cs="仿宋_GB2312"/>
          <w:kern w:val="2"/>
          <w:szCs w:val="32"/>
          <w:lang w:val="en-US"/>
        </w:rPr>
        <w:t>，安全生产管理水平仍有待提高。</w:t>
      </w:r>
      <w:bookmarkStart w:id="7" w:name="_Toc147680575"/>
      <w:bookmarkStart w:id="8" w:name="_Toc1989537030"/>
    </w:p>
    <w:p>
      <w:pPr>
        <w:pStyle w:val="3"/>
        <w:adjustRightInd w:val="0"/>
        <w:snapToGrid w:val="0"/>
        <w:spacing w:after="0" w:line="560" w:lineRule="exact"/>
        <w:ind w:firstLine="672" w:firstLineChars="200"/>
        <w:jc w:val="both"/>
        <w:outlineLvl w:val="1"/>
        <w:rPr>
          <w:rFonts w:ascii="楷体_GB2312" w:hAnsi="楷体_GB2312" w:eastAsia="楷体_GB2312" w:cs="楷体_GB2312"/>
          <w:w w:val="105"/>
          <w:kern w:val="44"/>
          <w:sz w:val="32"/>
          <w:szCs w:val="32"/>
        </w:rPr>
      </w:pPr>
      <w:r>
        <w:rPr>
          <w:rFonts w:hint="eastAsia" w:ascii="楷体_GB2312" w:hAnsi="楷体_GB2312" w:eastAsia="楷体_GB2312" w:cs="楷体_GB2312"/>
          <w:w w:val="105"/>
          <w:kern w:val="44"/>
          <w:sz w:val="32"/>
          <w:szCs w:val="32"/>
          <w:lang w:eastAsia="zh-Hans"/>
        </w:rPr>
        <w:t>（</w:t>
      </w:r>
      <w:r>
        <w:rPr>
          <w:rFonts w:hint="eastAsia" w:ascii="楷体_GB2312" w:hAnsi="楷体_GB2312" w:eastAsia="楷体_GB2312" w:cs="楷体_GB2312"/>
          <w:w w:val="105"/>
          <w:kern w:val="44"/>
          <w:sz w:val="32"/>
          <w:szCs w:val="32"/>
        </w:rPr>
        <w:t>三</w:t>
      </w:r>
      <w:r>
        <w:rPr>
          <w:rFonts w:hint="eastAsia" w:ascii="楷体_GB2312" w:hAnsi="楷体_GB2312" w:eastAsia="楷体_GB2312" w:cs="楷体_GB2312"/>
          <w:w w:val="105"/>
          <w:kern w:val="44"/>
          <w:sz w:val="32"/>
          <w:szCs w:val="32"/>
          <w:lang w:eastAsia="zh-Hans"/>
        </w:rPr>
        <w:t>）</w:t>
      </w:r>
      <w:r>
        <w:rPr>
          <w:rFonts w:hint="eastAsia" w:ascii="楷体_GB2312" w:hAnsi="楷体_GB2312" w:eastAsia="楷体_GB2312" w:cs="楷体_GB2312"/>
          <w:w w:val="105"/>
          <w:kern w:val="44"/>
          <w:sz w:val="32"/>
          <w:szCs w:val="32"/>
        </w:rPr>
        <w:t>交通事故下降趋势明显，但近年经济损失较高</w:t>
      </w:r>
      <w:bookmarkEnd w:id="7"/>
      <w:bookmarkEnd w:id="8"/>
    </w:p>
    <w:p>
      <w:pPr>
        <w:pStyle w:val="5"/>
        <w:ind w:firstLine="643"/>
        <w:jc w:val="both"/>
        <w:rPr>
          <w:rFonts w:hint="eastAsia" w:ascii="仿宋_GB2312" w:hAnsi="仿宋_GB2312" w:cs="仿宋_GB2312"/>
          <w:kern w:val="2"/>
          <w:szCs w:val="32"/>
          <w:lang w:val="en-US"/>
        </w:rPr>
      </w:pPr>
      <w:r>
        <w:rPr>
          <w:rFonts w:hint="eastAsia" w:ascii="仿宋_GB2312" w:hAnsi="仿宋_GB2312" w:cs="仿宋_GB2312"/>
          <w:kern w:val="44"/>
          <w:szCs w:val="32"/>
          <w:lang w:val="en-US"/>
        </w:rPr>
        <w:t>2022年发生一般级别以上交通事故数量整体呈下降趋势，从2012年的85起逐步下滑至2022年的</w:t>
      </w:r>
      <w:r>
        <w:rPr>
          <w:rFonts w:hint="eastAsia" w:ascii="仿宋_GB2312" w:hAnsi="仿宋_GB2312" w:cs="仿宋_GB2312"/>
          <w:kern w:val="44"/>
          <w:szCs w:val="32"/>
          <w:lang w:val="en-US" w:eastAsia="zh-CN"/>
        </w:rPr>
        <w:t>12</w:t>
      </w:r>
      <w:r>
        <w:rPr>
          <w:rFonts w:hint="eastAsia" w:ascii="仿宋_GB2312" w:hAnsi="仿宋_GB2312" w:cs="仿宋_GB2312"/>
          <w:kern w:val="44"/>
          <w:szCs w:val="32"/>
          <w:lang w:val="en-US"/>
        </w:rPr>
        <w:t>起，降幅将近</w:t>
      </w:r>
      <w:r>
        <w:rPr>
          <w:rFonts w:hint="eastAsia" w:ascii="仿宋_GB2312" w:hAnsi="仿宋_GB2312" w:cs="仿宋_GB2312"/>
          <w:kern w:val="44"/>
          <w:szCs w:val="32"/>
          <w:lang w:val="en-US" w:eastAsia="zh-CN"/>
        </w:rPr>
        <w:t>85.9</w:t>
      </w:r>
      <w:r>
        <w:rPr>
          <w:rFonts w:hint="eastAsia" w:ascii="仿宋_GB2312" w:hAnsi="仿宋_GB2312" w:cs="仿宋_GB2312"/>
          <w:kern w:val="44"/>
          <w:szCs w:val="32"/>
          <w:lang w:val="en-US"/>
        </w:rPr>
        <w:t>%。</w:t>
      </w:r>
      <w:r>
        <w:rPr>
          <w:rFonts w:hint="eastAsia" w:ascii="仿宋_GB2312" w:hAnsi="仿宋_GB2312" w:cs="仿宋_GB2312"/>
          <w:b w:val="0"/>
          <w:bCs w:val="0"/>
          <w:kern w:val="44"/>
          <w:szCs w:val="32"/>
          <w:lang w:val="en-US" w:eastAsia="zh-CN"/>
        </w:rPr>
        <w:t>但</w:t>
      </w:r>
      <w:r>
        <w:rPr>
          <w:rFonts w:hint="eastAsia" w:ascii="仿宋_GB2312" w:hAnsi="仿宋_GB2312" w:cs="仿宋_GB2312"/>
          <w:kern w:val="2"/>
          <w:szCs w:val="32"/>
          <w:lang w:val="en-US"/>
        </w:rPr>
        <w:t>2022年造成的直接经济损失</w:t>
      </w:r>
      <w:r>
        <w:rPr>
          <w:rFonts w:hint="eastAsia" w:ascii="仿宋_GB2312" w:hAnsi="仿宋_GB2312" w:cs="仿宋_GB2312"/>
          <w:kern w:val="2"/>
          <w:szCs w:val="32"/>
          <w:lang w:val="en-US" w:eastAsia="zh-CN"/>
        </w:rPr>
        <w:t>处于近年</w:t>
      </w:r>
      <w:r>
        <w:rPr>
          <w:rFonts w:hint="eastAsia" w:ascii="仿宋_GB2312" w:hAnsi="仿宋_GB2312" w:cs="仿宋_GB2312"/>
          <w:kern w:val="2"/>
          <w:szCs w:val="32"/>
          <w:lang w:val="en-US"/>
        </w:rPr>
        <w:t>较高</w:t>
      </w:r>
      <w:r>
        <w:rPr>
          <w:rFonts w:hint="eastAsia" w:ascii="仿宋_GB2312" w:hAnsi="仿宋_GB2312" w:cs="仿宋_GB2312"/>
          <w:kern w:val="2"/>
          <w:szCs w:val="32"/>
          <w:lang w:val="en-US" w:eastAsia="zh-CN"/>
        </w:rPr>
        <w:t>水平</w:t>
      </w:r>
      <w:r>
        <w:rPr>
          <w:rFonts w:hint="eastAsia" w:ascii="仿宋_GB2312" w:hAnsi="仿宋_GB2312" w:cs="仿宋_GB2312"/>
          <w:kern w:val="2"/>
          <w:szCs w:val="32"/>
          <w:lang w:val="en-US"/>
        </w:rPr>
        <w:t>。</w:t>
      </w:r>
    </w:p>
    <w:p>
      <w:pPr>
        <w:pStyle w:val="3"/>
        <w:adjustRightInd w:val="0"/>
        <w:snapToGrid w:val="0"/>
        <w:spacing w:after="0" w:line="560" w:lineRule="exact"/>
        <w:ind w:firstLine="672" w:firstLineChars="200"/>
        <w:jc w:val="both"/>
        <w:outlineLvl w:val="1"/>
        <w:rPr>
          <w:rFonts w:ascii="楷体_GB2312" w:hAnsi="楷体_GB2312" w:eastAsia="楷体_GB2312" w:cs="楷体_GB2312"/>
          <w:w w:val="105"/>
          <w:kern w:val="44"/>
          <w:sz w:val="32"/>
          <w:szCs w:val="32"/>
        </w:rPr>
      </w:pPr>
      <w:bookmarkStart w:id="9" w:name="_Toc147680576"/>
      <w:bookmarkStart w:id="10" w:name="_Toc1828479420"/>
      <w:r>
        <w:rPr>
          <w:rFonts w:hint="eastAsia" w:ascii="楷体_GB2312" w:hAnsi="楷体_GB2312" w:eastAsia="楷体_GB2312" w:cs="楷体_GB2312"/>
          <w:w w:val="105"/>
          <w:kern w:val="44"/>
          <w:sz w:val="32"/>
          <w:szCs w:val="32"/>
        </w:rPr>
        <w:t>（四）重特大火灾事故零发生，但近年火灾事故频发</w:t>
      </w:r>
      <w:bookmarkEnd w:id="9"/>
      <w:bookmarkEnd w:id="10"/>
    </w:p>
    <w:p>
      <w:pPr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非生产经营性火灾事故基本无人员伤亡，无重特大火灾，主要造成财产损失，但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近年</w:t>
      </w:r>
      <w:r>
        <w:rPr>
          <w:rFonts w:hint="eastAsia" w:ascii="仿宋_GB2312" w:hAnsi="仿宋_GB2312" w:eastAsia="仿宋_GB2312" w:cs="仿宋_GB2312"/>
          <w:sz w:val="32"/>
          <w:szCs w:val="32"/>
        </w:rPr>
        <w:t>火灾事故发生量激增。</w:t>
      </w:r>
    </w:p>
    <w:p>
      <w:pPr>
        <w:pStyle w:val="3"/>
        <w:adjustRightInd w:val="0"/>
        <w:snapToGrid w:val="0"/>
        <w:spacing w:after="0" w:line="560" w:lineRule="exact"/>
        <w:ind w:firstLine="672" w:firstLineChars="200"/>
        <w:jc w:val="both"/>
        <w:outlineLvl w:val="1"/>
        <w:rPr>
          <w:rFonts w:ascii="楷体_GB2312" w:hAnsi="楷体_GB2312" w:eastAsia="楷体_GB2312" w:cs="楷体_GB2312"/>
          <w:w w:val="105"/>
          <w:kern w:val="44"/>
          <w:sz w:val="32"/>
          <w:szCs w:val="32"/>
        </w:rPr>
      </w:pPr>
      <w:bookmarkStart w:id="11" w:name="_Toc762623370"/>
      <w:bookmarkStart w:id="12" w:name="_Toc147680577"/>
      <w:r>
        <w:rPr>
          <w:rFonts w:hint="eastAsia" w:ascii="楷体_GB2312" w:hAnsi="楷体_GB2312" w:eastAsia="楷体_GB2312" w:cs="楷体_GB2312"/>
          <w:w w:val="105"/>
          <w:kern w:val="44"/>
          <w:sz w:val="32"/>
          <w:szCs w:val="32"/>
        </w:rPr>
        <w:t>（五）其余行业事故较少发生，但新兴行业风险凸显</w:t>
      </w:r>
      <w:bookmarkEnd w:id="11"/>
      <w:bookmarkEnd w:id="1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13" w:name="_Toc303277264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2021年、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2022年工矿商贸事故、其他一般突发事件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均未发生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自然灾害事件未造成人员伤亡和财产损失。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但</w:t>
      </w:r>
      <w:r>
        <w:rPr>
          <w:rFonts w:hint="eastAsia" w:ascii="仿宋_GB2312" w:hAnsi="仿宋_GB2312" w:eastAsia="仿宋_GB2312" w:cs="仿宋_GB2312"/>
          <w:sz w:val="32"/>
          <w:szCs w:val="32"/>
        </w:rPr>
        <w:t>新兴行业、以往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忽视的领域一定程度上存在安全监管漏洞和盲区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黑体" w:hAnsi="黑体" w:eastAsia="黑体" w:cs="黑体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、存在问题</w:t>
      </w:r>
      <w:bookmarkEnd w:id="13"/>
    </w:p>
    <w:p>
      <w:pPr>
        <w:spacing w:line="560" w:lineRule="exact"/>
        <w:ind w:firstLine="640" w:firstLineChars="200"/>
        <w:jc w:val="both"/>
        <w:outlineLvl w:val="1"/>
        <w:rPr>
          <w:rFonts w:ascii="楷体_GB2312" w:hAnsi="楷体_GB2312" w:eastAsia="楷体_GB2312" w:cs="楷体_GB2312"/>
          <w:sz w:val="32"/>
          <w:szCs w:val="32"/>
          <w:lang w:eastAsia="zh-Hans"/>
        </w:rPr>
      </w:pPr>
      <w:bookmarkStart w:id="14" w:name="_Toc592893353"/>
      <w:bookmarkStart w:id="15" w:name="_Toc147680579"/>
      <w:bookmarkStart w:id="16" w:name="_Toc307053133"/>
      <w:r>
        <w:rPr>
          <w:rFonts w:hint="eastAsia" w:ascii="楷体_GB2312" w:hAnsi="楷体_GB2312" w:eastAsia="楷体_GB2312" w:cs="楷体_GB2312"/>
          <w:sz w:val="32"/>
          <w:szCs w:val="32"/>
          <w:lang w:eastAsia="zh-Hans"/>
        </w:rPr>
        <w:t>（一）统筹研判不够到位，业务方向指引不够精准</w:t>
      </w:r>
      <w:bookmarkEnd w:id="14"/>
      <w:bookmarkEnd w:id="15"/>
    </w:p>
    <w:p>
      <w:pPr>
        <w:spacing w:line="560" w:lineRule="exact"/>
        <w:ind w:firstLine="642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区级智慧应急平台有待完善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系统仍处于与市级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一库四平台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对接过程中，且部分数据时效性不足，不利于研判分析。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部分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职能部门未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充分结合研判分析结果，统筹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安排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好安全类资金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，优化资金分配结构，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将财政资金投向更能降低安全风险隐患的项目。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新区</w:t>
      </w:r>
      <w:r>
        <w:rPr>
          <w:rFonts w:hint="eastAsia" w:ascii="仿宋_GB2312" w:hAnsi="仿宋_GB2312" w:eastAsia="仿宋_GB2312" w:cs="仿宋_GB2312"/>
          <w:b w:val="0"/>
          <w:bCs w:val="0"/>
          <w:w w:val="105"/>
          <w:sz w:val="32"/>
          <w:szCs w:val="32"/>
          <w:lang w:eastAsia="zh-Hans" w:bidi="ar"/>
        </w:rPr>
        <w:t>安委办</w:t>
      </w:r>
      <w:r>
        <w:rPr>
          <w:rFonts w:hint="eastAsia" w:ascii="仿宋_GB2312" w:hAnsi="仿宋_GB2312" w:eastAsia="仿宋_GB2312" w:cs="仿宋_GB2312"/>
          <w:b w:val="0"/>
          <w:bCs w:val="0"/>
          <w:w w:val="105"/>
          <w:sz w:val="32"/>
          <w:szCs w:val="32"/>
          <w:lang w:val="en-US" w:eastAsia="zh-CN" w:bidi="ar"/>
        </w:rPr>
        <w:t>对安全生产资金的统筹指引不够，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安全生产资金项目申报类型较少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多个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方向项目偏少甚至没有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个别类别项目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资金分配结构变化偏大，合理性不足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both"/>
        <w:outlineLvl w:val="1"/>
        <w:rPr>
          <w:rFonts w:ascii="楷体_GB2312" w:hAnsi="楷体_GB2312" w:eastAsia="楷体_GB2312" w:cs="楷体_GB2312"/>
          <w:sz w:val="32"/>
          <w:szCs w:val="32"/>
          <w:lang w:eastAsia="zh-Hans"/>
        </w:rPr>
      </w:pPr>
      <w:bookmarkStart w:id="17" w:name="_Toc434461791"/>
      <w:bookmarkStart w:id="18" w:name="_Toc147680580"/>
      <w:r>
        <w:rPr>
          <w:rFonts w:hint="eastAsia" w:ascii="楷体_GB2312" w:hAnsi="楷体_GB2312" w:eastAsia="楷体_GB2312" w:cs="楷体_GB2312"/>
          <w:sz w:val="32"/>
          <w:szCs w:val="32"/>
          <w:lang w:eastAsia="zh-Hans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eastAsia="zh-Hans"/>
        </w:rPr>
        <w:t>）绩效意识未能根植，资金使用效益不够充分</w:t>
      </w:r>
      <w:bookmarkEnd w:id="17"/>
      <w:bookmarkEnd w:id="18"/>
    </w:p>
    <w:p>
      <w:pPr>
        <w:pStyle w:val="17"/>
        <w:spacing w:line="560" w:lineRule="exact"/>
        <w:ind w:firstLine="642" w:firstLineChars="200"/>
        <w:jc w:val="both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部分项目完成不够及时，降低项目使用效益。部分项目2022年未完成，需延期推进。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绩效统计意识不强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一方面，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未开展满意度调查，不利于总结完善；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另一方面，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未统计安全知晓率，不利于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优化完善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绩效目标设置不够合理。部分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项目绩效管理未有效闭环，绩效实现情况未统计、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绩效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目标设置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不够量化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绩效自评较为随意。个别项目绩效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自评表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中的成本产出指标与绩效目标不一致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绩效自评工作开展较为随意。</w:t>
      </w:r>
    </w:p>
    <w:p>
      <w:pPr>
        <w:tabs>
          <w:tab w:val="left" w:pos="0"/>
        </w:tabs>
        <w:spacing w:line="560" w:lineRule="exact"/>
        <w:ind w:firstLine="640" w:firstLineChars="200"/>
        <w:jc w:val="both"/>
        <w:outlineLvl w:val="1"/>
        <w:rPr>
          <w:rFonts w:ascii="楷体_GB2312" w:hAnsi="楷体_GB2312" w:eastAsia="楷体_GB2312" w:cs="楷体_GB2312"/>
          <w:sz w:val="32"/>
          <w:szCs w:val="32"/>
          <w:lang w:eastAsia="zh-Hans"/>
        </w:rPr>
      </w:pPr>
      <w:bookmarkStart w:id="19" w:name="_Toc554921537"/>
      <w:r>
        <w:rPr>
          <w:rFonts w:hint="eastAsia" w:ascii="楷体_GB2312" w:hAnsi="楷体_GB2312" w:eastAsia="楷体_GB2312" w:cs="楷体_GB2312"/>
          <w:sz w:val="32"/>
          <w:szCs w:val="32"/>
          <w:lang w:eastAsia="zh-Hans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  <w:lang w:eastAsia="zh-Hans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资金</w:t>
      </w:r>
      <w:r>
        <w:rPr>
          <w:rFonts w:hint="eastAsia" w:ascii="楷体_GB2312" w:hAnsi="楷体_GB2312" w:eastAsia="楷体_GB2312" w:cs="楷体_GB2312"/>
          <w:sz w:val="32"/>
          <w:szCs w:val="32"/>
          <w:lang w:eastAsia="zh-Hans"/>
        </w:rPr>
        <w:t>管理不</w:t>
      </w:r>
      <w:r>
        <w:rPr>
          <w:rFonts w:hint="eastAsia" w:ascii="楷体_GB2312" w:hAnsi="楷体_GB2312" w:eastAsia="楷体_GB2312" w:cs="楷体_GB2312"/>
          <w:sz w:val="32"/>
          <w:szCs w:val="32"/>
        </w:rPr>
        <w:t>够</w:t>
      </w:r>
      <w:r>
        <w:rPr>
          <w:rFonts w:hint="eastAsia" w:ascii="楷体_GB2312" w:hAnsi="楷体_GB2312" w:eastAsia="楷体_GB2312" w:cs="楷体_GB2312"/>
          <w:sz w:val="32"/>
          <w:szCs w:val="32"/>
          <w:lang w:eastAsia="zh-Hans"/>
        </w:rPr>
        <w:t>规范，预算编制执行不够科学</w:t>
      </w:r>
      <w:bookmarkEnd w:id="19"/>
    </w:p>
    <w:p>
      <w:pPr>
        <w:pStyle w:val="17"/>
        <w:spacing w:line="560" w:lineRule="exact"/>
        <w:ind w:firstLine="642" w:firstLineChars="20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预算编制不够细化，资金测算不够严谨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部分项目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无测算标准依据文件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未细化预算编制内容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预算编制水平有待提高。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预算执行有偏差，部分项目执行率不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高。一方面，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预算与执行“两张皮”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另一方面，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项目未及时推进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当年未能形成支出，造成财政资金沉淀。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财务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管理不够规范，资金使用水平有待提高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存在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会计核算不够合规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财务摘要有误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且财务核查不严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经济分类科目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使用较为随意等问题。</w:t>
      </w:r>
    </w:p>
    <w:p>
      <w:pPr>
        <w:tabs>
          <w:tab w:val="left" w:pos="0"/>
        </w:tabs>
        <w:spacing w:line="560" w:lineRule="exact"/>
        <w:ind w:firstLine="640" w:firstLineChars="200"/>
        <w:jc w:val="both"/>
        <w:outlineLvl w:val="1"/>
        <w:rPr>
          <w:rFonts w:ascii="楷体_GB2312" w:hAnsi="楷体_GB2312" w:eastAsia="楷体_GB2312" w:cs="楷体_GB2312"/>
          <w:sz w:val="32"/>
          <w:szCs w:val="32"/>
        </w:rPr>
      </w:pPr>
      <w:bookmarkStart w:id="20" w:name="_Toc44793438"/>
      <w:r>
        <w:rPr>
          <w:rFonts w:hint="eastAsia" w:ascii="楷体_GB2312" w:hAnsi="楷体_GB2312" w:eastAsia="楷体_GB2312" w:cs="楷体_GB2312"/>
          <w:sz w:val="32"/>
          <w:szCs w:val="32"/>
          <w:lang w:eastAsia="zh-Hans"/>
        </w:rPr>
        <w:t>（四）项目管理较为粗放，</w:t>
      </w:r>
      <w:r>
        <w:rPr>
          <w:rFonts w:hint="eastAsia" w:ascii="楷体_GB2312" w:hAnsi="楷体_GB2312" w:eastAsia="楷体_GB2312" w:cs="楷体_GB2312"/>
          <w:sz w:val="32"/>
          <w:szCs w:val="32"/>
        </w:rPr>
        <w:t>主体责任落实不够到位</w:t>
      </w:r>
      <w:bookmarkEnd w:id="20"/>
    </w:p>
    <w:p>
      <w:pPr>
        <w:pStyle w:val="17"/>
        <w:spacing w:line="560" w:lineRule="exact"/>
        <w:ind w:firstLine="642" w:firstLineChars="200"/>
        <w:jc w:val="both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采购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管理不规范。个别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项目先开展工作后签订合同，先签订合同再公示采购结果，确定采购结果后未及时公示。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项目合同条款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设置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不科学，履约考核不到位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个别单位对数据统计管理不够重视，安全事故相关数据统计不够准确。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、改进建议</w:t>
      </w:r>
      <w:bookmarkEnd w:id="16"/>
    </w:p>
    <w:p>
      <w:pPr>
        <w:pStyle w:val="3"/>
        <w:adjustRightInd w:val="0"/>
        <w:snapToGrid w:val="0"/>
        <w:spacing w:after="0" w:line="560" w:lineRule="exact"/>
        <w:ind w:firstLine="672" w:firstLineChars="200"/>
        <w:jc w:val="both"/>
        <w:outlineLvl w:val="1"/>
        <w:rPr>
          <w:rFonts w:ascii="楷体_GB2312" w:hAnsi="楷体_GB2312" w:eastAsia="楷体_GB2312" w:cs="楷体_GB2312"/>
          <w:w w:val="105"/>
          <w:kern w:val="44"/>
          <w:sz w:val="32"/>
          <w:szCs w:val="32"/>
        </w:rPr>
      </w:pPr>
      <w:bookmarkStart w:id="21" w:name="_Toc1627466299"/>
      <w:bookmarkStart w:id="22" w:name="_Toc147680584"/>
      <w:r>
        <w:rPr>
          <w:rFonts w:hint="eastAsia" w:ascii="楷体_GB2312" w:hAnsi="楷体_GB2312" w:eastAsia="楷体_GB2312" w:cs="楷体_GB2312"/>
          <w:w w:val="105"/>
          <w:kern w:val="44"/>
          <w:sz w:val="32"/>
          <w:szCs w:val="32"/>
        </w:rPr>
        <w:t>（一）加强统筹指导，提高研判分析能力</w:t>
      </w:r>
      <w:bookmarkEnd w:id="21"/>
      <w:bookmarkEnd w:id="22"/>
    </w:p>
    <w:p>
      <w:pPr>
        <w:pStyle w:val="5"/>
        <w:ind w:firstLine="643"/>
        <w:jc w:val="both"/>
        <w:rPr>
          <w:rFonts w:hint="eastAsia" w:ascii="仿宋_GB2312" w:hAnsi="仿宋_GB2312" w:cs="仿宋_GB2312"/>
          <w:b w:val="0"/>
          <w:bCs w:val="0"/>
          <w:szCs w:val="32"/>
          <w:lang w:val="en-US"/>
        </w:rPr>
      </w:pPr>
      <w:r>
        <w:rPr>
          <w:rFonts w:hint="eastAsia" w:ascii="仿宋_GB2312" w:hAnsi="仿宋_GB2312" w:cs="仿宋_GB2312"/>
          <w:b/>
          <w:bCs/>
          <w:szCs w:val="32"/>
          <w:lang w:val="en-US"/>
        </w:rPr>
        <w:t>一是</w:t>
      </w:r>
      <w:r>
        <w:rPr>
          <w:rFonts w:hint="eastAsia" w:ascii="仿宋_GB2312" w:hAnsi="仿宋_GB2312" w:cs="仿宋_GB2312"/>
          <w:b w:val="0"/>
          <w:bCs w:val="0"/>
          <w:szCs w:val="32"/>
          <w:lang w:val="en-US"/>
        </w:rPr>
        <w:t>新区应急管理局</w:t>
      </w: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应</w:t>
      </w:r>
      <w:r>
        <w:rPr>
          <w:rFonts w:hint="eastAsia" w:ascii="仿宋_GB2312" w:hAnsi="仿宋_GB2312" w:cs="仿宋_GB2312"/>
          <w:b w:val="0"/>
          <w:bCs w:val="0"/>
          <w:szCs w:val="32"/>
          <w:lang w:val="en-US"/>
        </w:rPr>
        <w:t>抓紧完善区级智慧应急平台，积极与市应急管理局沟通，做好平台对接工作。</w:t>
      </w:r>
      <w:r>
        <w:rPr>
          <w:rFonts w:hint="eastAsia" w:ascii="仿宋_GB2312" w:hAnsi="仿宋_GB2312" w:cs="仿宋_GB2312"/>
          <w:b/>
          <w:bCs/>
          <w:szCs w:val="32"/>
          <w:lang w:val="en-US"/>
        </w:rPr>
        <w:t>二是</w:t>
      </w:r>
      <w:r>
        <w:rPr>
          <w:rFonts w:hint="eastAsia" w:ascii="仿宋_GB2312" w:hAnsi="仿宋_GB2312" w:cs="仿宋_GB2312"/>
          <w:b w:val="0"/>
          <w:bCs w:val="0"/>
          <w:szCs w:val="32"/>
          <w:lang w:val="en-US"/>
        </w:rPr>
        <w:t>各职能部门应及时关注研判分析信息，加强重点领域研究分析，</w:t>
      </w: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充分利用研判分析结果进行项目安排</w:t>
      </w:r>
      <w:r>
        <w:rPr>
          <w:rFonts w:hint="eastAsia" w:ascii="仿宋_GB2312" w:hAnsi="仿宋_GB2312" w:cs="仿宋_GB2312"/>
          <w:b w:val="0"/>
          <w:bCs w:val="0"/>
          <w:szCs w:val="32"/>
          <w:lang w:val="en-US"/>
        </w:rPr>
        <w:t>。</w:t>
      </w: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三</w:t>
      </w:r>
      <w:r>
        <w:rPr>
          <w:rFonts w:hint="eastAsia" w:ascii="仿宋_GB2312" w:hAnsi="仿宋_GB2312" w:cs="仿宋_GB2312"/>
          <w:b/>
          <w:bCs/>
          <w:szCs w:val="32"/>
          <w:lang w:val="en-US"/>
        </w:rPr>
        <w:t>是</w:t>
      </w:r>
      <w:r>
        <w:rPr>
          <w:rFonts w:hint="eastAsia" w:ascii="仿宋_GB2312" w:hAnsi="仿宋_GB2312" w:cs="仿宋_GB2312"/>
          <w:b w:val="0"/>
          <w:bCs w:val="0"/>
          <w:szCs w:val="32"/>
          <w:lang w:val="en-US"/>
        </w:rPr>
        <w:t>新区安委办</w:t>
      </w: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应</w:t>
      </w:r>
      <w:r>
        <w:rPr>
          <w:rFonts w:hint="eastAsia" w:ascii="仿宋_GB2312" w:hAnsi="仿宋_GB2312" w:cs="仿宋_GB2312"/>
          <w:b w:val="0"/>
          <w:bCs w:val="0"/>
          <w:szCs w:val="32"/>
          <w:lang w:val="en-US"/>
        </w:rPr>
        <w:t>做好安全生产资金申报引导，精准统筹分配安全生产资金，</w:t>
      </w:r>
      <w:r>
        <w:rPr>
          <w:rFonts w:hint="eastAsia" w:ascii="仿宋_GB2312"/>
          <w:b w:val="0"/>
          <w:bCs w:val="0"/>
          <w:color w:val="000000"/>
          <w:szCs w:val="32"/>
          <w:lang w:eastAsia="zh-Hans"/>
        </w:rPr>
        <w:t>完善经费分配结构</w:t>
      </w:r>
      <w:r>
        <w:rPr>
          <w:rFonts w:hint="eastAsia" w:ascii="仿宋_GB2312" w:hAnsi="仿宋_GB2312" w:cs="仿宋_GB2312"/>
          <w:b w:val="0"/>
          <w:bCs w:val="0"/>
          <w:szCs w:val="32"/>
          <w:lang w:val="en-US"/>
        </w:rPr>
        <w:t>。</w:t>
      </w:r>
    </w:p>
    <w:p>
      <w:pPr>
        <w:pStyle w:val="3"/>
        <w:adjustRightInd w:val="0"/>
        <w:snapToGrid w:val="0"/>
        <w:spacing w:after="0" w:line="560" w:lineRule="exact"/>
        <w:ind w:firstLine="672" w:firstLineChars="200"/>
        <w:jc w:val="both"/>
        <w:outlineLvl w:val="1"/>
        <w:rPr>
          <w:rFonts w:ascii="楷体_GB2312" w:hAnsi="楷体_GB2312" w:eastAsia="楷体_GB2312" w:cs="楷体_GB2312"/>
          <w:w w:val="105"/>
          <w:kern w:val="44"/>
          <w:sz w:val="32"/>
          <w:szCs w:val="32"/>
        </w:rPr>
      </w:pPr>
      <w:bookmarkStart w:id="23" w:name="_Toc326875454"/>
      <w:bookmarkStart w:id="24" w:name="_Toc147680585"/>
      <w:r>
        <w:rPr>
          <w:rFonts w:hint="eastAsia" w:ascii="楷体_GB2312" w:hAnsi="楷体_GB2312" w:eastAsia="楷体_GB2312" w:cs="楷体_GB2312"/>
          <w:w w:val="105"/>
          <w:kern w:val="44"/>
          <w:sz w:val="32"/>
          <w:szCs w:val="32"/>
        </w:rPr>
        <w:t>（二）强化绩效理念，提高项目实施效益</w:t>
      </w:r>
      <w:bookmarkEnd w:id="23"/>
      <w:bookmarkEnd w:id="24"/>
    </w:p>
    <w:p>
      <w:pPr>
        <w:pStyle w:val="5"/>
        <w:ind w:firstLine="643"/>
        <w:jc w:val="both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一是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建议各职能部门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Hans"/>
        </w:rPr>
        <w:t>及时做好风险管理措施，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同时推进未完成项目加快完成。</w:t>
      </w: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二</w:t>
      </w:r>
      <w:r>
        <w:rPr>
          <w:rFonts w:hint="eastAsia" w:ascii="仿宋_GB2312" w:hAnsi="仿宋_GB2312" w:cs="仿宋_GB2312"/>
          <w:b/>
          <w:bCs/>
          <w:szCs w:val="32"/>
          <w:lang w:val="en-US"/>
        </w:rPr>
        <w:t>是</w:t>
      </w:r>
      <w:r>
        <w:rPr>
          <w:rFonts w:hint="eastAsia" w:ascii="仿宋_GB2312" w:hAnsi="仿宋_GB2312" w:cs="仿宋_GB2312"/>
          <w:b w:val="0"/>
          <w:bCs w:val="0"/>
          <w:szCs w:val="32"/>
          <w:lang w:val="en-US"/>
        </w:rPr>
        <w:t>加强绩效统计意识</w:t>
      </w: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，</w:t>
      </w:r>
      <w:r>
        <w:rPr>
          <w:rFonts w:hint="eastAsia" w:ascii="仿宋_GB2312" w:hAnsi="仿宋_GB2312" w:cs="仿宋_GB2312"/>
          <w:b w:val="0"/>
          <w:bCs w:val="0"/>
          <w:szCs w:val="32"/>
          <w:lang w:val="en-US"/>
        </w:rPr>
        <w:t>提高绩效收集统计水平。</w:t>
      </w:r>
      <w:bookmarkStart w:id="25" w:name="_Toc147680586"/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三</w:t>
      </w:r>
      <w:r>
        <w:rPr>
          <w:rFonts w:hint="eastAsia" w:ascii="仿宋_GB2312" w:hAnsi="仿宋_GB2312" w:cs="仿宋_GB2312"/>
          <w:b/>
          <w:bCs/>
          <w:szCs w:val="32"/>
          <w:lang w:val="en-US"/>
        </w:rPr>
        <w:t>是</w:t>
      </w:r>
      <w:r>
        <w:rPr>
          <w:rFonts w:hint="eastAsia" w:ascii="仿宋_GB2312" w:hAnsi="仿宋_GB2312" w:cs="仿宋_GB2312"/>
          <w:b w:val="0"/>
          <w:bCs w:val="0"/>
          <w:szCs w:val="32"/>
          <w:lang w:val="en-US"/>
        </w:rPr>
        <w:t>加强各类型项目</w:t>
      </w: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绩效目标设置，细化量化绩效指标</w:t>
      </w:r>
      <w:r>
        <w:rPr>
          <w:rFonts w:hint="eastAsia" w:ascii="仿宋_GB2312" w:hAnsi="仿宋_GB2312" w:cs="仿宋_GB2312"/>
          <w:b w:val="0"/>
          <w:bCs w:val="0"/>
          <w:szCs w:val="32"/>
          <w:lang w:val="en-US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做好绩效自评工作，确保绩效自评与绩效目标一致性。</w:t>
      </w:r>
    </w:p>
    <w:p>
      <w:pPr>
        <w:pStyle w:val="3"/>
        <w:adjustRightInd w:val="0"/>
        <w:snapToGrid w:val="0"/>
        <w:spacing w:after="0" w:line="560" w:lineRule="exact"/>
        <w:ind w:firstLine="672" w:firstLineChars="200"/>
        <w:jc w:val="both"/>
        <w:outlineLvl w:val="1"/>
        <w:rPr>
          <w:rFonts w:ascii="楷体_GB2312" w:hAnsi="楷体_GB2312" w:eastAsia="楷体_GB2312" w:cs="楷体_GB2312"/>
          <w:w w:val="105"/>
          <w:kern w:val="44"/>
          <w:sz w:val="32"/>
          <w:szCs w:val="32"/>
        </w:rPr>
      </w:pPr>
      <w:bookmarkStart w:id="26" w:name="_Toc532586352"/>
      <w:r>
        <w:rPr>
          <w:rFonts w:hint="eastAsia" w:ascii="楷体_GB2312" w:hAnsi="楷体_GB2312" w:eastAsia="楷体_GB2312" w:cs="楷体_GB2312"/>
          <w:w w:val="105"/>
          <w:kern w:val="44"/>
          <w:sz w:val="32"/>
          <w:szCs w:val="32"/>
        </w:rPr>
        <w:t>（三）规范预算管理，提升预算约束水平</w:t>
      </w:r>
      <w:bookmarkEnd w:id="25"/>
      <w:bookmarkEnd w:id="26"/>
    </w:p>
    <w:p>
      <w:pPr>
        <w:adjustRightInd w:val="0"/>
        <w:snapToGrid w:val="0"/>
        <w:spacing w:line="560" w:lineRule="exact"/>
        <w:ind w:firstLine="642" w:firstLineChars="200"/>
        <w:jc w:val="both"/>
        <w:rPr>
          <w:rFonts w:hint="eastAsia"/>
          <w:b w:val="0"/>
          <w:bCs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细化预算编制。应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树立“以事定费”的预算管理理念，编实编细项目预算，提升预算编制水平。</w:t>
      </w:r>
      <w:r>
        <w:rPr>
          <w:rFonts w:hint="eastAsia" w:ascii="仿宋_GB2312" w:eastAsia="仿宋_GB2312"/>
          <w:b/>
          <w:bCs/>
          <w:sz w:val="32"/>
          <w:szCs w:val="32"/>
        </w:rPr>
        <w:t>二是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规范资金使用。应强化预算执行刚性约束。</w:t>
      </w:r>
      <w:bookmarkStart w:id="27" w:name="_Toc147680587"/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b/>
          <w:bCs/>
          <w:sz w:val="32"/>
          <w:szCs w:val="32"/>
          <w:lang w:val="en-US"/>
        </w:rPr>
        <w:t>是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/>
        </w:rPr>
        <w:t>规范财务管理。提高财务管理水平，准确使用会计核算科目，定期检查凭证，确保账实一致。</w:t>
      </w:r>
    </w:p>
    <w:p>
      <w:pPr>
        <w:pStyle w:val="3"/>
        <w:adjustRightInd w:val="0"/>
        <w:snapToGrid w:val="0"/>
        <w:spacing w:after="0" w:line="560" w:lineRule="exact"/>
        <w:ind w:firstLine="672" w:firstLineChars="200"/>
        <w:jc w:val="both"/>
        <w:outlineLvl w:val="1"/>
        <w:rPr>
          <w:rFonts w:ascii="楷体_GB2312" w:hAnsi="楷体_GB2312" w:eastAsia="楷体_GB2312" w:cs="楷体_GB2312"/>
          <w:w w:val="105"/>
          <w:kern w:val="44"/>
          <w:sz w:val="32"/>
          <w:szCs w:val="32"/>
        </w:rPr>
      </w:pPr>
      <w:bookmarkStart w:id="28" w:name="_Toc466977368"/>
      <w:r>
        <w:rPr>
          <w:rFonts w:hint="eastAsia" w:ascii="楷体_GB2312" w:hAnsi="楷体_GB2312" w:eastAsia="楷体_GB2312" w:cs="楷体_GB2312"/>
          <w:w w:val="105"/>
          <w:kern w:val="44"/>
          <w:sz w:val="32"/>
          <w:szCs w:val="32"/>
        </w:rPr>
        <w:t>（四）落实项目责任，提高项目管理水平</w:t>
      </w:r>
      <w:bookmarkEnd w:id="27"/>
      <w:bookmarkEnd w:id="28"/>
    </w:p>
    <w:p>
      <w:pPr>
        <w:adjustRightInd/>
        <w:snapToGrid/>
        <w:spacing w:line="560" w:lineRule="exact"/>
        <w:ind w:firstLine="642" w:firstLineChars="200"/>
        <w:jc w:val="both"/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Hans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优化采购论证。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</w:rPr>
        <w:t>加强采购管控，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lang w:val="en-US" w:eastAsia="zh-CN"/>
        </w:rPr>
        <w:t>确保采购方式程序合规。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完善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合同管理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合理设置合同支付条款，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同时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履约考核情况、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验收情况与项目费用进行挂钩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加强数据校准管理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建议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完善数据校准流程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建立数据校准反馈机制，及时核查验证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158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7EF8081"/>
    <w:rsid w:val="39BF5698"/>
    <w:rsid w:val="3DFC729F"/>
    <w:rsid w:val="3DFF4AC9"/>
    <w:rsid w:val="3FFEFF70"/>
    <w:rsid w:val="67ACA028"/>
    <w:rsid w:val="6C9B439C"/>
    <w:rsid w:val="7F4E59DB"/>
    <w:rsid w:val="87E11A16"/>
    <w:rsid w:val="97EF8081"/>
    <w:rsid w:val="B237E0FB"/>
    <w:rsid w:val="EF4F94B4"/>
    <w:rsid w:val="F43A21E1"/>
    <w:rsid w:val="FD73CEB1"/>
    <w:rsid w:val="FF3DD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5"/>
    <w:next w:val="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99"/>
    <w:pPr>
      <w:ind w:firstLine="420"/>
    </w:pPr>
    <w:rPr>
      <w:sz w:val="24"/>
    </w:rPr>
  </w:style>
  <w:style w:type="paragraph" w:styleId="3">
    <w:name w:val="Body Text"/>
    <w:basedOn w:val="1"/>
    <w:next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customStyle="1" w:styleId="5">
    <w:name w:val="星耀正文"/>
    <w:basedOn w:val="1"/>
    <w:qFormat/>
    <w:uiPriority w:val="3"/>
    <w:pPr>
      <w:spacing w:line="560" w:lineRule="exact"/>
      <w:ind w:firstLine="200" w:firstLineChars="200"/>
    </w:pPr>
    <w:rPr>
      <w:rFonts w:ascii="Times New Roman" w:hAnsi="Times New Roman" w:eastAsia="仿宋_GB2312"/>
      <w:kern w:val="0"/>
      <w:sz w:val="32"/>
      <w:szCs w:val="28"/>
      <w:lang w:val="zh-CN"/>
    </w:rPr>
  </w:style>
  <w:style w:type="paragraph" w:styleId="6">
    <w:name w:val="table of authorities"/>
    <w:basedOn w:val="1"/>
    <w:next w:val="1"/>
    <w:qFormat/>
    <w:uiPriority w:val="0"/>
    <w:pPr>
      <w:ind w:left="420" w:leftChars="200"/>
    </w:pPr>
  </w:style>
  <w:style w:type="paragraph" w:styleId="7">
    <w:name w:val="toa heading"/>
    <w:basedOn w:val="6"/>
    <w:next w:val="1"/>
    <w:qFormat/>
    <w:uiPriority w:val="0"/>
    <w:rPr>
      <w:rFonts w:ascii="Arial" w:hAnsi="Arial"/>
      <w:sz w:val="24"/>
    </w:rPr>
  </w:style>
  <w:style w:type="paragraph" w:styleId="8">
    <w:name w:val="annotation text"/>
    <w:basedOn w:val="1"/>
    <w:qFormat/>
    <w:uiPriority w:val="0"/>
    <w:pPr>
      <w:widowControl/>
      <w:spacing w:line="360" w:lineRule="auto"/>
      <w:ind w:firstLine="200" w:firstLineChars="200"/>
      <w:jc w:val="left"/>
    </w:pPr>
    <w:rPr>
      <w:rFonts w:eastAsia="仿宋_GB2312"/>
      <w:sz w:val="28"/>
    </w:rPr>
  </w:style>
  <w:style w:type="paragraph" w:styleId="9">
    <w:name w:val="toc 3"/>
    <w:basedOn w:val="1"/>
    <w:next w:val="1"/>
    <w:qFormat/>
    <w:uiPriority w:val="0"/>
    <w:pPr>
      <w:ind w:left="840" w:leftChars="400"/>
    </w:p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footnote text"/>
    <w:basedOn w:val="1"/>
    <w:qFormat/>
    <w:uiPriority w:val="99"/>
    <w:pPr>
      <w:snapToGrid w:val="0"/>
    </w:pPr>
    <w:rPr>
      <w:sz w:val="18"/>
    </w:rPr>
  </w:style>
  <w:style w:type="paragraph" w:styleId="12">
    <w:name w:val="toc 2"/>
    <w:basedOn w:val="1"/>
    <w:next w:val="1"/>
    <w:qFormat/>
    <w:uiPriority w:val="0"/>
    <w:pPr>
      <w:ind w:left="420" w:leftChars="200"/>
    </w:pPr>
  </w:style>
  <w:style w:type="character" w:styleId="15">
    <w:name w:val="footnote reference"/>
    <w:basedOn w:val="14"/>
    <w:qFormat/>
    <w:uiPriority w:val="99"/>
    <w:rPr>
      <w:vertAlign w:val="superscript"/>
    </w:rPr>
  </w:style>
  <w:style w:type="paragraph" w:customStyle="1" w:styleId="16">
    <w:name w:val="星耀封面项目信息"/>
    <w:basedOn w:val="1"/>
    <w:qFormat/>
    <w:uiPriority w:val="0"/>
    <w:pPr>
      <w:spacing w:before="120"/>
      <w:ind w:left="800" w:leftChars="800"/>
      <w:jc w:val="left"/>
    </w:pPr>
    <w:rPr>
      <w:rFonts w:ascii="Times New Roman" w:hAnsi="Times New Roman" w:eastAsia="仿宋_GB2312"/>
      <w:kern w:val="0"/>
      <w:sz w:val="32"/>
      <w:szCs w:val="28"/>
      <w:lang w:val="zh-CN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2023-12-08T23:37:00Z</dcterms:created>
  <dc:creator>朱吃桃</dc:creator>
  <cp:lastModifiedBy>吴超宇</cp:lastModifiedBy>
  <cp:lastPrinted>2023-12-09T19:46:00Z</cp:lastPrinted>
  <dcterms:modified xsi:type="dcterms:W3CDTF">2023-12-14T14:17:08Z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A6751B1BA73591A28E6470659CEFA58F_43</vt:lpwstr>
  </property>
</Properties>
</file>