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2</w:t>
      </w:r>
      <w:r>
        <w:rPr>
          <w:rFonts w:hint="eastAsia" w:ascii="方正小标宋简体" w:hAnsi="黑体" w:eastAsia="方正小标宋简体"/>
          <w:sz w:val="44"/>
          <w:szCs w:val="48"/>
        </w:rPr>
        <w:t>02</w:t>
      </w:r>
      <w:r>
        <w:rPr>
          <w:rFonts w:ascii="方正小标宋简体" w:hAnsi="黑体" w:eastAsia="方正小标宋简体"/>
          <w:sz w:val="44"/>
          <w:szCs w:val="48"/>
        </w:rPr>
        <w:t>2</w:t>
      </w:r>
      <w:r>
        <w:rPr>
          <w:rFonts w:hint="eastAsia" w:ascii="方正小标宋简体" w:hAnsi="黑体" w:eastAsia="方正小标宋简体"/>
          <w:sz w:val="44"/>
          <w:szCs w:val="48"/>
        </w:rPr>
        <w:t>年大鹏新区安全类资金项目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8"/>
        </w:rPr>
      </w:pPr>
      <w:r>
        <w:rPr>
          <w:rFonts w:hint="eastAsia" w:ascii="方正小标宋简体" w:hAnsi="黑体" w:eastAsia="方正小标宋简体"/>
          <w:sz w:val="44"/>
          <w:szCs w:val="48"/>
        </w:rPr>
        <w:t>绩效评价报告</w:t>
      </w:r>
      <w:bookmarkStart w:id="29" w:name="_GoBack"/>
      <w:bookmarkEnd w:id="29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560" w:firstLineChars="200"/>
        <w:textAlignment w:val="auto"/>
        <w:rPr>
          <w:rFonts w:hint="eastAsia" w:ascii="仿宋_GB2312" w:hAnsi="楷体" w:cs="楷体_GB2312"/>
          <w:color w:val="000000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年5月-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月期间，深圳市大鹏新区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  <w:lang w:eastAsia="zh-CN"/>
        </w:rPr>
        <w:t>发展和财政局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组织评价组对2022年大鹏新区安全类资金项目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进行绩效评价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本次评价共涉及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家预算单位共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7,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。经评价，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项目评分为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8.65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评定等级为“中”</w:t>
      </w:r>
      <w:r>
        <w:rPr>
          <w:rFonts w:hint="eastAsia" w:ascii="仿宋_GB2312" w:hAnsi="宋体" w:eastAsia="仿宋_GB2312" w:cs="仿宋_GB2312"/>
          <w:color w:val="0C0C0C"/>
          <w:sz w:val="32"/>
          <w:szCs w:val="32"/>
        </w:rPr>
        <w:t>。具体情况如下：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bookmarkStart w:id="0" w:name="_Toc71763201_WPSOffice_Level1"/>
      <w:bookmarkStart w:id="1" w:name="_Toc206034498"/>
      <w:bookmarkStart w:id="2" w:name="_Toc1552061140"/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、基本情况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安全工作，新区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家预算单位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年投入财政资金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7,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万元，用于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个项目的安全性支出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安全类资金分为安全生产资金和其他安全资金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中，安全生产资金项目专门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安全生产资金统筹支出，由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深圳市大鹏</w:t>
      </w:r>
      <w:r>
        <w:rPr>
          <w:rFonts w:hint="eastAsia" w:ascii="仿宋_GB2312" w:hAnsi="仿宋_GB2312" w:eastAsia="仿宋_GB2312" w:cs="仿宋_GB2312"/>
          <w:sz w:val="32"/>
          <w:szCs w:val="32"/>
        </w:rPr>
        <w:t>新区安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公室（以下简称新区安委办）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各申报实施单位实施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；其他安全资金由各预算单位自行安排。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安全类资金项目年初预算7,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万元，调整后预算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749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万元，实际支出6,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万元，预算执行率9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%。其中，安全生产资金项目年初预算956.69万元，调整后预算957.52万元，实际支出919.61万元，预算执行率96.04%；其他安全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项目年初预算6,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万元，调整后预算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,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791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万元，实际支出5,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419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万元，预算执行率9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%。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二、绩效分析</w:t>
      </w:r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3" w:name="_Toc541053350"/>
      <w:bookmarkStart w:id="4" w:name="_Toc147680573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  <w:lang w:eastAsia="zh-Hans"/>
        </w:rPr>
        <w:t>一</w:t>
      </w:r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）安全形势长期整体向好，但近期有增长性苗头</w:t>
      </w:r>
      <w:bookmarkEnd w:id="3"/>
      <w:bookmarkEnd w:id="4"/>
    </w:p>
    <w:p>
      <w:pPr>
        <w:pStyle w:val="5"/>
        <w:ind w:firstLine="640"/>
        <w:jc w:val="both"/>
        <w:rPr>
          <w:rFonts w:hint="eastAsia" w:ascii="仿宋_GB2312" w:hAnsi="仿宋_GB2312" w:cs="仿宋_GB2312"/>
          <w:kern w:val="2"/>
          <w:szCs w:val="32"/>
          <w:lang w:val="en-US"/>
        </w:rPr>
      </w:pP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 w:eastAsia="zh-CN"/>
        </w:rPr>
        <w:t>安全形势整体向好。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/>
        </w:rPr>
        <w:t>对比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/>
        </w:rPr>
        <w:t>分析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/>
        </w:rPr>
        <w:t>近两年事故四项指标，2022年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 w:eastAsia="zh-CN"/>
        </w:rPr>
        <w:t>新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/>
        </w:rPr>
        <w:t>区安全事故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 w:eastAsia="zh-CN"/>
        </w:rPr>
        <w:t>指标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/>
        </w:rPr>
        <w:t>呈“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/>
        </w:rPr>
        <w:t>降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b w:val="0"/>
          <w:bCs w:val="0"/>
          <w:kern w:val="2"/>
          <w:szCs w:val="32"/>
          <w:lang w:val="en-US"/>
        </w:rPr>
        <w:t>升”态势，</w:t>
      </w:r>
      <w:r>
        <w:rPr>
          <w:rFonts w:hint="eastAsia" w:ascii="仿宋_GB2312" w:hAnsi="仿宋_GB2312" w:cs="仿宋_GB2312"/>
          <w:kern w:val="2"/>
          <w:szCs w:val="32"/>
          <w:lang w:val="en-US" w:eastAsia="zh-CN"/>
        </w:rPr>
        <w:t>但近期有增长性苗头。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2022年安全事故主要集中在生产安全事故、非生产经营性火灾事故、非生产经营性道路交通事故三类。其中，大多事故属于非生产经营性火灾事故，而造成人员伤亡和直接经济损失主要在建筑施工和道路交通领域。</w:t>
      </w:r>
    </w:p>
    <w:p>
      <w:pPr>
        <w:pStyle w:val="5"/>
        <w:ind w:firstLine="640"/>
        <w:jc w:val="both"/>
        <w:outlineLvl w:val="1"/>
        <w:rPr>
          <w:rFonts w:hint="default" w:ascii="楷体_GB2312" w:hAnsi="楷体_GB2312" w:eastAsia="楷体_GB2312" w:cs="楷体_GB2312"/>
          <w:w w:val="105"/>
          <w:kern w:val="44"/>
          <w:szCs w:val="32"/>
          <w:lang w:val="en-US" w:eastAsia="zh-CN"/>
        </w:rPr>
      </w:pPr>
      <w:bookmarkStart w:id="5" w:name="_Toc1037892052"/>
      <w:bookmarkStart w:id="6" w:name="_Toc147680574"/>
      <w:r>
        <w:rPr>
          <w:rFonts w:hint="eastAsia" w:ascii="楷体_GB2312" w:hAnsi="楷体_GB2312" w:eastAsia="楷体_GB2312" w:cs="楷体_GB2312"/>
          <w:w w:val="105"/>
          <w:kern w:val="44"/>
          <w:szCs w:val="32"/>
          <w:lang w:val="en-US"/>
        </w:rPr>
        <w:t>（二）</w:t>
      </w:r>
      <w:r>
        <w:rPr>
          <w:rFonts w:hint="eastAsia" w:ascii="楷体_GB2312" w:hAnsi="楷体_GB2312" w:eastAsia="楷体_GB2312" w:cs="楷体_GB2312"/>
          <w:w w:val="105"/>
          <w:kern w:val="44"/>
          <w:szCs w:val="32"/>
          <w:lang w:eastAsia="zh-CN"/>
        </w:rPr>
        <w:t>生产安全事故</w:t>
      </w:r>
      <w:r>
        <w:rPr>
          <w:rFonts w:hint="eastAsia" w:ascii="楷体_GB2312" w:hAnsi="楷体_GB2312" w:eastAsia="楷体_GB2312" w:cs="楷体_GB2312"/>
          <w:w w:val="105"/>
          <w:kern w:val="44"/>
          <w:szCs w:val="32"/>
          <w:lang w:val="en-US"/>
        </w:rPr>
        <w:t>量少可控，但</w:t>
      </w:r>
      <w:bookmarkEnd w:id="5"/>
      <w:bookmarkEnd w:id="6"/>
      <w:r>
        <w:rPr>
          <w:rFonts w:hint="eastAsia" w:ascii="楷体_GB2312" w:hAnsi="楷体_GB2312" w:eastAsia="楷体_GB2312" w:cs="楷体_GB2312"/>
          <w:w w:val="105"/>
          <w:kern w:val="44"/>
          <w:szCs w:val="32"/>
          <w:lang w:val="en-US" w:eastAsia="zh-CN"/>
        </w:rPr>
        <w:t>管理水平有待提高</w:t>
      </w:r>
    </w:p>
    <w:p>
      <w:pPr>
        <w:pStyle w:val="5"/>
        <w:ind w:firstLine="643"/>
        <w:jc w:val="both"/>
        <w:rPr>
          <w:rFonts w:hint="eastAsia" w:ascii="仿宋_GB2312" w:hAnsi="仿宋_GB2312" w:cs="仿宋_GB2312"/>
          <w:kern w:val="2"/>
          <w:szCs w:val="32"/>
          <w:lang w:val="en-US"/>
        </w:rPr>
      </w:pPr>
      <w:r>
        <w:rPr>
          <w:rFonts w:hint="eastAsia" w:ascii="仿宋_GB2312" w:hAnsi="仿宋_GB2312" w:cs="仿宋_GB2312"/>
          <w:kern w:val="2"/>
          <w:szCs w:val="32"/>
          <w:lang w:val="en-US" w:eastAsia="zh-CN"/>
        </w:rPr>
        <w:t>生产安全事故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四项指标均优于市级平均水平。因此，整体来看</w:t>
      </w:r>
      <w:r>
        <w:rPr>
          <w:rFonts w:hint="eastAsia" w:ascii="仿宋_GB2312" w:hAnsi="仿宋_GB2312" w:cs="仿宋_GB2312"/>
          <w:kern w:val="2"/>
          <w:szCs w:val="32"/>
          <w:lang w:val="en-US" w:eastAsia="zh-CN"/>
        </w:rPr>
        <w:t>生产安全事故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总量少，总体可控。</w:t>
      </w:r>
      <w:r>
        <w:rPr>
          <w:rFonts w:hint="eastAsia" w:ascii="仿宋_GB2312" w:hAnsi="仿宋_GB2312" w:cs="仿宋_GB2312"/>
          <w:kern w:val="2"/>
          <w:szCs w:val="32"/>
          <w:lang w:val="en-US" w:eastAsia="zh-CN"/>
        </w:rPr>
        <w:t>但生产安全事故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/>
        </w:rPr>
        <w:t>四项指标“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/>
        </w:rPr>
        <w:t>降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/>
        </w:rPr>
        <w:t>升”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/>
        </w:rPr>
        <w:t>反映出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 w:eastAsia="zh-CN"/>
        </w:rPr>
        <w:t>生产安全事故</w:t>
      </w:r>
      <w:r>
        <w:rPr>
          <w:rFonts w:hint="eastAsia" w:ascii="仿宋_GB2312" w:hAnsi="仿宋_GB2312" w:cs="仿宋_GB2312"/>
          <w:kern w:val="2"/>
          <w:szCs w:val="32"/>
          <w:highlight w:val="none"/>
          <w:lang w:val="en-US"/>
        </w:rPr>
        <w:t>有一定增长性苗头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，安全生产管理水平仍有待提高。</w:t>
      </w:r>
      <w:bookmarkStart w:id="7" w:name="_Toc147680575"/>
      <w:bookmarkStart w:id="8" w:name="_Toc1989537030"/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  <w:lang w:eastAsia="zh-Hans"/>
        </w:rPr>
        <w:t>）</w:t>
      </w:r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交通事故下降趋势明显，但近年经济损失较高</w:t>
      </w:r>
      <w:bookmarkEnd w:id="7"/>
      <w:bookmarkEnd w:id="8"/>
    </w:p>
    <w:p>
      <w:pPr>
        <w:pStyle w:val="5"/>
        <w:ind w:firstLine="643"/>
        <w:jc w:val="both"/>
        <w:rPr>
          <w:rFonts w:hint="eastAsia" w:ascii="仿宋_GB2312" w:hAnsi="仿宋_GB2312" w:cs="仿宋_GB2312"/>
          <w:kern w:val="2"/>
          <w:szCs w:val="32"/>
          <w:lang w:val="en-US"/>
        </w:rPr>
      </w:pPr>
      <w:r>
        <w:rPr>
          <w:rFonts w:hint="eastAsia" w:ascii="仿宋_GB2312" w:hAnsi="仿宋_GB2312" w:cs="仿宋_GB2312"/>
          <w:kern w:val="44"/>
          <w:szCs w:val="32"/>
          <w:lang w:val="en-US"/>
        </w:rPr>
        <w:t>2022年发生一般级别以上交通事故数量整体呈下降趋势，从2012年的85起逐步下滑至2022年的</w:t>
      </w:r>
      <w:r>
        <w:rPr>
          <w:rFonts w:hint="eastAsia" w:ascii="仿宋_GB2312" w:hAnsi="仿宋_GB2312" w:cs="仿宋_GB2312"/>
          <w:kern w:val="44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kern w:val="44"/>
          <w:szCs w:val="32"/>
          <w:lang w:val="en-US"/>
        </w:rPr>
        <w:t>起，降幅将近</w:t>
      </w:r>
      <w:r>
        <w:rPr>
          <w:rFonts w:hint="eastAsia" w:ascii="仿宋_GB2312" w:hAnsi="仿宋_GB2312" w:cs="仿宋_GB2312"/>
          <w:kern w:val="44"/>
          <w:szCs w:val="32"/>
          <w:lang w:val="en-US" w:eastAsia="zh-CN"/>
        </w:rPr>
        <w:t>85.9</w:t>
      </w:r>
      <w:r>
        <w:rPr>
          <w:rFonts w:hint="eastAsia" w:ascii="仿宋_GB2312" w:hAnsi="仿宋_GB2312" w:cs="仿宋_GB2312"/>
          <w:kern w:val="44"/>
          <w:szCs w:val="32"/>
          <w:lang w:val="en-US"/>
        </w:rPr>
        <w:t>%。</w:t>
      </w:r>
      <w:r>
        <w:rPr>
          <w:rFonts w:hint="eastAsia" w:ascii="仿宋_GB2312" w:hAnsi="仿宋_GB2312" w:cs="仿宋_GB2312"/>
          <w:b w:val="0"/>
          <w:bCs w:val="0"/>
          <w:kern w:val="44"/>
          <w:szCs w:val="32"/>
          <w:lang w:val="en-US" w:eastAsia="zh-CN"/>
        </w:rPr>
        <w:t>但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2022年造成的直接经济损失</w:t>
      </w:r>
      <w:r>
        <w:rPr>
          <w:rFonts w:hint="eastAsia" w:ascii="仿宋_GB2312" w:hAnsi="仿宋_GB2312" w:cs="仿宋_GB2312"/>
          <w:kern w:val="2"/>
          <w:szCs w:val="32"/>
          <w:lang w:val="en-US" w:eastAsia="zh-CN"/>
        </w:rPr>
        <w:t>处于近年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较高</w:t>
      </w:r>
      <w:r>
        <w:rPr>
          <w:rFonts w:hint="eastAsia" w:ascii="仿宋_GB2312" w:hAnsi="仿宋_GB2312" w:cs="仿宋_GB2312"/>
          <w:kern w:val="2"/>
          <w:szCs w:val="32"/>
          <w:lang w:val="en-US" w:eastAsia="zh-CN"/>
        </w:rPr>
        <w:t>水平</w:t>
      </w:r>
      <w:r>
        <w:rPr>
          <w:rFonts w:hint="eastAsia" w:ascii="仿宋_GB2312" w:hAnsi="仿宋_GB2312" w:cs="仿宋_GB2312"/>
          <w:kern w:val="2"/>
          <w:szCs w:val="32"/>
          <w:lang w:val="en-US"/>
        </w:rPr>
        <w:t>。</w:t>
      </w:r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9" w:name="_Toc147680576"/>
      <w:bookmarkStart w:id="10" w:name="_Toc1828479420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（四）重特大火灾事故零发生，但近年火灾事故频发</w:t>
      </w:r>
      <w:bookmarkEnd w:id="9"/>
      <w:bookmarkEnd w:id="10"/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非生产经营性火灾事故基本无人员伤亡，无重特大火灾，主要造成财产损失，但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火灾事故发生量激增。</w:t>
      </w:r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11" w:name="_Toc762623370"/>
      <w:bookmarkStart w:id="12" w:name="_Toc147680577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（五）其余行业事故较少发生，但新兴行业风险凸显</w:t>
      </w:r>
      <w:bookmarkEnd w:id="11"/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3" w:name="_Toc30327726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2022年工矿商贸事故、其他一般突发事件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均未发生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自然灾害事件未造成人员伤亡和财产损失。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新兴行业、以往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忽视的领域一定程度上存在安全监管漏洞和盲区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、存在问题</w:t>
      </w:r>
      <w:bookmarkEnd w:id="13"/>
    </w:p>
    <w:p>
      <w:pPr>
        <w:spacing w:line="560" w:lineRule="exact"/>
        <w:ind w:firstLine="640" w:firstLineChars="200"/>
        <w:jc w:val="both"/>
        <w:outlineLvl w:val="1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bookmarkStart w:id="14" w:name="_Toc592893353"/>
      <w:bookmarkStart w:id="15" w:name="_Toc147680579"/>
      <w:bookmarkStart w:id="16" w:name="_Toc307053133"/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（一）统筹研判不够到位，业务方向指引不够精准</w:t>
      </w:r>
      <w:bookmarkEnd w:id="14"/>
      <w:bookmarkEnd w:id="15"/>
    </w:p>
    <w:p>
      <w:pPr>
        <w:spacing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区级智慧应急平台有待完善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系统仍处于与市级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一库四平台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对接过程中，且部分数据时效性不足，不利于研判分析。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职能部门未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充分结合研判分析结果，统筹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好安全类资金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，优化资金分配结构，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将财政资金投向更能降低安全风险隐患的项目。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新区</w:t>
      </w:r>
      <w:r>
        <w:rPr>
          <w:rFonts w:hint="eastAsia" w:ascii="仿宋_GB2312" w:hAnsi="仿宋_GB2312" w:eastAsia="仿宋_GB2312" w:cs="仿宋_GB2312"/>
          <w:b w:val="0"/>
          <w:bCs w:val="0"/>
          <w:w w:val="105"/>
          <w:sz w:val="32"/>
          <w:szCs w:val="32"/>
          <w:lang w:eastAsia="zh-Hans" w:bidi="ar"/>
        </w:rPr>
        <w:t>安委办</w:t>
      </w:r>
      <w:r>
        <w:rPr>
          <w:rFonts w:hint="eastAsia" w:ascii="仿宋_GB2312" w:hAnsi="仿宋_GB2312" w:eastAsia="仿宋_GB2312" w:cs="仿宋_GB2312"/>
          <w:b w:val="0"/>
          <w:bCs w:val="0"/>
          <w:w w:val="105"/>
          <w:sz w:val="32"/>
          <w:szCs w:val="32"/>
          <w:lang w:val="en-US" w:eastAsia="zh-CN" w:bidi="ar"/>
        </w:rPr>
        <w:t>对安全生产资金的统筹指引不够，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安全生产资金项目申报类型较少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方向项目偏少甚至没有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个别类别项目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资金分配结构变化偏大，合理性不足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outlineLvl w:val="1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bookmarkStart w:id="17" w:name="_Toc434461791"/>
      <w:bookmarkStart w:id="18" w:name="_Toc147680580"/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）绩效意识未能根植，资金使用效益不够充分</w:t>
      </w:r>
      <w:bookmarkEnd w:id="17"/>
      <w:bookmarkEnd w:id="18"/>
    </w:p>
    <w:p>
      <w:pPr>
        <w:pStyle w:val="17"/>
        <w:spacing w:line="560" w:lineRule="exact"/>
        <w:ind w:firstLine="642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部分项目完成不够及时，降低项目使用效益。部分项目2022年未完成，需延期推进。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绩效统计意识不强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未开展满意度调查，不利于总结完善；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另一方面，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未统计安全知晓率，不利于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绩效目标设置不够合理。部分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项目绩效管理未有效闭环，绩效实现情况未统计、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目标设置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不够量化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绩效自评较为随意。个别项目绩效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自评表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中的成本产出指标与绩效目标不一致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绩效自评工作开展较为随意。</w:t>
      </w:r>
    </w:p>
    <w:p>
      <w:pPr>
        <w:tabs>
          <w:tab w:val="left" w:pos="0"/>
        </w:tabs>
        <w:spacing w:line="560" w:lineRule="exact"/>
        <w:ind w:firstLine="640" w:firstLineChars="200"/>
        <w:jc w:val="both"/>
        <w:outlineLvl w:val="1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bookmarkStart w:id="19" w:name="_Toc554921537"/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资金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管理不</w:t>
      </w:r>
      <w:r>
        <w:rPr>
          <w:rFonts w:hint="eastAsia" w:ascii="楷体_GB2312" w:hAnsi="楷体_GB2312" w:eastAsia="楷体_GB2312" w:cs="楷体_GB2312"/>
          <w:sz w:val="32"/>
          <w:szCs w:val="32"/>
        </w:rPr>
        <w:t>够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规范，预算编制执行不够科学</w:t>
      </w:r>
      <w:bookmarkEnd w:id="19"/>
    </w:p>
    <w:p>
      <w:pPr>
        <w:pStyle w:val="17"/>
        <w:spacing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预算编制不够细化，资金测算不够严谨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无测算标准依据文件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未细化预算编制内容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预算编制水平有待提高。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预算执行有偏差，部分项目执行率不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高。一方面，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预算与执行“两张皮”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另一方面，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项目未及时推进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当年未能形成支出，造成财政资金沉淀。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财务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管理不够规范，资金使用水平有待提高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会计核算不够合规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财务摘要有误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且财务核查不严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经济分类科目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使用较为随意等问题。</w:t>
      </w:r>
    </w:p>
    <w:p>
      <w:pPr>
        <w:tabs>
          <w:tab w:val="left" w:pos="0"/>
        </w:tabs>
        <w:spacing w:line="560" w:lineRule="exact"/>
        <w:ind w:firstLine="640" w:firstLineChars="200"/>
        <w:jc w:val="both"/>
        <w:outlineLvl w:val="1"/>
        <w:rPr>
          <w:rFonts w:ascii="楷体_GB2312" w:hAnsi="楷体_GB2312" w:eastAsia="楷体_GB2312" w:cs="楷体_GB2312"/>
          <w:sz w:val="32"/>
          <w:szCs w:val="32"/>
        </w:rPr>
      </w:pPr>
      <w:bookmarkStart w:id="20" w:name="_Toc44793438"/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（四）项目管理较为粗放，</w:t>
      </w:r>
      <w:r>
        <w:rPr>
          <w:rFonts w:hint="eastAsia" w:ascii="楷体_GB2312" w:hAnsi="楷体_GB2312" w:eastAsia="楷体_GB2312" w:cs="楷体_GB2312"/>
          <w:sz w:val="32"/>
          <w:szCs w:val="32"/>
        </w:rPr>
        <w:t>主体责任落实不够到位</w:t>
      </w:r>
      <w:bookmarkEnd w:id="20"/>
    </w:p>
    <w:p>
      <w:pPr>
        <w:pStyle w:val="17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管理不规范。个别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项目先开展工作后签订合同，先签订合同再公示采购结果，确定采购结果后未及时公示。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项目合同条款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不科学，履约考核不到位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个别单位对数据统计管理不够重视，安全事故相关数据统计不够准确。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、改进建议</w:t>
      </w:r>
      <w:bookmarkEnd w:id="16"/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21" w:name="_Toc1627466299"/>
      <w:bookmarkStart w:id="22" w:name="_Toc147680584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（一）加强统筹指导，提高研判分析能力</w:t>
      </w:r>
      <w:bookmarkEnd w:id="21"/>
      <w:bookmarkEnd w:id="22"/>
    </w:p>
    <w:p>
      <w:pPr>
        <w:pStyle w:val="5"/>
        <w:ind w:firstLine="643"/>
        <w:jc w:val="both"/>
        <w:rPr>
          <w:rFonts w:hint="eastAsia" w:ascii="仿宋_GB2312" w:hAnsi="仿宋_GB2312" w:cs="仿宋_GB2312"/>
          <w:b w:val="0"/>
          <w:bCs w:val="0"/>
          <w:szCs w:val="32"/>
          <w:lang w:val="en-US"/>
        </w:rPr>
      </w:pPr>
      <w:r>
        <w:rPr>
          <w:rFonts w:hint="eastAsia" w:ascii="仿宋_GB2312" w:hAnsi="仿宋_GB2312" w:cs="仿宋_GB2312"/>
          <w:b/>
          <w:bCs/>
          <w:szCs w:val="32"/>
          <w:lang w:val="en-US"/>
        </w:rPr>
        <w:t>一是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新区应急管理局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应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抓紧完善区级智慧应急平台，积极与市应急管理局沟通，做好平台对接工作。</w:t>
      </w:r>
      <w:r>
        <w:rPr>
          <w:rFonts w:hint="eastAsia" w:ascii="仿宋_GB2312" w:hAnsi="仿宋_GB2312" w:cs="仿宋_GB2312"/>
          <w:b/>
          <w:bCs/>
          <w:szCs w:val="32"/>
          <w:lang w:val="en-US"/>
        </w:rPr>
        <w:t>二是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各职能部门应及时关注研判分析信息，加强重点领域研究分析，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充分利用研判分析结果进行项目安排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b/>
          <w:bCs/>
          <w:szCs w:val="32"/>
          <w:lang w:val="en-US"/>
        </w:rPr>
        <w:t>是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新区安委办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应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做好安全生产资金申报引导，精准统筹分配安全生产资金，</w:t>
      </w:r>
      <w:r>
        <w:rPr>
          <w:rFonts w:hint="eastAsia" w:ascii="仿宋_GB2312"/>
          <w:b w:val="0"/>
          <w:bCs w:val="0"/>
          <w:color w:val="000000"/>
          <w:szCs w:val="32"/>
          <w:lang w:eastAsia="zh-Hans"/>
        </w:rPr>
        <w:t>完善经费分配结构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。</w:t>
      </w:r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23" w:name="_Toc326875454"/>
      <w:bookmarkStart w:id="24" w:name="_Toc147680585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（二）强化绩效理念，提高项目实施效益</w:t>
      </w:r>
      <w:bookmarkEnd w:id="23"/>
      <w:bookmarkEnd w:id="24"/>
    </w:p>
    <w:p>
      <w:pPr>
        <w:pStyle w:val="5"/>
        <w:ind w:firstLine="643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建议各职能部门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及时做好风险管理措施，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同时推进未完成项目加快完成。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b/>
          <w:bCs/>
          <w:szCs w:val="32"/>
          <w:lang w:val="en-US"/>
        </w:rPr>
        <w:t>是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加强绩效统计意识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提高绩效收集统计水平。</w:t>
      </w:r>
      <w:bookmarkStart w:id="25" w:name="_Toc147680586"/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b/>
          <w:bCs/>
          <w:szCs w:val="32"/>
          <w:lang w:val="en-US"/>
        </w:rPr>
        <w:t>是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加强各类型项目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绩效目标设置，细化量化绩效指标</w:t>
      </w:r>
      <w:r>
        <w:rPr>
          <w:rFonts w:hint="eastAsia" w:ascii="仿宋_GB2312" w:hAnsi="仿宋_GB2312" w:cs="仿宋_GB2312"/>
          <w:b w:val="0"/>
          <w:bCs w:val="0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做好绩效自评工作，确保绩效自评与绩效目标一致性。</w:t>
      </w:r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26" w:name="_Toc532586352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（三）规范预算管理，提升预算约束水平</w:t>
      </w:r>
      <w:bookmarkEnd w:id="25"/>
      <w:bookmarkEnd w:id="26"/>
    </w:p>
    <w:p>
      <w:pPr>
        <w:adjustRightInd w:val="0"/>
        <w:snapToGrid w:val="0"/>
        <w:spacing w:line="560" w:lineRule="exact"/>
        <w:ind w:firstLine="642" w:firstLineChars="200"/>
        <w:jc w:val="both"/>
        <w:rPr>
          <w:rFonts w:hint="eastAsia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细化预算编制。应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树立“以事定费”的预算管理理念，编实编细项目预算，提升预算编制水平。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规范资金使用。应强化预算执行刚性约束。</w:t>
      </w:r>
      <w:bookmarkStart w:id="27" w:name="_Toc147680587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/>
        </w:rPr>
        <w:t>规范财务管理。提高财务管理水平，准确使用会计核算科目，定期检查凭证，确保账实一致。</w:t>
      </w:r>
    </w:p>
    <w:p>
      <w:pPr>
        <w:pStyle w:val="3"/>
        <w:adjustRightInd w:val="0"/>
        <w:snapToGrid w:val="0"/>
        <w:spacing w:after="0" w:line="560" w:lineRule="exact"/>
        <w:ind w:firstLine="672" w:firstLineChars="200"/>
        <w:jc w:val="both"/>
        <w:outlineLvl w:val="1"/>
        <w:rPr>
          <w:rFonts w:ascii="楷体_GB2312" w:hAnsi="楷体_GB2312" w:eastAsia="楷体_GB2312" w:cs="楷体_GB2312"/>
          <w:w w:val="105"/>
          <w:kern w:val="44"/>
          <w:sz w:val="32"/>
          <w:szCs w:val="32"/>
        </w:rPr>
      </w:pPr>
      <w:bookmarkStart w:id="28" w:name="_Toc466977368"/>
      <w:r>
        <w:rPr>
          <w:rFonts w:hint="eastAsia" w:ascii="楷体_GB2312" w:hAnsi="楷体_GB2312" w:eastAsia="楷体_GB2312" w:cs="楷体_GB2312"/>
          <w:w w:val="105"/>
          <w:kern w:val="44"/>
          <w:sz w:val="32"/>
          <w:szCs w:val="32"/>
        </w:rPr>
        <w:t>（四）落实项目责任，提高项目管理水平</w:t>
      </w:r>
      <w:bookmarkEnd w:id="27"/>
      <w:bookmarkEnd w:id="28"/>
    </w:p>
    <w:p>
      <w:pPr>
        <w:adjustRightInd/>
        <w:snapToGrid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优化采购论证。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加强采购管控，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确保采购方式程序合规。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合同管理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合理设置合同支付条款，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履约考核情况、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验收情况与项目费用进行挂钩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加强数据校准管理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完善数据校准流程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建立数据校准反馈机制，及时核查验证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hvGZtDECAABj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EF8081"/>
    <w:rsid w:val="39BF5698"/>
    <w:rsid w:val="3DFC729F"/>
    <w:rsid w:val="3DFF4AC9"/>
    <w:rsid w:val="3FFEFF70"/>
    <w:rsid w:val="67ACA028"/>
    <w:rsid w:val="6C9B439C"/>
    <w:rsid w:val="7F4E59DB"/>
    <w:rsid w:val="87E11A16"/>
    <w:rsid w:val="97EF8081"/>
    <w:rsid w:val="B237E0FB"/>
    <w:rsid w:val="EF4F94B4"/>
    <w:rsid w:val="F43A21E1"/>
    <w:rsid w:val="FD73CEB1"/>
    <w:rsid w:val="FF3DD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  <w:rPr>
      <w:sz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customStyle="1" w:styleId="5">
    <w:name w:val="星耀正文"/>
    <w:basedOn w:val="1"/>
    <w:qFormat/>
    <w:uiPriority w:val="3"/>
    <w:pPr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toa heading"/>
    <w:basedOn w:val="6"/>
    <w:next w:val="1"/>
    <w:qFormat/>
    <w:uiPriority w:val="0"/>
    <w:rPr>
      <w:rFonts w:ascii="Arial" w:hAnsi="Arial"/>
      <w:sz w:val="24"/>
    </w:rPr>
  </w:style>
  <w:style w:type="paragraph" w:styleId="8">
    <w:name w:val="annotation text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eastAsia="仿宋_GB2312"/>
      <w:sz w:val="28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99"/>
    <w:pPr>
      <w:snapToGrid w:val="0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character" w:styleId="15">
    <w:name w:val="footnote reference"/>
    <w:basedOn w:val="14"/>
    <w:qFormat/>
    <w:uiPriority w:val="99"/>
    <w:rPr>
      <w:vertAlign w:val="superscript"/>
    </w:rPr>
  </w:style>
  <w:style w:type="paragraph" w:customStyle="1" w:styleId="16">
    <w:name w:val="星耀封面项目信息"/>
    <w:basedOn w:val="1"/>
    <w:qFormat/>
    <w:uiPriority w:val="0"/>
    <w:pPr>
      <w:spacing w:before="120"/>
      <w:ind w:left="800" w:leftChars="800"/>
      <w:jc w:val="left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2023-12-08T23:37:00Z</dcterms:created>
  <dc:creator>朱吃桃</dc:creator>
  <cp:lastModifiedBy>吴超宇</cp:lastModifiedBy>
  <cp:lastPrinted>2023-12-09T19:46:00Z</cp:lastPrinted>
  <dcterms:modified xsi:type="dcterms:W3CDTF">2023-12-14T14:17:08Z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A6751B1BA73591A28E6470659CEFA58F_43</vt:lpwstr>
  </property>
</Properties>
</file>