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adjustRightInd w:val="0"/>
        <w:snapToGrid w:val="0"/>
        <w:spacing w:before="0" w:line="560" w:lineRule="exact"/>
        <w:ind w:left="0" w:leftChars="0"/>
        <w:jc w:val="left"/>
        <w:rPr>
          <w:rFonts w:hint="eastAsia" w:ascii="黑体" w:hAnsi="黑体" w:eastAsia="黑体" w:cs="黑体"/>
          <w:snapToGrid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lang w:val="en-US" w:eastAsia="zh-CN"/>
        </w:rPr>
        <w:t>附件2</w:t>
      </w:r>
    </w:p>
    <w:p>
      <w:pPr>
        <w:pStyle w:val="50"/>
        <w:adjustRightInd w:val="0"/>
        <w:snapToGrid w:val="0"/>
        <w:spacing w:before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/>
        </w:rPr>
      </w:pPr>
    </w:p>
    <w:p>
      <w:pPr>
        <w:pStyle w:val="50"/>
        <w:adjustRightInd w:val="0"/>
        <w:snapToGrid w:val="0"/>
        <w:spacing w:before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/>
        </w:rPr>
        <w:t>2022年大鹏新区教育和卫生健康局部门</w:t>
      </w:r>
    </w:p>
    <w:p>
      <w:pPr>
        <w:pStyle w:val="50"/>
        <w:adjustRightInd w:val="0"/>
        <w:snapToGrid w:val="0"/>
        <w:spacing w:before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/>
        </w:rPr>
        <w:t>整体支出绩效评价报告</w:t>
      </w:r>
    </w:p>
    <w:p>
      <w:pPr>
        <w:pStyle w:val="50"/>
        <w:adjustRightInd w:val="0"/>
        <w:snapToGrid w:val="0"/>
        <w:spacing w:line="560" w:lineRule="exact"/>
        <w:ind w:left="0" w:leftChars="0"/>
        <w:jc w:val="center"/>
        <w:rPr>
          <w:rFonts w:hint="eastAsia"/>
          <w:lang w:val="en-US"/>
        </w:rPr>
      </w:pPr>
    </w:p>
    <w:p>
      <w:pPr>
        <w:pStyle w:val="3"/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2023年5月至2023年10月期间，深圳市大鹏新区发展和财政局组织评价组对2022年度大鹏新区教育和卫生健康局部门整体支出开展绩效评价，绩效评价结果为83.98分，绩效评级为“良”。具体情况如下：</w:t>
      </w:r>
    </w:p>
    <w:p>
      <w:pPr>
        <w:pStyle w:val="2"/>
        <w:spacing w:before="0" w:after="0"/>
        <w:ind w:firstLine="640"/>
      </w:pPr>
      <w:r>
        <w:rPr>
          <w:rFonts w:hint="eastAsia"/>
        </w:rPr>
        <w:t>基本情况</w:t>
      </w:r>
    </w:p>
    <w:p>
      <w:pPr>
        <w:pStyle w:val="3"/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大</w:t>
      </w:r>
      <w:r>
        <w:rPr>
          <w:rFonts w:hint="eastAsia" w:ascii="仿宋_GB2312" w:hAnsi="仿宋_GB2312" w:cs="仿宋_GB2312"/>
        </w:rPr>
        <w:t>鹏新区教育和卫生健康局（以下简称新区教育卫健局）是大鹏新区党工委、管委会下设机构，正处级建制。其主要职责为负责大鹏新区公办学校教师管理，新区教科研、教师培训，学校安全监督等；负责医疗卫生健康领域的监督检查，医疗保健、防病治病，处置突发公共卫生事件，开展卫生监督执法等。从机构设置看，新区教育卫健局本级共有6个内设科室，直属单位3家，截至2022年底，共有学校21所。从人员配置看，</w:t>
      </w:r>
      <w:r>
        <w:rPr>
          <w:rFonts w:hint="eastAsia" w:ascii="仿宋_GB2312" w:hAnsi="仿宋_GB2312" w:cs="仿宋_GB2312"/>
          <w:szCs w:val="32"/>
        </w:rPr>
        <w:t>2022年新区教育卫健局（本级）、3家直属单位人员编制总数为7</w:t>
      </w:r>
      <w:r>
        <w:rPr>
          <w:rFonts w:hint="eastAsia" w:ascii="仿宋_GB2312" w:hAnsi="仿宋_GB2312" w:cs="仿宋_GB2312"/>
          <w:szCs w:val="32"/>
          <w:lang w:val="en-US"/>
        </w:rPr>
        <w:t>4</w:t>
      </w:r>
      <w:r>
        <w:rPr>
          <w:rFonts w:hint="eastAsia" w:ascii="仿宋_GB2312" w:hAnsi="仿宋_GB2312" w:cs="仿宋_GB2312"/>
          <w:szCs w:val="32"/>
        </w:rPr>
        <w:t>人。2022年，</w:t>
      </w:r>
      <w:r>
        <w:rPr>
          <w:rFonts w:hint="eastAsia" w:ascii="仿宋_GB2312" w:hAnsi="仿宋_GB2312" w:cs="仿宋_GB2312"/>
        </w:rPr>
        <w:t>新区教育卫健局安排预算105,186.23万元，实际支出102,581.58万元，预算执行率为97.52%。</w:t>
      </w:r>
    </w:p>
    <w:p>
      <w:pPr>
        <w:pStyle w:val="2"/>
        <w:spacing w:before="0" w:after="0"/>
        <w:ind w:firstLine="640"/>
      </w:pPr>
      <w:r>
        <w:rPr>
          <w:rFonts w:hint="eastAsia"/>
        </w:rPr>
        <w:t>主要成效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b w:val="0"/>
          <w:bCs w:val="0"/>
        </w:rPr>
      </w:pPr>
      <w:bookmarkStart w:id="0" w:name="_Toc151643554"/>
      <w:bookmarkStart w:id="1" w:name="_Toc755001119"/>
      <w:bookmarkStart w:id="2" w:name="_Toc140846457"/>
      <w:bookmarkStart w:id="3" w:name="_Toc147655459"/>
      <w:r>
        <w:rPr>
          <w:rFonts w:hint="eastAsia"/>
          <w:b w:val="0"/>
          <w:bCs w:val="0"/>
        </w:rPr>
        <w:t>提升新区教育领域硬实</w:t>
      </w:r>
      <w:bookmarkStart w:id="27" w:name="_GoBack"/>
      <w:bookmarkEnd w:id="27"/>
      <w:r>
        <w:rPr>
          <w:rFonts w:hint="eastAsia"/>
          <w:b w:val="0"/>
          <w:bCs w:val="0"/>
        </w:rPr>
        <w:t>力，促进教育持续发展</w:t>
      </w:r>
      <w:bookmarkEnd w:id="0"/>
      <w:bookmarkEnd w:id="1"/>
      <w:bookmarkEnd w:id="2"/>
      <w:bookmarkEnd w:id="3"/>
    </w:p>
    <w:p>
      <w:pPr>
        <w:pStyle w:val="3"/>
        <w:ind w:firstLine="640"/>
      </w:pPr>
      <w:r>
        <w:rPr>
          <w:rFonts w:hint="eastAsia"/>
          <w:b/>
          <w:bCs/>
        </w:rPr>
        <w:t>一是</w:t>
      </w:r>
      <w:r>
        <w:rPr>
          <w:rFonts w:hint="eastAsia"/>
        </w:rPr>
        <w:t>积极引入优质教育资源，高起点规划建设学校，</w:t>
      </w:r>
      <w:r>
        <w:t>扩大</w:t>
      </w:r>
      <w:r>
        <w:rPr>
          <w:rFonts w:hint="eastAsia"/>
        </w:rPr>
        <w:t>新区教育</w:t>
      </w:r>
      <w:r>
        <w:t>优质资源供给</w:t>
      </w:r>
      <w:r>
        <w:rPr>
          <w:rFonts w:hint="eastAsia"/>
        </w:rPr>
        <w:t>；同时，积极开展教师招聘，生均教职工数量优于市级水平</w:t>
      </w:r>
      <w:r>
        <w:t>，提升教育质量</w:t>
      </w:r>
      <w:r>
        <w:rPr>
          <w:rFonts w:hint="eastAsia"/>
        </w:rPr>
        <w:t>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各类学校建设稳步开展，部分建设进度超预期。</w:t>
      </w:r>
      <w:r>
        <w:rPr>
          <w:rFonts w:hint="eastAsia"/>
          <w:b/>
          <w:bCs/>
        </w:rPr>
        <w:t>三是</w:t>
      </w:r>
      <w:r>
        <w:rPr>
          <w:rFonts w:hint="eastAsia"/>
        </w:rPr>
        <w:t>提高幼儿园生均经费标准，逐步向</w:t>
      </w:r>
      <w:r>
        <w:rPr>
          <w:rFonts w:hint="eastAsia"/>
          <w:lang w:eastAsia="zh-CN"/>
        </w:rPr>
        <w:t>我市中心区</w:t>
      </w:r>
      <w:r>
        <w:rPr>
          <w:rFonts w:hint="eastAsia"/>
        </w:rPr>
        <w:t>靠近。</w:t>
      </w:r>
      <w:r>
        <w:rPr>
          <w:rFonts w:hint="eastAsia"/>
          <w:b/>
          <w:bCs/>
        </w:rPr>
        <w:t>四是</w:t>
      </w:r>
      <w:r>
        <w:t>组织开展责任督学挂牌督导，推动教育持续发展</w:t>
      </w:r>
      <w:r>
        <w:rPr>
          <w:rFonts w:hint="eastAsia"/>
        </w:rPr>
        <w:t>。</w:t>
      </w:r>
    </w:p>
    <w:p>
      <w:pPr>
        <w:pStyle w:val="4"/>
        <w:spacing w:before="0" w:after="0"/>
        <w:ind w:firstLine="643"/>
        <w:rPr>
          <w:b w:val="0"/>
          <w:bCs w:val="0"/>
        </w:rPr>
      </w:pPr>
      <w:bookmarkStart w:id="4" w:name="_Toc151643555"/>
      <w:bookmarkStart w:id="5" w:name="_Toc1970420557"/>
      <w:bookmarkStart w:id="6" w:name="_Toc140846456"/>
      <w:bookmarkStart w:id="7" w:name="_Toc147655460"/>
      <w:r>
        <w:rPr>
          <w:rFonts w:hint="eastAsia"/>
          <w:b w:val="0"/>
          <w:bCs w:val="0"/>
        </w:rPr>
        <w:t>医疗能力稳步发展，公共卫生服务水平持续提升</w:t>
      </w:r>
      <w:bookmarkEnd w:id="4"/>
      <w:bookmarkEnd w:id="5"/>
      <w:bookmarkEnd w:id="6"/>
      <w:bookmarkEnd w:id="7"/>
    </w:p>
    <w:p>
      <w:pPr>
        <w:pStyle w:val="3"/>
        <w:ind w:firstLine="640"/>
        <w:rPr>
          <w:rFonts w:hint="eastAsia"/>
        </w:rPr>
      </w:pPr>
      <w:r>
        <w:rPr>
          <w:rFonts w:hint="eastAsia"/>
          <w:b/>
          <w:bCs/>
        </w:rPr>
        <w:t>一是</w:t>
      </w:r>
      <w:r>
        <w:rPr>
          <w:rFonts w:hint="eastAsia"/>
        </w:rPr>
        <w:t>新区各项医疗资源趋于市级平均水平，部分指标远高于市级水平；基层社康各项设施</w:t>
      </w:r>
      <w:r>
        <w:rPr>
          <w:rFonts w:hint="eastAsia"/>
          <w:lang w:eastAsia="zh-CN"/>
        </w:rPr>
        <w:t>不断</w:t>
      </w:r>
      <w:r>
        <w:rPr>
          <w:rFonts w:hint="eastAsia"/>
        </w:rPr>
        <w:t>完善，基层</w:t>
      </w:r>
      <w:r>
        <w:rPr>
          <w:rFonts w:hint="eastAsia"/>
          <w:lang w:eastAsia="zh-CN"/>
        </w:rPr>
        <w:t>医疗</w:t>
      </w:r>
      <w:r>
        <w:rPr>
          <w:rFonts w:hint="eastAsia"/>
        </w:rPr>
        <w:t>水平有效提</w:t>
      </w:r>
      <w:r>
        <w:rPr>
          <w:rFonts w:hint="eastAsia"/>
          <w:lang w:eastAsia="zh-CN"/>
        </w:rPr>
        <w:t>高</w:t>
      </w:r>
      <w:r>
        <w:rPr>
          <w:rFonts w:hint="eastAsia"/>
        </w:rPr>
        <w:t>，医疗资源稳步提升。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基本公共卫生考核持续提升，市民医疗整体满意度高。</w:t>
      </w:r>
    </w:p>
    <w:p>
      <w:pPr>
        <w:pStyle w:val="4"/>
        <w:spacing w:before="0" w:after="0"/>
        <w:ind w:firstLine="643"/>
        <w:rPr>
          <w:b w:val="0"/>
          <w:bCs w:val="0"/>
        </w:rPr>
      </w:pPr>
      <w:bookmarkStart w:id="8" w:name="_Toc512981112"/>
      <w:bookmarkStart w:id="9" w:name="_Toc147655461"/>
      <w:bookmarkStart w:id="10" w:name="_Toc151643556"/>
      <w:r>
        <w:rPr>
          <w:rFonts w:hint="eastAsia"/>
          <w:b w:val="0"/>
          <w:bCs w:val="0"/>
        </w:rPr>
        <w:t>持续完善各项制度，基本覆盖各项业务流程</w:t>
      </w:r>
      <w:bookmarkEnd w:id="8"/>
      <w:bookmarkEnd w:id="9"/>
      <w:bookmarkEnd w:id="10"/>
    </w:p>
    <w:p>
      <w:pPr>
        <w:pStyle w:val="3"/>
        <w:ind w:firstLine="640"/>
        <w:rPr>
          <w:rFonts w:hint="eastAsia"/>
        </w:rPr>
      </w:pPr>
      <w:r>
        <w:rPr>
          <w:rFonts w:hint="eastAsia"/>
          <w:b/>
          <w:bCs/>
        </w:rPr>
        <w:t>一是</w:t>
      </w:r>
      <w:r>
        <w:rPr>
          <w:rFonts w:hint="eastAsia"/>
        </w:rPr>
        <w:t>持续完善各项业务流程，确保新区教育卫健局各项业务</w:t>
      </w:r>
      <w:r>
        <w:rPr>
          <w:rFonts w:hint="eastAsia"/>
          <w:lang w:eastAsia="zh-CN"/>
        </w:rPr>
        <w:t>顺利</w:t>
      </w:r>
      <w:r>
        <w:rPr>
          <w:rFonts w:hint="eastAsia"/>
        </w:rPr>
        <w:t>开展，在制度化轨道中规范运行。</w:t>
      </w:r>
      <w:r>
        <w:rPr>
          <w:b/>
          <w:bCs/>
        </w:rPr>
        <w:t>二是</w:t>
      </w:r>
      <w:r>
        <w:t>保障民办学校教师发展，推动新区医疗健康集团机制完善。</w:t>
      </w:r>
    </w:p>
    <w:p>
      <w:pPr>
        <w:pStyle w:val="2"/>
        <w:spacing w:before="0" w:after="0"/>
        <w:ind w:firstLine="640"/>
      </w:pPr>
      <w:r>
        <w:rPr>
          <w:rFonts w:hint="eastAsia"/>
        </w:rPr>
        <w:t>存在的主要问题</w:t>
      </w:r>
    </w:p>
    <w:p>
      <w:pPr>
        <w:pStyle w:val="4"/>
        <w:spacing w:before="0" w:after="0"/>
        <w:ind w:firstLine="643"/>
        <w:rPr>
          <w:b w:val="0"/>
          <w:bCs w:val="0"/>
        </w:rPr>
      </w:pPr>
      <w:bookmarkStart w:id="11" w:name="_Toc151643558"/>
      <w:bookmarkStart w:id="12" w:name="_Toc147655463"/>
      <w:bookmarkStart w:id="13" w:name="_Toc1786066088"/>
      <w:r>
        <w:rPr>
          <w:rFonts w:hint="eastAsia"/>
          <w:b w:val="0"/>
          <w:bCs w:val="0"/>
        </w:rPr>
        <w:t>个别教育目标未达预期，部分经费使用效益偏低</w:t>
      </w:r>
      <w:bookmarkEnd w:id="11"/>
      <w:bookmarkEnd w:id="12"/>
      <w:bookmarkEnd w:id="13"/>
    </w:p>
    <w:p>
      <w:pPr>
        <w:pStyle w:val="3"/>
        <w:ind w:firstLine="643"/>
        <w:rPr>
          <w:rFonts w:hint="eastAsia"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  <w:b w:val="0"/>
          <w:bCs w:val="0"/>
        </w:rPr>
        <w:t>1.</w:t>
      </w:r>
      <w:r>
        <w:rPr>
          <w:rFonts w:hint="eastAsia" w:ascii="仿宋_GB2312" w:hAnsi="仿宋_GB2312" w:cs="仿宋_GB2312"/>
          <w:b w:val="0"/>
          <w:bCs w:val="0"/>
          <w:lang w:val="en-US"/>
        </w:rPr>
        <w:t>新区学校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间</w:t>
      </w:r>
      <w:r>
        <w:rPr>
          <w:rFonts w:hint="eastAsia" w:ascii="仿宋_GB2312" w:hAnsi="仿宋_GB2312" w:cs="仿宋_GB2312"/>
          <w:b w:val="0"/>
          <w:bCs w:val="0"/>
          <w:lang w:val="en-US"/>
        </w:rPr>
        <w:t>教研实力差距较大，教师教研能力有待提升。</w:t>
      </w:r>
    </w:p>
    <w:p>
      <w:pPr>
        <w:pStyle w:val="3"/>
        <w:ind w:firstLine="643"/>
        <w:rPr>
          <w:rFonts w:hint="eastAsia" w:ascii="仿宋_GB2312" w:hAnsi="仿宋_GB2312" w:cs="仿宋_GB2312"/>
          <w:b w:val="0"/>
          <w:bCs w:val="0"/>
          <w:lang w:val="en-US"/>
        </w:rPr>
      </w:pPr>
      <w:r>
        <w:rPr>
          <w:rFonts w:hint="eastAsia" w:ascii="仿宋_GB2312" w:hAnsi="仿宋_GB2312" w:cs="仿宋_GB2312"/>
          <w:b w:val="0"/>
          <w:bCs w:val="0"/>
          <w:lang w:val="en-US"/>
        </w:rPr>
        <w:t>2.</w:t>
      </w:r>
      <w:r>
        <w:rPr>
          <w:rFonts w:hint="eastAsia" w:ascii="仿宋_GB2312" w:hAnsi="仿宋_GB2312" w:cs="仿宋_GB2312"/>
          <w:b w:val="0"/>
          <w:bCs w:val="0"/>
        </w:rPr>
        <w:t>教师培训次数少且固化，教师培训经费调整率高。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/>
        </w:rPr>
      </w:pPr>
      <w:r>
        <w:rPr>
          <w:rFonts w:hint="eastAsia" w:ascii="仿宋_GB2312" w:hAnsi="仿宋_GB2312" w:cs="仿宋_GB2312"/>
          <w:b w:val="0"/>
          <w:bCs w:val="0"/>
          <w:lang w:val="en-US"/>
        </w:rPr>
        <w:t>3.</w:t>
      </w:r>
      <w:r>
        <w:rPr>
          <w:rFonts w:hint="eastAsia"/>
          <w:b w:val="0"/>
          <w:bCs w:val="0"/>
        </w:rPr>
        <w:t>市级以上名师工作</w:t>
      </w:r>
      <w:r>
        <w:rPr>
          <w:rFonts w:hint="eastAsia"/>
          <w:b w:val="0"/>
          <w:bCs w:val="0"/>
          <w:lang w:val="en-US"/>
        </w:rPr>
        <w:t>室建设有待加强</w:t>
      </w:r>
      <w:r>
        <w:rPr>
          <w:rFonts w:hint="eastAsia" w:ascii="仿宋_GB2312" w:hAnsi="仿宋_GB2312" w:cs="仿宋_GB2312"/>
          <w:b w:val="0"/>
          <w:bCs w:val="0"/>
        </w:rPr>
        <w:t>，</w:t>
      </w:r>
      <w:r>
        <w:rPr>
          <w:rFonts w:hint="eastAsia" w:ascii="仿宋_GB2312" w:hAnsi="仿宋_GB2312" w:cs="仿宋_GB2312"/>
          <w:b w:val="0"/>
          <w:bCs w:val="0"/>
          <w:lang w:val="en-US"/>
        </w:rPr>
        <w:t>2022</w:t>
      </w:r>
      <w:r>
        <w:rPr>
          <w:rFonts w:hint="eastAsia"/>
          <w:b w:val="0"/>
          <w:bCs w:val="0"/>
          <w:lang w:val="en-US"/>
        </w:rPr>
        <w:t>年职称教师占比有所下降。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b w:val="0"/>
          <w:bCs w:val="0"/>
        </w:rPr>
      </w:pPr>
      <w:bookmarkStart w:id="14" w:name="_Toc886323250"/>
      <w:bookmarkStart w:id="15" w:name="_Toc147655464"/>
      <w:bookmarkStart w:id="16" w:name="_Toc151643559"/>
      <w:r>
        <w:rPr>
          <w:rFonts w:hint="eastAsia"/>
          <w:b w:val="0"/>
          <w:bCs w:val="0"/>
        </w:rPr>
        <w:t>个别公共卫生目标未完成，</w:t>
      </w:r>
      <w:bookmarkEnd w:id="14"/>
      <w:bookmarkEnd w:id="15"/>
      <w:r>
        <w:rPr>
          <w:rFonts w:hint="eastAsia"/>
          <w:b w:val="0"/>
          <w:bCs w:val="0"/>
        </w:rPr>
        <w:t>个别委外事项高度一致</w:t>
      </w:r>
      <w:bookmarkEnd w:id="16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cs="仿宋_GB2312"/>
          <w:b w:val="0"/>
          <w:bCs w:val="0"/>
          <w:lang w:val="en-US"/>
        </w:rPr>
      </w:pPr>
      <w:r>
        <w:rPr>
          <w:rFonts w:hint="eastAsia" w:ascii="仿宋_GB2312" w:hAnsi="仿宋_GB2312" w:cs="仿宋_GB2312"/>
          <w:b w:val="0"/>
          <w:bCs w:val="0"/>
          <w:lang w:val="en-US"/>
        </w:rPr>
        <w:t>1.</w:t>
      </w:r>
      <w:r>
        <w:rPr>
          <w:rFonts w:hint="eastAsia" w:ascii="仿宋_GB2312" w:hAnsi="仿宋_GB2312" w:cs="仿宋_GB2312"/>
          <w:b w:val="0"/>
          <w:bCs w:val="0"/>
        </w:rPr>
        <w:t>基本公共卫生服务监督管理有待加强，个别基本公卫指标未完成。</w:t>
      </w:r>
      <w:r>
        <w:rPr>
          <w:rFonts w:hint="eastAsia" w:ascii="仿宋_GB2312" w:hAnsi="仿宋_GB2312" w:cs="仿宋_GB2312"/>
          <w:b/>
          <w:bCs/>
          <w:lang w:val="en-US"/>
        </w:rPr>
        <w:t>一是</w:t>
      </w:r>
      <w:r>
        <w:rPr>
          <w:rFonts w:hint="eastAsia" w:ascii="仿宋_GB2312" w:hAnsi="仿宋_GB2312" w:cs="仿宋_GB2312"/>
          <w:b w:val="0"/>
          <w:bCs w:val="0"/>
          <w:lang w:val="en-US"/>
        </w:rPr>
        <w:t>2022年12.5%的公共卫生考核指标未达2022年标准值。</w:t>
      </w:r>
      <w:r>
        <w:rPr>
          <w:rFonts w:hint="eastAsia" w:ascii="仿宋_GB2312" w:hAnsi="仿宋_GB2312" w:cs="仿宋_GB2312"/>
          <w:b/>
          <w:bCs/>
          <w:lang w:val="en-US"/>
        </w:rPr>
        <w:t>二是</w:t>
      </w:r>
      <w:r>
        <w:rPr>
          <w:rFonts w:hint="eastAsia" w:ascii="仿宋_GB2312" w:hAnsi="仿宋_GB2312" w:cs="仿宋_GB2312"/>
          <w:b w:val="0"/>
          <w:bCs w:val="0"/>
          <w:lang w:val="en-US"/>
        </w:rPr>
        <w:t>2022年25%的公共卫生考核指标未达2022年深圳市平均值。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lang w:val="en-US"/>
        </w:rPr>
      </w:pPr>
      <w:r>
        <w:rPr>
          <w:rFonts w:hint="eastAsia" w:ascii="仿宋_GB2312" w:hAnsi="仿宋_GB2312" w:cs="仿宋_GB2312"/>
          <w:b w:val="0"/>
          <w:bCs w:val="0"/>
        </w:rPr>
        <w:t>2.</w:t>
      </w:r>
      <w:r>
        <w:rPr>
          <w:rFonts w:hint="eastAsia" w:ascii="仿宋_GB2312" w:hAnsi="仿宋_GB2312" w:cs="仿宋_GB2312"/>
          <w:b w:val="0"/>
          <w:bCs w:val="0"/>
          <w:lang w:val="en-US"/>
        </w:rPr>
        <w:t>新区疾病预防控制中心采购需求与业务需求不匹配，导致与其他单位在委外事项上高度一致。</w:t>
      </w:r>
      <w:r>
        <w:rPr>
          <w:rFonts w:hint="eastAsia" w:ascii="仿宋_GB2312" w:hAnsi="仿宋_GB2312" w:cs="仿宋_GB2312"/>
          <w:lang w:val="en-US"/>
        </w:rPr>
        <w:t>新</w:t>
      </w:r>
      <w:r>
        <w:rPr>
          <w:rFonts w:hint="eastAsia"/>
          <w:lang w:val="en-US"/>
        </w:rPr>
        <w:t>区疾病预防控制中心采购的</w:t>
      </w:r>
      <w:r>
        <w:rPr>
          <w:rFonts w:hint="eastAsia"/>
        </w:rPr>
        <w:t>精神卫生社工服务内容与</w:t>
      </w:r>
      <w:r>
        <w:rPr>
          <w:rFonts w:hint="eastAsia"/>
          <w:lang w:val="en-US"/>
        </w:rPr>
        <w:t>大鹏新区医疗健康集团（含医院、社康）购买的服务内容完全一致，且采购内容与新区疾病预防控制中心业务匹配度不高。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b w:val="0"/>
          <w:bCs w:val="0"/>
        </w:rPr>
      </w:pPr>
      <w:bookmarkStart w:id="17" w:name="_Toc151643560"/>
      <w:bookmarkStart w:id="18" w:name="_Toc1488287158"/>
      <w:bookmarkStart w:id="19" w:name="_Toc147655465"/>
      <w:r>
        <w:rPr>
          <w:rFonts w:hint="eastAsia"/>
          <w:b w:val="0"/>
          <w:bCs w:val="0"/>
        </w:rPr>
        <w:t>个别单位</w:t>
      </w:r>
      <w:r>
        <w:rPr>
          <w:rFonts w:hint="eastAsia"/>
          <w:b w:val="0"/>
          <w:bCs w:val="0"/>
          <w:lang w:val="en-US"/>
        </w:rPr>
        <w:t>设备配置欠合理</w:t>
      </w:r>
      <w:r>
        <w:rPr>
          <w:rFonts w:hint="eastAsia"/>
          <w:b w:val="0"/>
          <w:bCs w:val="0"/>
        </w:rPr>
        <w:t>，资产管理有待加强</w:t>
      </w:r>
      <w:bookmarkEnd w:id="17"/>
      <w:bookmarkEnd w:id="18"/>
      <w:bookmarkEnd w:id="19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1.</w:t>
      </w:r>
      <w:r>
        <w:rPr>
          <w:rFonts w:hint="eastAsia" w:ascii="仿宋_GB2312" w:hAnsi="仿宋_GB2312" w:cs="仿宋_GB2312"/>
          <w:b w:val="0"/>
          <w:bCs w:val="0"/>
          <w:lang w:val="en-US"/>
        </w:rPr>
        <w:t>个别设备使用率偏低，</w:t>
      </w:r>
      <w:r>
        <w:rPr>
          <w:rFonts w:hint="eastAsia" w:ascii="仿宋_GB2312" w:hAnsi="仿宋_GB2312" w:cs="仿宋_GB2312"/>
          <w:b w:val="0"/>
          <w:bCs w:val="0"/>
        </w:rPr>
        <w:t>设备、耗材使用登记不规范。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2.</w:t>
      </w:r>
      <w:r>
        <w:rPr>
          <w:rFonts w:hint="eastAsia" w:ascii="仿宋_GB2312" w:hAnsi="仿宋_GB2312" w:cs="仿宋_GB2312"/>
          <w:b w:val="0"/>
          <w:bCs w:val="0"/>
          <w:lang w:val="en-US"/>
        </w:rPr>
        <w:t>报废资产处置不及时</w:t>
      </w:r>
      <w:r>
        <w:rPr>
          <w:rFonts w:hint="eastAsia" w:ascii="仿宋_GB2312" w:hAnsi="仿宋_GB2312" w:cs="仿宋_GB2312"/>
          <w:b w:val="0"/>
          <w:bCs w:val="0"/>
        </w:rPr>
        <w:t>，二级预算单位资产监督待加强。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b w:val="0"/>
          <w:bCs w:val="0"/>
        </w:rPr>
      </w:pPr>
      <w:bookmarkStart w:id="20" w:name="_Toc147655466"/>
      <w:bookmarkStart w:id="21" w:name="_Toc151643561"/>
      <w:bookmarkStart w:id="22" w:name="_Toc1900227897"/>
      <w:r>
        <w:rPr>
          <w:rFonts w:hint="eastAsia"/>
          <w:b w:val="0"/>
          <w:bCs w:val="0"/>
        </w:rPr>
        <w:t>业务管理机制有待健全，部分项目支出标准有待明确</w:t>
      </w:r>
      <w:bookmarkEnd w:id="20"/>
      <w:bookmarkEnd w:id="21"/>
      <w:bookmarkEnd w:id="22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1.个别专项经费评审标准有待完善，经费使用方向有待进一步明确。</w:t>
      </w:r>
      <w:r>
        <w:rPr>
          <w:rFonts w:hint="eastAsia" w:ascii="仿宋_GB2312" w:hAnsi="仿宋_GB2312" w:cs="仿宋_GB2312"/>
          <w:b/>
          <w:bCs/>
        </w:rPr>
        <w:t>一是</w:t>
      </w:r>
      <w:r>
        <w:rPr>
          <w:rFonts w:hint="eastAsia" w:ascii="仿宋_GB2312" w:hAnsi="仿宋_GB2312" w:cs="仿宋_GB2312"/>
          <w:b w:val="0"/>
          <w:bCs w:val="0"/>
        </w:rPr>
        <w:t>教育设备采购经费缺少评审规范性、量化文件，导致教育设备采购标准不一。</w:t>
      </w:r>
      <w:r>
        <w:rPr>
          <w:rFonts w:hint="eastAsia" w:ascii="仿宋_GB2312" w:hAnsi="仿宋_GB2312" w:cs="仿宋_GB2312"/>
          <w:b/>
          <w:bCs/>
        </w:rPr>
        <w:t>二是</w:t>
      </w:r>
      <w:r>
        <w:rPr>
          <w:rFonts w:hint="eastAsia" w:ascii="仿宋_GB2312" w:hAnsi="仿宋_GB2312" w:cs="仿宋_GB2312"/>
          <w:b w:val="0"/>
          <w:bCs w:val="0"/>
        </w:rPr>
        <w:t>教育设备采购经费与生均经费划分不明确。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2.项目支出标准有待明确，专家评审经费标准差异偏大。</w:t>
      </w:r>
      <w:r>
        <w:rPr>
          <w:rFonts w:hint="eastAsia" w:ascii="仿宋_GB2312" w:hAnsi="仿宋_GB2312" w:cs="仿宋_GB2312"/>
          <w:b/>
          <w:bCs/>
        </w:rPr>
        <w:t>一是</w:t>
      </w:r>
      <w:r>
        <w:rPr>
          <w:rFonts w:hint="eastAsia" w:ascii="仿宋_GB2312" w:hAnsi="仿宋_GB2312" w:cs="仿宋_GB2312"/>
          <w:b w:val="0"/>
          <w:bCs w:val="0"/>
        </w:rPr>
        <w:t>区外专家费用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与</w:t>
      </w:r>
      <w:r>
        <w:rPr>
          <w:rFonts w:hint="eastAsia" w:ascii="仿宋_GB2312" w:hAnsi="仿宋_GB2312" w:cs="仿宋_GB2312"/>
          <w:b w:val="0"/>
          <w:bCs w:val="0"/>
        </w:rPr>
        <w:t>区内专家费用的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差异较大</w:t>
      </w:r>
      <w:r>
        <w:rPr>
          <w:rFonts w:hint="eastAsia" w:ascii="仿宋_GB2312" w:hAnsi="仿宋_GB2312" w:cs="仿宋_GB2312"/>
          <w:b w:val="0"/>
          <w:bCs w:val="0"/>
        </w:rPr>
        <w:t>。</w:t>
      </w:r>
      <w:r>
        <w:rPr>
          <w:rFonts w:hint="eastAsia" w:ascii="仿宋_GB2312" w:hAnsi="仿宋_GB2312" w:cs="仿宋_GB2312"/>
          <w:b/>
          <w:bCs/>
        </w:rPr>
        <w:t>二是</w:t>
      </w:r>
      <w:r>
        <w:rPr>
          <w:rFonts w:hint="eastAsia" w:ascii="仿宋_GB2312" w:hAnsi="仿宋_GB2312" w:cs="仿宋_GB2312"/>
          <w:b w:val="0"/>
          <w:bCs w:val="0"/>
        </w:rPr>
        <w:t>同一专家费用标准包含事项不一致。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3.部分建设项目推进力度有待加强，项目建设进度整体</w:t>
      </w:r>
      <w:r>
        <w:rPr>
          <w:rFonts w:hint="eastAsia" w:ascii="仿宋_GB2312" w:hAnsi="仿宋_GB2312" w:cs="仿宋_GB2312"/>
          <w:b w:val="0"/>
          <w:bCs w:val="0"/>
          <w:lang w:val="en-US"/>
        </w:rPr>
        <w:t>偏后。</w:t>
      </w:r>
      <w:r>
        <w:rPr>
          <w:rFonts w:hint="eastAsia" w:ascii="仿宋_GB2312" w:hAnsi="仿宋_GB2312" w:cs="仿宋_GB2312"/>
          <w:b w:val="0"/>
          <w:bCs w:val="0"/>
        </w:rPr>
        <w:t>根据《教育事业发展“十四五”规划》，新区教育卫健局需</w:t>
      </w:r>
      <w:r>
        <w:rPr>
          <w:rFonts w:hint="eastAsia" w:ascii="仿宋_GB2312" w:hAnsi="仿宋_GB2312" w:cs="仿宋_GB2312"/>
          <w:b w:val="0"/>
          <w:bCs w:val="0"/>
          <w:lang w:val="en-US"/>
        </w:rPr>
        <w:t>配合推</w:t>
      </w:r>
      <w:r>
        <w:rPr>
          <w:rFonts w:hint="eastAsia" w:ascii="仿宋_GB2312" w:hAnsi="仿宋_GB2312" w:cs="仿宋_GB2312"/>
          <w:b w:val="0"/>
          <w:bCs w:val="0"/>
        </w:rPr>
        <w:t>进新区3所高中的建设工作，但评价发现有1所高中建设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完工时间</w:t>
      </w:r>
      <w:r>
        <w:rPr>
          <w:rFonts w:hint="eastAsia" w:ascii="仿宋_GB2312" w:hAnsi="仿宋_GB2312" w:cs="仿宋_GB2312"/>
          <w:b w:val="0"/>
          <w:bCs w:val="0"/>
        </w:rPr>
        <w:t>由2023年延迟至2026年。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eastAsia"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>4.公务用车管理有待加强，“以租代购”</w:t>
      </w:r>
      <w:r>
        <w:rPr>
          <w:rFonts w:hint="eastAsia" w:ascii="仿宋_GB2312" w:hAnsi="仿宋_GB2312" w:cs="仿宋_GB2312"/>
          <w:b w:val="0"/>
          <w:bCs w:val="0"/>
          <w:lang w:val="en-US"/>
        </w:rPr>
        <w:t>增加运行支出。</w:t>
      </w:r>
      <w:r>
        <w:rPr>
          <w:rFonts w:hint="eastAsia" w:ascii="仿宋_GB2312" w:hAnsi="仿宋_GB2312" w:cs="仿宋_GB2312"/>
          <w:b w:val="0"/>
          <w:bCs w:val="0"/>
        </w:rPr>
        <w:t>2022年，新区卫生监督所租赁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公务用车</w:t>
      </w:r>
      <w:r>
        <w:rPr>
          <w:rFonts w:hint="eastAsia" w:ascii="仿宋_GB2312" w:hAnsi="仿宋_GB2312" w:cs="仿宋_GB2312"/>
          <w:b w:val="0"/>
          <w:bCs w:val="0"/>
        </w:rPr>
        <w:t>存在</w:t>
      </w:r>
      <w:r>
        <w:rPr>
          <w:rFonts w:hint="eastAsia" w:ascii="仿宋_GB2312" w:hAnsi="仿宋_GB2312" w:cs="仿宋_GB2312"/>
          <w:b w:val="0"/>
          <w:bCs w:val="0"/>
          <w:lang w:val="en-US"/>
        </w:rPr>
        <w:t>租赁时长、租用车辆排量、价格不符合标准等情况。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/>
        <w:textAlignment w:val="auto"/>
      </w:pPr>
      <w:r>
        <w:rPr>
          <w:rFonts w:hint="eastAsia"/>
        </w:rPr>
        <w:t>改进建议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23" w:name="_Toc151643563"/>
      <w:r>
        <w:rPr>
          <w:rFonts w:hint="eastAsia"/>
          <w:b w:val="0"/>
          <w:bCs w:val="0"/>
        </w:rPr>
        <w:t>提升新区科研、培训氛围，提高资金使用效益</w:t>
      </w:r>
      <w:bookmarkEnd w:id="2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rPr>
          <w:b/>
          <w:bCs/>
        </w:rPr>
        <w:t>一是</w:t>
      </w:r>
      <w:r>
        <w:rPr>
          <w:rFonts w:hint="eastAsia"/>
        </w:rPr>
        <w:t>提高新区教科研氛围，鼓励各校申报区级、市级课题，实现新区各学校科研均衡发展。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结合新区教师需求，制定多样化培训项目、实行以老带新教师带教培训计划，鼓励教师参加各类竞赛，切实有效使用教师培训经费。</w:t>
      </w:r>
      <w:r>
        <w:rPr>
          <w:rFonts w:hint="eastAsia"/>
          <w:b/>
          <w:bCs/>
        </w:rPr>
        <w:t>三是</w:t>
      </w:r>
      <w:r>
        <w:rPr>
          <w:rFonts w:hint="eastAsia"/>
        </w:rPr>
        <w:t>“引、培、留”多样化结合，加强名师工作室建设；逐步放开优化教师职称评定，明确教师职称评定各项内容。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b w:val="0"/>
          <w:bCs w:val="0"/>
        </w:rPr>
      </w:pPr>
      <w:bookmarkStart w:id="24" w:name="_Toc151643564"/>
      <w:r>
        <w:rPr>
          <w:rFonts w:hint="eastAsia"/>
          <w:b w:val="0"/>
          <w:bCs w:val="0"/>
        </w:rPr>
        <w:t>分析目标未完成原因，厘清各单位履职权责</w:t>
      </w:r>
      <w:bookmarkEnd w:id="2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rPr>
          <w:rFonts w:hint="eastAsia"/>
          <w:b/>
          <w:bCs/>
        </w:rPr>
        <w:t>一是</w:t>
      </w:r>
      <w:r>
        <w:rPr>
          <w:rFonts w:hint="eastAsia"/>
          <w:lang w:eastAsia="zh-CN"/>
        </w:rPr>
        <w:t>全面分析目标完成情况</w:t>
      </w:r>
      <w:r>
        <w:rPr>
          <w:rFonts w:hint="eastAsia"/>
        </w:rPr>
        <w:t>，全方位确保目标实现。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建议新区疾病预防控制中心厘清职责边界，避免事项重复。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25" w:name="_Toc151643565"/>
      <w:r>
        <w:rPr>
          <w:b w:val="0"/>
          <w:bCs w:val="0"/>
        </w:rPr>
        <w:t>落实资产配置要求，</w:t>
      </w:r>
      <w:r>
        <w:rPr>
          <w:rFonts w:hint="eastAsia"/>
          <w:b w:val="0"/>
          <w:bCs w:val="0"/>
        </w:rPr>
        <w:t>加强单位资产管理</w:t>
      </w:r>
      <w:bookmarkEnd w:id="25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rPr>
          <w:rFonts w:hint="eastAsia"/>
          <w:b/>
          <w:bCs/>
        </w:rPr>
        <w:t>一是</w:t>
      </w:r>
      <w:r>
        <w:rPr>
          <w:rFonts w:hint="eastAsia"/>
        </w:rPr>
        <w:t>单位在更新、新增资产时，应结合国家、省市有关标准，合理配备办公设备，避免资产过度配置。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建议新区疾病预防控制中心制定年度检测计划，提高设备的使用效益。</w:t>
      </w:r>
      <w:r>
        <w:rPr>
          <w:rFonts w:hint="eastAsia"/>
          <w:b/>
          <w:bCs/>
        </w:rPr>
        <w:t>三是</w:t>
      </w:r>
      <w:r>
        <w:rPr>
          <w:rFonts w:hint="eastAsia"/>
        </w:rPr>
        <w:t>建议参与实验人员落实设备使用登记，加强实验室耗材管理，避免大量取用耗材，造成实验材料浪费。</w:t>
      </w:r>
      <w:r>
        <w:rPr>
          <w:rFonts w:hint="eastAsia"/>
          <w:b/>
          <w:bCs/>
        </w:rPr>
        <w:t>四是</w:t>
      </w:r>
      <w:r>
        <w:rPr>
          <w:rFonts w:hint="eastAsia"/>
        </w:rPr>
        <w:t>及时处理损毁、报废资产，避免资产积压；加强二级预算单位资产管理，避免铺张浪费。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26" w:name="_Toc151643566"/>
      <w:r>
        <w:rPr>
          <w:rFonts w:hint="eastAsia"/>
          <w:b w:val="0"/>
          <w:bCs w:val="0"/>
        </w:rPr>
        <w:t>建立健全业务管理机制，</w:t>
      </w:r>
      <w:bookmarkEnd w:id="26"/>
      <w:r>
        <w:rPr>
          <w:rFonts w:hint="eastAsia"/>
          <w:b w:val="0"/>
          <w:bCs w:val="0"/>
          <w:lang w:eastAsia="zh-CN"/>
        </w:rPr>
        <w:t>制定完善相关经费标准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rPr>
          <w:rFonts w:hint="eastAsia"/>
          <w:b/>
          <w:bCs/>
        </w:rPr>
        <w:t>一是</w:t>
      </w:r>
      <w:r>
        <w:rPr>
          <w:rFonts w:hint="eastAsia"/>
        </w:rPr>
        <w:t>完善专项经费评审标准，明确专项经费与生均经费区别，确保财政资金使用合规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高效。</w:t>
      </w:r>
      <w:r>
        <w:rPr>
          <w:rFonts w:hint="eastAsia"/>
          <w:b/>
          <w:bCs/>
        </w:rPr>
        <w:t>二是</w:t>
      </w:r>
      <w:r>
        <w:rPr>
          <w:rFonts w:hint="eastAsia"/>
        </w:rPr>
        <w:t>明确合同各项服务内容及要求，合理制定经费标准。</w:t>
      </w:r>
      <w:r>
        <w:rPr>
          <w:rFonts w:hint="eastAsia"/>
          <w:b/>
          <w:bCs/>
        </w:rPr>
        <w:t>三是</w:t>
      </w:r>
      <w:r>
        <w:rPr>
          <w:rFonts w:hint="eastAsia"/>
        </w:rPr>
        <w:t>建议局本级加大对二级预算单位公务用车的监管，</w:t>
      </w:r>
      <w:r>
        <w:t>加强车辆租赁管理，</w:t>
      </w:r>
      <w:r>
        <w:rPr>
          <w:rFonts w:hint="eastAsia"/>
        </w:rPr>
        <w:t>严格落实公务用车各项规定，杜绝变相配备公务用车。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6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rFonts w:hint="eastAsia" w:eastAsia="等线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671B8"/>
    <w:multiLevelType w:val="multilevel"/>
    <w:tmpl w:val="610671B8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992" w:hanging="567"/>
      </w:pPr>
      <w:rPr>
        <w:rFonts w:hint="eastAsia" w:ascii="楷体" w:hAnsi="楷体" w:eastAsia="楷体" w:cs="楷体"/>
        <w:b w:val="0"/>
        <w:bCs w:val="0"/>
      </w:rPr>
    </w:lvl>
    <w:lvl w:ilvl="2" w:tentative="0">
      <w:start w:val="1"/>
      <w:numFmt w:val="decimal"/>
      <w:pStyle w:val="5"/>
      <w:suff w:val="nothing"/>
      <w:lvlText w:val="%3. "/>
      <w:lvlJc w:val="left"/>
      <w:pPr>
        <w:ind w:left="992" w:hanging="567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992" w:hanging="425"/>
      </w:pPr>
      <w:rPr>
        <w:rFonts w:hint="eastAsia"/>
      </w:rPr>
    </w:lvl>
    <w:lvl w:ilvl="4" w:tentative="0">
      <w:start w:val="1"/>
      <w:numFmt w:val="decimal"/>
      <w:pStyle w:val="7"/>
      <w:suff w:val="nothing"/>
      <w:lvlText w:val="%5）"/>
      <w:lvlJc w:val="left"/>
      <w:pPr>
        <w:ind w:left="992" w:hanging="113"/>
      </w:pPr>
      <w:rPr>
        <w:rFonts w:hint="eastAsia"/>
      </w:rPr>
    </w:lvl>
    <w:lvl w:ilvl="5" w:tentative="0">
      <w:start w:val="1"/>
      <w:numFmt w:val="decimal"/>
      <w:pStyle w:val="55"/>
      <w:suff w:val="nothing"/>
      <w:lvlText w:val="附件%6 "/>
      <w:lvlJc w:val="left"/>
      <w:pPr>
        <w:ind w:left="0" w:firstLine="0"/>
      </w:pPr>
      <w:rPr>
        <w:rFonts w:hint="eastAsia"/>
      </w:rPr>
    </w:lvl>
    <w:lvl w:ilvl="6" w:tentative="0">
      <w:start w:val="1"/>
      <w:numFmt w:val="chineseCountingThousand"/>
      <w:suff w:val="nothing"/>
      <w:lvlText w:val="%7、"/>
      <w:lvlJc w:val="left"/>
      <w:pPr>
        <w:ind w:left="992" w:hanging="567"/>
      </w:pPr>
      <w:rPr>
        <w:rFonts w:hint="eastAsia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992" w:hanging="567"/>
      </w:pPr>
      <w:rPr>
        <w:rFonts w:hint="eastAsia"/>
      </w:rPr>
    </w:lvl>
    <w:lvl w:ilvl="8" w:tentative="0">
      <w:start w:val="1"/>
      <w:numFmt w:val="decimal"/>
      <w:suff w:val="nothing"/>
      <w:lvlText w:val="%9. "/>
      <w:lvlJc w:val="left"/>
      <w:pPr>
        <w:ind w:left="992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01323F"/>
    <w:rsid w:val="0001323F"/>
    <w:rsid w:val="00015FD7"/>
    <w:rsid w:val="00035C58"/>
    <w:rsid w:val="00044534"/>
    <w:rsid w:val="0005304B"/>
    <w:rsid w:val="0005634B"/>
    <w:rsid w:val="00066C9A"/>
    <w:rsid w:val="00071965"/>
    <w:rsid w:val="00083FCC"/>
    <w:rsid w:val="000C0DDB"/>
    <w:rsid w:val="000F2B10"/>
    <w:rsid w:val="00102E6B"/>
    <w:rsid w:val="00114DEE"/>
    <w:rsid w:val="00121E22"/>
    <w:rsid w:val="00147A7E"/>
    <w:rsid w:val="00166CBE"/>
    <w:rsid w:val="001714CA"/>
    <w:rsid w:val="00172053"/>
    <w:rsid w:val="001807D4"/>
    <w:rsid w:val="0019781C"/>
    <w:rsid w:val="001B24EE"/>
    <w:rsid w:val="001B486E"/>
    <w:rsid w:val="001E4440"/>
    <w:rsid w:val="00222A88"/>
    <w:rsid w:val="00231A33"/>
    <w:rsid w:val="0023442A"/>
    <w:rsid w:val="00237C0D"/>
    <w:rsid w:val="00270F7F"/>
    <w:rsid w:val="00272D30"/>
    <w:rsid w:val="00277770"/>
    <w:rsid w:val="00297B3D"/>
    <w:rsid w:val="002B01E4"/>
    <w:rsid w:val="002B4447"/>
    <w:rsid w:val="00306E74"/>
    <w:rsid w:val="0034355A"/>
    <w:rsid w:val="00345EF3"/>
    <w:rsid w:val="00356FCE"/>
    <w:rsid w:val="00390FDC"/>
    <w:rsid w:val="0039624B"/>
    <w:rsid w:val="00397DBF"/>
    <w:rsid w:val="003D3060"/>
    <w:rsid w:val="004408E8"/>
    <w:rsid w:val="004501DB"/>
    <w:rsid w:val="004531F9"/>
    <w:rsid w:val="00477F73"/>
    <w:rsid w:val="00493F68"/>
    <w:rsid w:val="004A5E40"/>
    <w:rsid w:val="004C3B46"/>
    <w:rsid w:val="004D5BB2"/>
    <w:rsid w:val="00546D71"/>
    <w:rsid w:val="00560DED"/>
    <w:rsid w:val="005C4184"/>
    <w:rsid w:val="005C7243"/>
    <w:rsid w:val="005E16C6"/>
    <w:rsid w:val="00607F4F"/>
    <w:rsid w:val="00610C44"/>
    <w:rsid w:val="00670309"/>
    <w:rsid w:val="00672BF2"/>
    <w:rsid w:val="00681991"/>
    <w:rsid w:val="006934C2"/>
    <w:rsid w:val="006B5747"/>
    <w:rsid w:val="006B6D34"/>
    <w:rsid w:val="006C0552"/>
    <w:rsid w:val="006D38B2"/>
    <w:rsid w:val="006E3C10"/>
    <w:rsid w:val="007034A6"/>
    <w:rsid w:val="00744BAE"/>
    <w:rsid w:val="00795CE7"/>
    <w:rsid w:val="007C1028"/>
    <w:rsid w:val="007C5DBA"/>
    <w:rsid w:val="007D2055"/>
    <w:rsid w:val="00810484"/>
    <w:rsid w:val="0084030D"/>
    <w:rsid w:val="008461D5"/>
    <w:rsid w:val="008656D4"/>
    <w:rsid w:val="00876C42"/>
    <w:rsid w:val="008822AB"/>
    <w:rsid w:val="008909AF"/>
    <w:rsid w:val="008A4DAC"/>
    <w:rsid w:val="00910FBE"/>
    <w:rsid w:val="00944FA3"/>
    <w:rsid w:val="009535A2"/>
    <w:rsid w:val="0096155B"/>
    <w:rsid w:val="009A6EC2"/>
    <w:rsid w:val="009B506F"/>
    <w:rsid w:val="009B5C0F"/>
    <w:rsid w:val="009B6DDE"/>
    <w:rsid w:val="009E5B2A"/>
    <w:rsid w:val="009F434E"/>
    <w:rsid w:val="009F536F"/>
    <w:rsid w:val="00A05231"/>
    <w:rsid w:val="00A134E9"/>
    <w:rsid w:val="00A42809"/>
    <w:rsid w:val="00A64A1A"/>
    <w:rsid w:val="00A725CC"/>
    <w:rsid w:val="00AA6DFA"/>
    <w:rsid w:val="00AB308A"/>
    <w:rsid w:val="00AD4822"/>
    <w:rsid w:val="00AF3E97"/>
    <w:rsid w:val="00B27102"/>
    <w:rsid w:val="00B274E4"/>
    <w:rsid w:val="00B4122F"/>
    <w:rsid w:val="00B76B39"/>
    <w:rsid w:val="00B77990"/>
    <w:rsid w:val="00B82711"/>
    <w:rsid w:val="00B87DFC"/>
    <w:rsid w:val="00B934BC"/>
    <w:rsid w:val="00BC6E4B"/>
    <w:rsid w:val="00BF5B0B"/>
    <w:rsid w:val="00C14179"/>
    <w:rsid w:val="00C149BF"/>
    <w:rsid w:val="00C20481"/>
    <w:rsid w:val="00C47486"/>
    <w:rsid w:val="00C515BC"/>
    <w:rsid w:val="00C705E2"/>
    <w:rsid w:val="00C71C8D"/>
    <w:rsid w:val="00C7785A"/>
    <w:rsid w:val="00CA24AB"/>
    <w:rsid w:val="00CA53E1"/>
    <w:rsid w:val="00CA7294"/>
    <w:rsid w:val="00CB3D5E"/>
    <w:rsid w:val="00CC2F11"/>
    <w:rsid w:val="00CD5214"/>
    <w:rsid w:val="00CE7600"/>
    <w:rsid w:val="00D3096C"/>
    <w:rsid w:val="00D32DBF"/>
    <w:rsid w:val="00D45C34"/>
    <w:rsid w:val="00D74E79"/>
    <w:rsid w:val="00D8113E"/>
    <w:rsid w:val="00DE254C"/>
    <w:rsid w:val="00E04113"/>
    <w:rsid w:val="00E041C3"/>
    <w:rsid w:val="00E04798"/>
    <w:rsid w:val="00E20797"/>
    <w:rsid w:val="00E34DC0"/>
    <w:rsid w:val="00E427DD"/>
    <w:rsid w:val="00E449A7"/>
    <w:rsid w:val="00E81226"/>
    <w:rsid w:val="00EC1253"/>
    <w:rsid w:val="00EC42B2"/>
    <w:rsid w:val="00EE7049"/>
    <w:rsid w:val="00EF1D4A"/>
    <w:rsid w:val="00EF1FA9"/>
    <w:rsid w:val="00F14EA6"/>
    <w:rsid w:val="00F24ACB"/>
    <w:rsid w:val="00F7736D"/>
    <w:rsid w:val="00F8405D"/>
    <w:rsid w:val="00F95D73"/>
    <w:rsid w:val="00FC36AB"/>
    <w:rsid w:val="00FF42FB"/>
    <w:rsid w:val="00FF4B3C"/>
    <w:rsid w:val="34B2384D"/>
    <w:rsid w:val="3EEE4752"/>
    <w:rsid w:val="55482320"/>
    <w:rsid w:val="5D3E86B5"/>
    <w:rsid w:val="5F3B0D81"/>
    <w:rsid w:val="65F607F1"/>
    <w:rsid w:val="6D6D4C99"/>
    <w:rsid w:val="6E3B415D"/>
    <w:rsid w:val="79FFE8E6"/>
    <w:rsid w:val="7B7CB8CF"/>
    <w:rsid w:val="7FD55943"/>
    <w:rsid w:val="D3D72614"/>
    <w:rsid w:val="DFFCF7D0"/>
    <w:rsid w:val="EBBEFF22"/>
    <w:rsid w:val="FEF9B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3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26"/>
    <w:qFormat/>
    <w:uiPriority w:val="0"/>
    <w:pPr>
      <w:numPr>
        <w:ilvl w:val="0"/>
        <w:numId w:val="1"/>
      </w:numPr>
      <w:spacing w:before="120" w:after="60"/>
      <w:ind w:left="0"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3"/>
    <w:next w:val="3"/>
    <w:link w:val="27"/>
    <w:qFormat/>
    <w:uiPriority w:val="1"/>
    <w:pPr>
      <w:keepNext/>
      <w:keepLines/>
      <w:numPr>
        <w:ilvl w:val="1"/>
        <w:numId w:val="1"/>
      </w:numPr>
      <w:spacing w:before="120" w:after="60"/>
      <w:ind w:left="0" w:firstLine="200"/>
      <w:outlineLvl w:val="1"/>
    </w:pPr>
    <w:rPr>
      <w:rFonts w:eastAsia="楷体"/>
      <w:b/>
      <w:bCs/>
      <w:szCs w:val="32"/>
    </w:rPr>
  </w:style>
  <w:style w:type="paragraph" w:styleId="5">
    <w:name w:val="heading 3"/>
    <w:basedOn w:val="3"/>
    <w:next w:val="3"/>
    <w:link w:val="28"/>
    <w:qFormat/>
    <w:uiPriority w:val="2"/>
    <w:pPr>
      <w:keepNext/>
      <w:keepLines/>
      <w:numPr>
        <w:ilvl w:val="2"/>
        <w:numId w:val="1"/>
      </w:numPr>
      <w:spacing w:before="120" w:after="60"/>
      <w:ind w:left="0" w:firstLine="200"/>
      <w:outlineLvl w:val="2"/>
    </w:pPr>
    <w:rPr>
      <w:b/>
      <w:bCs/>
      <w:szCs w:val="32"/>
    </w:rPr>
  </w:style>
  <w:style w:type="paragraph" w:styleId="6">
    <w:name w:val="heading 4"/>
    <w:basedOn w:val="3"/>
    <w:next w:val="1"/>
    <w:link w:val="29"/>
    <w:qFormat/>
    <w:uiPriority w:val="3"/>
    <w:pPr>
      <w:keepNext/>
      <w:keepLines/>
      <w:numPr>
        <w:ilvl w:val="3"/>
        <w:numId w:val="1"/>
      </w:numPr>
      <w:spacing w:before="120" w:after="60"/>
      <w:ind w:left="0" w:firstLine="200"/>
      <w:outlineLvl w:val="3"/>
    </w:pPr>
    <w:rPr>
      <w:b/>
      <w:bCs/>
    </w:rPr>
  </w:style>
  <w:style w:type="paragraph" w:styleId="7">
    <w:name w:val="heading 5"/>
    <w:basedOn w:val="3"/>
    <w:next w:val="3"/>
    <w:link w:val="30"/>
    <w:qFormat/>
    <w:uiPriority w:val="9"/>
    <w:pPr>
      <w:keepNext/>
      <w:keepLines/>
      <w:numPr>
        <w:ilvl w:val="4"/>
        <w:numId w:val="1"/>
      </w:numPr>
      <w:spacing w:before="120" w:after="60"/>
      <w:ind w:firstLine="0" w:firstLineChars="0"/>
      <w:outlineLvl w:val="4"/>
    </w:pPr>
    <w:rPr>
      <w:b/>
      <w:bCs/>
    </w:rPr>
  </w:style>
  <w:style w:type="paragraph" w:styleId="8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星耀正文"/>
    <w:basedOn w:val="1"/>
    <w:link w:val="25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styleId="9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annotation text"/>
    <w:basedOn w:val="1"/>
    <w:link w:val="31"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3"/>
    <w:next w:val="3"/>
    <w:unhideWhenUsed/>
    <w:qFormat/>
    <w:uiPriority w:val="39"/>
    <w:pPr>
      <w:tabs>
        <w:tab w:val="right" w:leader="dot" w:pos="8296"/>
      </w:tabs>
      <w:spacing w:line="460" w:lineRule="exact"/>
      <w:ind w:firstLine="0" w:firstLineChars="0"/>
    </w:pPr>
    <w:rPr>
      <w:b/>
    </w:rPr>
  </w:style>
  <w:style w:type="paragraph" w:styleId="16">
    <w:name w:val="footnote text"/>
    <w:basedOn w:val="1"/>
    <w:link w:val="35"/>
    <w:qFormat/>
    <w:uiPriority w:val="0"/>
    <w:pPr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17">
    <w:name w:val="toc 2"/>
    <w:basedOn w:val="3"/>
    <w:next w:val="3"/>
    <w:unhideWhenUsed/>
    <w:qFormat/>
    <w:uiPriority w:val="39"/>
    <w:pPr>
      <w:tabs>
        <w:tab w:val="right" w:leader="dot" w:pos="8296"/>
      </w:tabs>
      <w:spacing w:line="460" w:lineRule="exact"/>
      <w:ind w:left="200" w:leftChars="200" w:firstLine="0" w:firstLineChars="0"/>
    </w:pPr>
  </w:style>
  <w:style w:type="paragraph" w:styleId="18">
    <w:name w:val="annotation subject"/>
    <w:basedOn w:val="10"/>
    <w:next w:val="10"/>
    <w:link w:val="36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spacing w:line="300" w:lineRule="exact"/>
      <w:jc w:val="center"/>
    </w:pPr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styleId="24">
    <w:name w:val="footnote reference"/>
    <w:qFormat/>
    <w:uiPriority w:val="0"/>
    <w:rPr>
      <w:vertAlign w:val="superscript"/>
    </w:rPr>
  </w:style>
  <w:style w:type="character" w:customStyle="1" w:styleId="25">
    <w:name w:val="闻政正文 Char"/>
    <w:link w:val="3"/>
    <w:qFormat/>
    <w:uiPriority w:val="3"/>
    <w:rPr>
      <w:rFonts w:ascii="Times New Roman" w:hAnsi="Times New Roman" w:eastAsia="仿宋_GB2312" w:cs="Times New Roman"/>
      <w:kern w:val="0"/>
      <w:sz w:val="32"/>
      <w:szCs w:val="28"/>
      <w:lang w:val="zh-CN" w:eastAsia="zh-CN"/>
    </w:rPr>
  </w:style>
  <w:style w:type="character" w:customStyle="1" w:styleId="26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  <w:lang w:val="zh-CN" w:eastAsia="zh-CN"/>
    </w:rPr>
  </w:style>
  <w:style w:type="character" w:customStyle="1" w:styleId="27">
    <w:name w:val="标题 2 字符"/>
    <w:link w:val="4"/>
    <w:qFormat/>
    <w:uiPriority w:val="1"/>
    <w:rPr>
      <w:rFonts w:ascii="Times New Roman" w:hAnsi="Times New Roman" w:eastAsia="楷体" w:cs="Times New Roman"/>
      <w:b/>
      <w:bCs/>
      <w:kern w:val="0"/>
      <w:sz w:val="28"/>
      <w:szCs w:val="32"/>
      <w:lang w:val="zh-CN" w:eastAsia="zh-CN"/>
    </w:rPr>
  </w:style>
  <w:style w:type="character" w:customStyle="1" w:styleId="28">
    <w:name w:val="标题 3 字符"/>
    <w:link w:val="5"/>
    <w:qFormat/>
    <w:uiPriority w:val="2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character" w:customStyle="1" w:styleId="29">
    <w:name w:val="标题 4 字符"/>
    <w:link w:val="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0">
    <w:name w:val="标题 5 字符"/>
    <w:link w:val="7"/>
    <w:qFormat/>
    <w:uiPriority w:val="9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1">
    <w:name w:val="批注文字 字符"/>
    <w:link w:val="10"/>
    <w:qFormat/>
    <w:uiPriority w:val="99"/>
  </w:style>
  <w:style w:type="character" w:customStyle="1" w:styleId="32">
    <w:name w:val="批注框文本 字符"/>
    <w:link w:val="12"/>
    <w:semiHidden/>
    <w:qFormat/>
    <w:uiPriority w:val="99"/>
    <w:rPr>
      <w:sz w:val="18"/>
      <w:szCs w:val="18"/>
    </w:rPr>
  </w:style>
  <w:style w:type="character" w:customStyle="1" w:styleId="33">
    <w:name w:val="页脚 字符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眉 字符"/>
    <w:link w:val="14"/>
    <w:qFormat/>
    <w:uiPriority w:val="99"/>
    <w:rPr>
      <w:sz w:val="18"/>
      <w:szCs w:val="18"/>
    </w:rPr>
  </w:style>
  <w:style w:type="character" w:customStyle="1" w:styleId="35">
    <w:name w:val="脚注文本 字符"/>
    <w:link w:val="16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36">
    <w:name w:val="批注主题 字符"/>
    <w:link w:val="18"/>
    <w:semiHidden/>
    <w:qFormat/>
    <w:uiPriority w:val="99"/>
    <w:rPr>
      <w:b/>
      <w:bCs/>
    </w:rPr>
  </w:style>
  <w:style w:type="character" w:customStyle="1" w:styleId="37">
    <w:name w:val="闻政图表名 字符"/>
    <w:link w:val="38"/>
    <w:qFormat/>
    <w:uiPriority w:val="4"/>
    <w:rPr>
      <w:rFonts w:ascii="Times New Roman" w:hAnsi="Times New Roman" w:eastAsia="仿宋_GB2312" w:cs="Times New Roman"/>
      <w:b/>
      <w:kern w:val="0"/>
      <w:sz w:val="24"/>
      <w:szCs w:val="28"/>
    </w:rPr>
  </w:style>
  <w:style w:type="paragraph" w:customStyle="1" w:styleId="38">
    <w:name w:val="星耀图表名"/>
    <w:basedOn w:val="1"/>
    <w:link w:val="37"/>
    <w:qFormat/>
    <w:uiPriority w:val="4"/>
    <w:pPr>
      <w:spacing w:before="60" w:after="60"/>
      <w:jc w:val="center"/>
    </w:pPr>
    <w:rPr>
      <w:rFonts w:ascii="Times New Roman" w:hAnsi="Times New Roman" w:eastAsia="仿宋_GB2312"/>
      <w:b/>
      <w:kern w:val="0"/>
      <w:sz w:val="24"/>
      <w:szCs w:val="28"/>
    </w:rPr>
  </w:style>
  <w:style w:type="character" w:customStyle="1" w:styleId="39">
    <w:name w:val="闻政图（表）注 Char"/>
    <w:link w:val="40"/>
    <w:qFormat/>
    <w:uiPriority w:val="5"/>
    <w:rPr>
      <w:rFonts w:ascii="Times New Roman" w:hAnsi="Times New Roman" w:eastAsia="仿宋_GB2312" w:cs="Arial"/>
      <w:kern w:val="0"/>
    </w:rPr>
  </w:style>
  <w:style w:type="paragraph" w:customStyle="1" w:styleId="40">
    <w:name w:val="星耀图（表）注"/>
    <w:basedOn w:val="1"/>
    <w:link w:val="39"/>
    <w:qFormat/>
    <w:uiPriority w:val="5"/>
    <w:pPr>
      <w:spacing w:before="120"/>
    </w:pPr>
    <w:rPr>
      <w:rFonts w:ascii="Times New Roman" w:hAnsi="Times New Roman" w:eastAsia="仿宋_GB2312" w:cs="Arial"/>
      <w:kern w:val="0"/>
    </w:rPr>
  </w:style>
  <w:style w:type="character" w:customStyle="1" w:styleId="41">
    <w:name w:val="闻政表文字 字符"/>
    <w:link w:val="42"/>
    <w:qFormat/>
    <w:uiPriority w:val="5"/>
    <w:rPr>
      <w:rFonts w:ascii="Times New Roman" w:hAnsi="Times New Roman" w:eastAsia="仿宋_GB2312" w:cs="宋体"/>
      <w:bCs/>
      <w:color w:val="000000"/>
      <w:kern w:val="0"/>
      <w:sz w:val="22"/>
      <w:szCs w:val="22"/>
      <w:lang w:val="zh-CN" w:eastAsia="zh-CN"/>
    </w:rPr>
  </w:style>
  <w:style w:type="paragraph" w:customStyle="1" w:styleId="42">
    <w:name w:val="星耀表文字"/>
    <w:basedOn w:val="3"/>
    <w:link w:val="41"/>
    <w:qFormat/>
    <w:uiPriority w:val="5"/>
    <w:pPr>
      <w:widowControl/>
      <w:spacing w:line="320" w:lineRule="exact"/>
      <w:ind w:firstLine="0" w:firstLineChars="0"/>
      <w:jc w:val="center"/>
    </w:pPr>
    <w:rPr>
      <w:rFonts w:cs="宋体"/>
      <w:bCs/>
      <w:color w:val="000000"/>
      <w:sz w:val="22"/>
      <w:szCs w:val="22"/>
    </w:rPr>
  </w:style>
  <w:style w:type="paragraph" w:customStyle="1" w:styleId="43">
    <w:name w:val="星耀附件三级标题"/>
    <w:basedOn w:val="44"/>
    <w:qFormat/>
    <w:uiPriority w:val="8"/>
    <w:rPr>
      <w:rFonts w:ascii="Times New Roman" w:hAnsi="Times New Roman" w:eastAsia="仿宋_GB2312"/>
    </w:rPr>
  </w:style>
  <w:style w:type="paragraph" w:customStyle="1" w:styleId="44">
    <w:name w:val="星耀附件二级标题"/>
    <w:basedOn w:val="45"/>
    <w:qFormat/>
    <w:uiPriority w:val="8"/>
    <w:rPr>
      <w:rFonts w:ascii="宋体" w:hAnsi="宋体" w:eastAsia="宋体"/>
    </w:rPr>
  </w:style>
  <w:style w:type="paragraph" w:customStyle="1" w:styleId="45">
    <w:name w:val="星耀附件一级标题"/>
    <w:basedOn w:val="46"/>
    <w:next w:val="47"/>
    <w:qFormat/>
    <w:uiPriority w:val="6"/>
    <w:pPr>
      <w:ind w:firstLine="200" w:firstLineChars="200"/>
      <w:jc w:val="left"/>
    </w:pPr>
    <w:rPr>
      <w:rFonts w:cs="宋体"/>
      <w:sz w:val="28"/>
    </w:rPr>
  </w:style>
  <w:style w:type="paragraph" w:customStyle="1" w:styleId="46">
    <w:name w:val="星耀附件报告名"/>
    <w:basedOn w:val="3"/>
    <w:qFormat/>
    <w:uiPriority w:val="9"/>
    <w:pPr>
      <w:spacing w:before="120" w:after="60"/>
      <w:ind w:firstLine="0" w:firstLineChars="0"/>
      <w:jc w:val="center"/>
    </w:pPr>
    <w:rPr>
      <w:b/>
    </w:rPr>
  </w:style>
  <w:style w:type="paragraph" w:customStyle="1" w:styleId="47">
    <w:name w:val="星耀附件正文"/>
    <w:basedOn w:val="3"/>
    <w:qFormat/>
    <w:uiPriority w:val="6"/>
    <w:rPr>
      <w:sz w:val="28"/>
    </w:rPr>
  </w:style>
  <w:style w:type="paragraph" w:customStyle="1" w:styleId="48">
    <w:name w:val="星耀附件四级标题"/>
    <w:basedOn w:val="43"/>
    <w:qFormat/>
    <w:uiPriority w:val="9"/>
    <w:pPr>
      <w:spacing w:before="0" w:after="0"/>
    </w:pPr>
  </w:style>
  <w:style w:type="paragraph" w:customStyle="1" w:styleId="49">
    <w:name w:val="星耀脚注"/>
    <w:basedOn w:val="3"/>
    <w:qFormat/>
    <w:uiPriority w:val="9"/>
    <w:pPr>
      <w:spacing w:line="400" w:lineRule="exact"/>
      <w:ind w:firstLine="0" w:firstLineChars="0"/>
    </w:pPr>
    <w:rPr>
      <w:sz w:val="18"/>
    </w:rPr>
  </w:style>
  <w:style w:type="paragraph" w:customStyle="1" w:styleId="50">
    <w:name w:val="星耀封面项目信息"/>
    <w:basedOn w:val="1"/>
    <w:qFormat/>
    <w:uiPriority w:val="0"/>
    <w:pPr>
      <w:spacing w:before="120"/>
      <w:ind w:left="800" w:leftChars="800"/>
      <w:jc w:val="left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customStyle="1" w:styleId="51">
    <w:name w:val="星耀封面标题"/>
    <w:basedOn w:val="1"/>
    <w:next w:val="50"/>
    <w:qFormat/>
    <w:uiPriority w:val="0"/>
    <w:pPr>
      <w:jc w:val="center"/>
    </w:pPr>
    <w:rPr>
      <w:rFonts w:ascii="Times New Roman" w:hAnsi="Times New Roman" w:eastAsia="黑体"/>
      <w:snapToGrid w:val="0"/>
      <w:sz w:val="48"/>
      <w:szCs w:val="24"/>
    </w:rPr>
  </w:style>
  <w:style w:type="paragraph" w:customStyle="1" w:styleId="52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="等线 Light" w:hAnsi="等线 Light" w:eastAsia="等线 Light"/>
      <w:b/>
      <w:bCs w:val="0"/>
      <w:color w:val="2F5496"/>
      <w:kern w:val="0"/>
      <w:szCs w:val="32"/>
    </w:rPr>
  </w:style>
  <w:style w:type="paragraph" w:customStyle="1" w:styleId="53">
    <w:name w:val="星耀评价小组人员名单"/>
    <w:basedOn w:val="1"/>
    <w:qFormat/>
    <w:uiPriority w:val="0"/>
    <w:pPr>
      <w:jc w:val="left"/>
    </w:pPr>
    <w:rPr>
      <w:rFonts w:eastAsia="仿宋_GB2312"/>
      <w:sz w:val="32"/>
    </w:rPr>
  </w:style>
  <w:style w:type="paragraph" w:customStyle="1" w:styleId="54">
    <w:name w:val="星耀备注类"/>
    <w:basedOn w:val="3"/>
    <w:qFormat/>
    <w:uiPriority w:val="5"/>
    <w:pPr>
      <w:spacing w:line="240" w:lineRule="auto"/>
      <w:jc w:val="left"/>
    </w:pPr>
    <w:rPr>
      <w:rFonts w:cs="宋体"/>
      <w:sz w:val="21"/>
    </w:rPr>
  </w:style>
  <w:style w:type="paragraph" w:customStyle="1" w:styleId="55">
    <w:name w:val="星耀附件标题"/>
    <w:basedOn w:val="3"/>
    <w:qFormat/>
    <w:uiPriority w:val="6"/>
    <w:pPr>
      <w:numPr>
        <w:ilvl w:val="5"/>
        <w:numId w:val="1"/>
      </w:numPr>
      <w:spacing w:before="120" w:after="60" w:line="240" w:lineRule="auto"/>
      <w:ind w:firstLineChars="0"/>
      <w:outlineLvl w:val="0"/>
    </w:pPr>
    <w:rPr>
      <w:rFonts w:eastAsia="黑体"/>
      <w:b/>
    </w:rPr>
  </w:style>
  <w:style w:type="paragraph" w:customStyle="1" w:styleId="56">
    <w:name w:val="星耀目录标题"/>
    <w:basedOn w:val="51"/>
    <w:qFormat/>
    <w:uiPriority w:val="1"/>
  </w:style>
  <w:style w:type="table" w:customStyle="1" w:styleId="57">
    <w:name w:val="无格式表格 11"/>
    <w:basedOn w:val="19"/>
    <w:qFormat/>
    <w:uiPriority w:val="41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58">
    <w:name w:val="网格型浅色1"/>
    <w:basedOn w:val="19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ucy/C:\Users\wjd\Desktop\word-&#26684;&#24335;&#27169;&#29256;2022.4.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word-格式模版2022.4.22</Template>
  <Pages>5</Pages>
  <Words>376</Words>
  <Characters>2144</Characters>
  <Lines>17</Lines>
  <Paragraphs>5</Paragraphs>
  <TotalTime>92</TotalTime>
  <ScaleCrop>false</ScaleCrop>
  <LinksUpToDate>false</LinksUpToDate>
  <CharactersWithSpaces>2515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2023-12-09T02:04:00Z</dcterms:created>
  <dc:creator>wjd</dc:creator>
  <cp:lastModifiedBy>吴超宇</cp:lastModifiedBy>
  <dcterms:modified xsi:type="dcterms:W3CDTF">2023-12-14T14:16:08Z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8F275B782EDB4A7A8CEB80F0073BF940</vt:lpwstr>
  </property>
</Properties>
</file>