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ind w:firstLine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深圳市大鹏新区生物家园产业园区基础设施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建设（专项债）绩效评价报告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560" w:firstLineChars="200"/>
        <w:textAlignment w:val="auto"/>
        <w:rPr>
          <w:rFonts w:hint="eastAsia" w:ascii="仿宋_GB2312" w:hAnsi="楷体" w:cs="楷体_GB2312"/>
          <w:color w:val="00000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年5月-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月期间，深圳市大鹏新区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eastAsia="zh-CN"/>
        </w:rPr>
        <w:t>发展和财政局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组织评价组对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深圳市鹏远置地有限公司（以下简称鹏远置地）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2022年度深圳市大鹏新区生物家园产业园区基础设施建设（专项债）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进行绩效评价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本次评价共涉及</w:t>
      </w:r>
      <w:r>
        <w:rPr>
          <w:rFonts w:hint="default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年专项债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。具体情况如下：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bookmarkStart w:id="0" w:name="_Toc71763201_WPSOffice_Level1"/>
      <w:bookmarkStart w:id="1" w:name="_Toc206034498"/>
      <w:bookmarkStart w:id="2" w:name="_Toc1552061140"/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、基本情况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为建设生物医药产业园区，提供生物医药研发用房，新区发展和财政局通过发行专项债券，为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2022年度深圳市大鹏新区生物家园产业园区基础设施建设（专项债）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目筹集部分建设资金。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该项目计划建设成涵盖研发用房、公共技术服务平台、园区管理中心、展览中心、会议中心、图书馆、商业配套等一站式生物科技综合示范园区。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生物家园整体建设完成并通过竣工验收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运营期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。截至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月（即运营首年）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多家单位已入驻，核心业务涵盖产业细胞治疗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空间打造、生物医美等多个领域。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项目计划总投资9.6亿元，通过发行专项债券方式共筹集资金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（含本次评价的1.1亿元）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，项目筹资不足部分由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鹏远置地自筹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。专项债券资金于举债当年全部支出，并及时付息。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  <w:highlight w:val="none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二、绩效分析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在建设层面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，项目已全面建成生物医药产业园区，供给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研发用房，配套生物医药专业设施和公共设施，工程质量符合园区建设标准，工程建筑标准达到监管规定，能满足企业和员工一体化工作需求。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在运营层面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，园区已成功入驻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家优质机构，截至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研发用房出租率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为53.5%。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但运营首年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研发用房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平均出租率未达到预期目标的要求，商业配套也未成功出租，且已入驻机构均由新区科创经服局引入，项目单位未成功招商引资。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Hans"/>
        </w:rPr>
      </w:pPr>
      <w:bookmarkStart w:id="3" w:name="_Toc30327726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、存在问题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</w:pPr>
      <w:bookmarkStart w:id="4" w:name="_Toc1202281717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（一）项目统筹分工不足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Hans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部分工作尚未落实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园区发展规划和定位不清晰。项目单位未明确园区发展定位和产业布局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后续可能出现园区同质化、特色不足等问题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Hans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政府产权用房位置未做好划分。截至评价日，产权用房位置划分未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最终确认，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不符合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Hans"/>
        </w:rPr>
        <w:t>《监管协议》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楷体_GB2312" w:hAnsi="楷体_GB2312" w:eastAsia="楷体_GB2312" w:cs="楷体_GB2312"/>
          <w:sz w:val="32"/>
          <w:szCs w:val="32"/>
          <w:lang w:val="en-US" w:eastAsia="zh-Hans"/>
        </w:rPr>
      </w:pPr>
      <w:bookmarkStart w:id="5" w:name="_Toc2020663689"/>
      <w:bookmarkStart w:id="6" w:name="_Toc1075182996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（二）工程进度把控不足，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工程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结算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滞后</w:t>
      </w:r>
      <w:bookmarkEnd w:id="5"/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部分工程未及时结算。项目施工总承包、基坑支护、土石方工程、桩基础工程等目前已完成结算，但结算时间均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规定要求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。精装修、室外工程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仍未完成工程结算。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楷体_GB2312" w:hAnsi="楷体_GB2312" w:eastAsia="楷体_GB2312" w:cs="楷体_GB2312"/>
          <w:sz w:val="32"/>
          <w:szCs w:val="32"/>
          <w:lang w:val="en-US" w:eastAsia="zh-Hans"/>
        </w:rPr>
      </w:pPr>
      <w:bookmarkStart w:id="7" w:name="_Toc1673207914"/>
      <w:bookmarkStart w:id="8" w:name="_Toc988227365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（三）日常管理不够严谨，实际执行存在瑕疵</w:t>
      </w:r>
      <w:bookmarkEnd w:id="7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不够重视绩效工作，监管纠偏不够到位。评价发现，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年《绩效目标表》与《绩效自评表》不一致，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导致绩效自评无法有效发挥监管纠偏作用。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合同内容审核不严，合同条款互相冲突。评价发现，由于前期合同审核不严，《生物家园室外工程施工合同》23.2.3条款与25.5条款相冲突，不利于合同有效执行。</w:t>
      </w:r>
      <w:bookmarkStart w:id="9" w:name="_Toc30705313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、改进建议</w:t>
      </w:r>
      <w:bookmarkEnd w:id="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</w:pPr>
      <w:bookmarkStart w:id="10" w:name="_Toc238802590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（一）规划先行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Hans"/>
        </w:rPr>
        <w:t>，精准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园区发展定位</w:t>
      </w:r>
      <w:bookmarkEnd w:id="1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生物医药产业具有“三高一长”的特点，结合当前生物医药产业区域竞争加剧的情况，建议园区对标先进园区，充分考虑深圳市、大鹏新区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要素聚集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，瞄准前沿技术趋势，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强化园区战略性领域顶层设计，对运营期内园区发展总目标、分阶段目标、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产业定位、发展方向和发展模式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等进行详细规划。通过差异化布局，精准定位，打造园区特色，才能更好形成产业集聚。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楷体_GB2312" w:hAnsi="楷体_GB2312" w:eastAsia="楷体_GB2312" w:cs="楷体_GB2312"/>
          <w:sz w:val="32"/>
          <w:szCs w:val="32"/>
          <w:lang w:val="en-US" w:eastAsia="zh-Hans"/>
        </w:rPr>
      </w:pPr>
      <w:bookmarkStart w:id="11" w:name="_Toc1055401002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）理顺职责，稳步协调推进工作</w:t>
      </w:r>
      <w:bookmarkEnd w:id="1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尽快建立完善的领导小组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。建议项目单位尽快将园区运营中各个环节的职责分工落实到人，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定期跟踪考核，及时整改纠偏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，形成项目内外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闭环。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沟通协调，加快移交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政府产权用房。建议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项目单位尽快出具合理的政府产权用房移交方案，积极与相关部门沟通交流，尽快做好政府产权</w:t>
      </w:r>
      <w:bookmarkStart w:id="13" w:name="_GoBack"/>
      <w:bookmarkEnd w:id="13"/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移交。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楷体_GB2312" w:hAnsi="楷体_GB2312" w:eastAsia="楷体_GB2312" w:cs="楷体_GB2312"/>
          <w:sz w:val="32"/>
          <w:szCs w:val="32"/>
          <w:lang w:val="en-US" w:eastAsia="zh-Hans"/>
        </w:rPr>
      </w:pPr>
      <w:bookmarkStart w:id="12" w:name="_Toc2057200041"/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）规范管理，精细提升管理水平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工程管理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加快推进工程结算工作，加强结算资料报送、审批的进度监督和沟通协调。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绩效管理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增强绩效管理意识，做好绩效目标申报和绩效自评工作，确保绩效自评与绩效目标一致性，充分提供绩效佐证材料，客观真实反映项目完成和绩效实现情况。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8Zm0MQIAAGM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ITJsyxs9c7yCB3l8XZ1DJAzqRxF6ZRAd+IBs5f61O9JHO4/zynq8b9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hvGZtDECAABj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EF8081"/>
    <w:rsid w:val="3DFBCB41"/>
    <w:rsid w:val="3DFC729F"/>
    <w:rsid w:val="5FFD6B95"/>
    <w:rsid w:val="6BBFFE41"/>
    <w:rsid w:val="767DBE71"/>
    <w:rsid w:val="7F4E59DB"/>
    <w:rsid w:val="97EF8081"/>
    <w:rsid w:val="A7BF63EF"/>
    <w:rsid w:val="ADD27731"/>
    <w:rsid w:val="B237E0FB"/>
    <w:rsid w:val="DDFF09C1"/>
    <w:rsid w:val="EC7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/>
    </w:pPr>
    <w:rPr>
      <w:sz w:val="24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customStyle="1" w:styleId="5">
    <w:name w:val="星耀正文"/>
    <w:basedOn w:val="1"/>
    <w:qFormat/>
    <w:uiPriority w:val="3"/>
    <w:pPr>
      <w:spacing w:line="560" w:lineRule="exact"/>
      <w:ind w:firstLine="200" w:firstLineChars="200"/>
    </w:pPr>
    <w:rPr>
      <w:rFonts w:ascii="Times New Roman" w:hAnsi="Times New Roman" w:eastAsia="仿宋_GB2312"/>
      <w:kern w:val="0"/>
      <w:sz w:val="32"/>
      <w:szCs w:val="28"/>
      <w:lang w:val="zh-CN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toa heading"/>
    <w:basedOn w:val="6"/>
    <w:next w:val="1"/>
    <w:qFormat/>
    <w:uiPriority w:val="0"/>
    <w:rPr>
      <w:rFonts w:ascii="Arial" w:hAnsi="Arial"/>
      <w:sz w:val="24"/>
    </w:rPr>
  </w:style>
  <w:style w:type="paragraph" w:styleId="8">
    <w:name w:val="annotation text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eastAsia="仿宋_GB2312"/>
      <w:sz w:val="28"/>
    </w:rPr>
  </w:style>
  <w:style w:type="paragraph" w:styleId="9">
    <w:name w:val="toc 3"/>
    <w:basedOn w:val="1"/>
    <w:next w:val="1"/>
    <w:qFormat/>
    <w:uiPriority w:val="0"/>
    <w:pPr>
      <w:ind w:left="840" w:leftChars="4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customStyle="1" w:styleId="14">
    <w:name w:val="星耀封面项目信息"/>
    <w:basedOn w:val="1"/>
    <w:qFormat/>
    <w:uiPriority w:val="0"/>
    <w:pPr>
      <w:spacing w:before="120"/>
      <w:ind w:left="800" w:leftChars="800"/>
      <w:jc w:val="left"/>
    </w:pPr>
    <w:rPr>
      <w:rFonts w:ascii="Times New Roman" w:hAnsi="Times New Roman" w:eastAsia="仿宋_GB2312"/>
      <w:kern w:val="0"/>
      <w:sz w:val="32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2023-12-08T15:37:00Z</dcterms:created>
  <dc:creator>朱吃桃</dc:creator>
  <cp:lastModifiedBy>吴超宇</cp:lastModifiedBy>
  <cp:lastPrinted>2023-12-12T17:27:00Z</cp:lastPrinted>
  <dcterms:modified xsi:type="dcterms:W3CDTF">2023-12-14T14:14:35Z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001F2D2C9EC58DD538D36E65C24A1675_41</vt:lpwstr>
  </property>
</Properties>
</file>