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pStyle w:val="2"/>
        <w:ind w:firstLine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深圳市大鹏新区生物家园产业园区基础设施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建设（专项债）绩效评价报告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560" w:firstLineChars="200"/>
        <w:textAlignment w:val="auto"/>
        <w:rPr>
          <w:rFonts w:hint="eastAsia" w:ascii="仿宋_GB2312" w:hAnsi="楷体" w:cs="楷体_GB2312"/>
          <w:color w:val="000000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年5月-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月期间，深圳市大鹏新区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  <w:lang w:eastAsia="zh-CN"/>
        </w:rPr>
        <w:t>发展和财政局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组织评价组对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深圳市鹏远置地有限公司（以下简称鹏远置地）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2022年度深圳市大鹏新区生物家园产业园区基础设施建设（专项债）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进行绩效评价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本次评价共涉及</w:t>
      </w:r>
      <w:r>
        <w:rPr>
          <w:rFonts w:hint="default" w:ascii="仿宋_GB2312" w:hAnsi="仿宋_GB2312" w:eastAsia="仿宋_GB2312" w:cs="仿宋_GB2312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年专项债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宋体" w:eastAsia="仿宋_GB2312" w:cs="仿宋_GB2312"/>
          <w:color w:val="0C0C0C"/>
          <w:sz w:val="32"/>
          <w:szCs w:val="32"/>
        </w:rPr>
        <w:t>。具体情况如下：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0"/>
        <w:rPr>
          <w:rFonts w:ascii="黑体" w:hAnsi="黑体" w:eastAsia="黑体"/>
          <w:sz w:val="32"/>
          <w:szCs w:val="32"/>
        </w:rPr>
      </w:pPr>
      <w:bookmarkStart w:id="0" w:name="_Toc71763201_WPSOffice_Level1"/>
      <w:bookmarkStart w:id="1" w:name="_Toc206034498"/>
      <w:bookmarkStart w:id="2" w:name="_Toc1552061140"/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、基本情况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为建设生物医药产业园区，提供生物医药研发用房，新区发展和财政局通过发行专项债券，为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2022年度深圳市大鹏新区生物家园产业园区基础设施建设（专项债）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目筹集部分建设资金。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该项目计划建设成涵盖研发用房、公共技术服务平台、园区管理中心、展览中心、会议中心、图书馆、商业配套等一站式生物科技综合示范园区。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生物家园整体建设完成并通过竣工验收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运营期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。截至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月（即运营首年）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多家单位已入驻，核心业务涵盖产业细胞治疗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空间打造、生物医美等多个领域。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项目计划总投资9.6亿元，通过发行专项债券方式共筹集资金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4.4亿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（含本次评价的1.1亿元）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，项目筹资不足部分由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鹏远置地自筹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。专项债券资金于举债当年全部支出，并及时付息。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黑体"/>
          <w:sz w:val="32"/>
          <w:szCs w:val="32"/>
          <w:highlight w:val="none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二、绩效分析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在建设层面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，项目已全面建成生物医药产业园区，供给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研发用房，配套生物医药专业设施和公共设施，工程质量符合园区建设标准，工程建筑标准达到监管规定，能满足企业和员工一体化工作需求。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在运营层面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，园区已成功入驻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家优质机构，截至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研发用房出租率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为53.5%。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但运营首年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研发用房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平均出租率未达到预期目标的要求，商业配套也未成功出租，且已入驻机构均由新区科创经服局引入，项目单位未成功招商引资。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Hans"/>
        </w:rPr>
      </w:pPr>
      <w:bookmarkStart w:id="3" w:name="_Toc30327726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、存在问题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</w:pPr>
      <w:bookmarkStart w:id="4" w:name="_Toc1202281717"/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（一）项目统筹分工不足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Hans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部分工作尚未落实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outlineLvl w:val="1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园区发展规划和定位不清晰。项目单位未明确园区发展定位和产业布局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后续可能出现园区同质化、特色不足等问题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Hans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政府产权用房位置未做好划分。截至评价日，产权用房位置划分未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最终确认，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不符合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Hans"/>
        </w:rPr>
        <w:t>《监管协议》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Hans"/>
        </w:rPr>
      </w:pPr>
      <w:bookmarkStart w:id="5" w:name="_Toc2020663689"/>
      <w:bookmarkStart w:id="6" w:name="_Toc1075182996"/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（二）工程进度把控不足，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工程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结算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滞后</w:t>
      </w:r>
      <w:bookmarkEnd w:id="5"/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部分工程未及时结算。项目施工总承包、基坑支护、土石方工程、桩基础工程等目前已完成结算，但结算时间均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规定要求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。精装修、室外工程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仍未完成工程结算。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Hans"/>
        </w:rPr>
      </w:pPr>
      <w:bookmarkStart w:id="7" w:name="_Toc1673207914"/>
      <w:bookmarkStart w:id="8" w:name="_Toc988227365"/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（三）日常管理不够严谨，实际执行存在瑕疵</w:t>
      </w:r>
      <w:bookmarkEnd w:id="7"/>
      <w:bookmarkEnd w:id="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不够重视绩效工作，监管纠偏不够到位。评价发现，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年《绩效目标表》与《绩效自评表》不一致，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导致绩效自评无法有效发挥监管纠偏作用。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合同内容审核不严，合同条款互相冲突。评价发现，由于前期合同审核不严，《生物家园室外工程施工合同》23.2.3条款与25.5条款相冲突，不利于合同有效执行。</w:t>
      </w:r>
      <w:bookmarkStart w:id="9" w:name="_Toc30705313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、改进建议</w:t>
      </w:r>
      <w:bookmarkEnd w:id="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</w:pPr>
      <w:bookmarkStart w:id="10" w:name="_Toc238802590"/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（一）规划先行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Hans"/>
        </w:rPr>
        <w:t>，精准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园区发展定位</w:t>
      </w:r>
      <w:bookmarkEnd w:id="1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生物医药产业具有“三高一长”的特点，结合当前生物医药产业区域竞争加剧的情况，建议园区对标先进园区，充分考虑深圳市、大鹏新区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要素聚集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，瞄准前沿技术趋势，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强化园区战略性领域顶层设计，对运营期内园区发展总目标、分阶段目标、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产业定位、发展方向和发展模式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等进行详细规划。通过差异化布局，精准定位，打造园区特色，才能更好形成产业集聚。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Hans"/>
        </w:rPr>
      </w:pPr>
      <w:bookmarkStart w:id="11" w:name="_Toc1055401002"/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）理顺职责，稳步协调推进工作</w:t>
      </w:r>
      <w:bookmarkEnd w:id="1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尽快建立完善的领导小组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。建议项目单位尽快将园区运营中各个环节的职责分工落实到人，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定期跟踪考核，及时整改纠偏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，形成项目内外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闭环。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Hans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沟通协调，加快移交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政府产权用房。建议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项目单位尽快出具合理的政府产权用房移交方案，积极与相关部门沟通交流，尽快做好政府产权</w:t>
      </w:r>
      <w:bookmarkStart w:id="13" w:name="_GoBack"/>
      <w:bookmarkEnd w:id="13"/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移交。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default" w:ascii="楷体_GB2312" w:hAnsi="楷体_GB2312" w:eastAsia="楷体_GB2312" w:cs="楷体_GB2312"/>
          <w:sz w:val="32"/>
          <w:szCs w:val="32"/>
          <w:lang w:val="en-US" w:eastAsia="zh-Hans"/>
        </w:rPr>
      </w:pPr>
      <w:bookmarkStart w:id="12" w:name="_Toc2057200041"/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Hans"/>
        </w:rPr>
        <w:t>）规范管理，精细提升管理水平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工程管理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加快推进工程结算工作，加强结算资料报送、审批的进度监督和沟通协调。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绩效管理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方面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增强绩效管理意识，做好绩效目标申报和绩效自评工作，确保绩效自评与绩效目标一致性，充分提供绩效佐证材料，客观真实反映项目完成和绩效实现情况。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8Zm0MQIAAGM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ITJsyxs9c7yCB3l8XZ1DJAzqRxF6ZRAd+IBs5f61O9JHO4/zynq8b9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hvGZtDECAABj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EF8081"/>
    <w:rsid w:val="3DFBCB41"/>
    <w:rsid w:val="3DFC729F"/>
    <w:rsid w:val="5FFD6B95"/>
    <w:rsid w:val="6BBFFE41"/>
    <w:rsid w:val="767DBE71"/>
    <w:rsid w:val="7F4E59DB"/>
    <w:rsid w:val="97EF8081"/>
    <w:rsid w:val="A7BF63EF"/>
    <w:rsid w:val="ADD27731"/>
    <w:rsid w:val="B237E0FB"/>
    <w:rsid w:val="DDFF09C1"/>
    <w:rsid w:val="EC77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  <w:rPr>
      <w:sz w:val="24"/>
    </w:r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customStyle="1" w:styleId="5">
    <w:name w:val="星耀正文"/>
    <w:basedOn w:val="1"/>
    <w:qFormat/>
    <w:uiPriority w:val="3"/>
    <w:pPr>
      <w:spacing w:line="560" w:lineRule="exact"/>
      <w:ind w:firstLine="200" w:firstLineChars="200"/>
    </w:pPr>
    <w:rPr>
      <w:rFonts w:ascii="Times New Roman" w:hAnsi="Times New Roman" w:eastAsia="仿宋_GB2312"/>
      <w:kern w:val="0"/>
      <w:sz w:val="32"/>
      <w:szCs w:val="28"/>
      <w:lang w:val="zh-CN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toa heading"/>
    <w:basedOn w:val="6"/>
    <w:next w:val="1"/>
    <w:qFormat/>
    <w:uiPriority w:val="0"/>
    <w:rPr>
      <w:rFonts w:ascii="Arial" w:hAnsi="Arial"/>
      <w:sz w:val="24"/>
    </w:rPr>
  </w:style>
  <w:style w:type="paragraph" w:styleId="8">
    <w:name w:val="annotation text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eastAsia="仿宋_GB2312"/>
      <w:sz w:val="28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customStyle="1" w:styleId="14">
    <w:name w:val="星耀封面项目信息"/>
    <w:basedOn w:val="1"/>
    <w:qFormat/>
    <w:uiPriority w:val="0"/>
    <w:pPr>
      <w:spacing w:before="120"/>
      <w:ind w:left="800" w:leftChars="800"/>
      <w:jc w:val="left"/>
    </w:pPr>
    <w:rPr>
      <w:rFonts w:ascii="Times New Roman" w:hAnsi="Times New Roman" w:eastAsia="仿宋_GB2312"/>
      <w:kern w:val="0"/>
      <w:sz w:val="32"/>
      <w:szCs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2023-12-08T15:37:00Z</dcterms:created>
  <dc:creator>朱吃桃</dc:creator>
  <cp:lastModifiedBy>吴超宇</cp:lastModifiedBy>
  <cp:lastPrinted>2023-12-12T17:27:00Z</cp:lastPrinted>
  <dcterms:modified xsi:type="dcterms:W3CDTF">2023-12-14T14:14:35Z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001F2D2C9EC58DD538D36E65C24A1675_41</vt:lpwstr>
  </property>
</Properties>
</file>