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kern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4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选房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lang w:val="en-US" w:eastAsia="zh-CN"/>
        </w:rPr>
        <w:t>签约服务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指引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2023年度第二批次大鹏新区单位保障性租赁住房选房工作安排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分别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于202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星期四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星期五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）开展。</w:t>
      </w: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因选房现场场地有限，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各合格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认租单位仅委派1名住房专员或受托经办人参加选房（以下简称“住房专员”）。</w:t>
      </w: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住房专员请按如下指引办理相关手续：</w:t>
      </w: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bCs/>
          <w:color w:val="660066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所需材料清单</w:t>
      </w:r>
    </w:p>
    <w:tbl>
      <w:tblPr>
        <w:tblStyle w:val="6"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41"/>
        <w:gridCol w:w="2366"/>
        <w:gridCol w:w="3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材料名称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材料形式及份数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住房专员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身份证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份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复印件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法人授权委托书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用于法定代表人授权委托办理选房签约手续。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授权委托书范本附后。</w:t>
            </w:r>
          </w:p>
        </w:tc>
      </w:tr>
    </w:tbl>
    <w:p>
      <w:pPr>
        <w:spacing w:before="0" w:before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办理时间和地点</w:t>
      </w:r>
    </w:p>
    <w:tbl>
      <w:tblPr>
        <w:tblStyle w:val="6"/>
        <w:tblW w:w="92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333"/>
        <w:gridCol w:w="34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事项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34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日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日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431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大鹏新区葵涌街道生命科学产业园A22栋人才安居服务大厅。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签订选房确认书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highlight w:val="none"/>
              </w:rPr>
              <w:t>选房当日</w:t>
            </w:r>
          </w:p>
        </w:tc>
        <w:tc>
          <w:tcPr>
            <w:tcW w:w="343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>
      <w:pPr>
        <w:spacing w:before="0" w:beforeLines="0" w:afterLines="0"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请住房专员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提前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分钟到场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，以便提前了解选房操作流程和实时关注房源动态。</w:t>
      </w:r>
    </w:p>
    <w:p>
      <w:pPr>
        <w:spacing w:before="0" w:beforeLines="0" w:afterLines="0" w:line="560" w:lineRule="exact"/>
        <w:ind w:firstLine="602" w:firstLineChars="200"/>
        <w:rPr>
          <w:rFonts w:hint="eastAsia" w:ascii="仿宋" w:hAnsi="仿宋" w:eastAsia="仿宋" w:cs="仿宋"/>
          <w:bCs/>
          <w:color w:val="660066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选房指引</w:t>
      </w:r>
    </w:p>
    <w:p>
      <w:pPr>
        <w:spacing w:beforeLines="0" w:after="0" w:afterLines="0" w:line="56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u w:val="none"/>
        </w:rPr>
        <w:t>（一）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none"/>
        </w:rPr>
        <w:t>选房规则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1.选房时间: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（1）重点骨干、区级挂点服务企业和卫生系统单位：12月21日上午（9:30-11:30）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（2）其他企业（含四上企业、一般企业）：12月21日下午（14:30-16:30）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（3）教育系统：12月22日上午（9:30-11:30）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（4）供应剩余房源调剂分配：12月22日下午（14:30-17:00）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2.选房顺序：各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选房排位顺序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通过抽签或摇号形式抽取顺序号确定。  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选房方式：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（1）由住房专员按签到顺序依次自行抽取本单位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选房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顺序号，并现场确定本单位选房顺序。住房专员再按照本单位选房顺序号依次抽取房源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（各单位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按公示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分配房源项目、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户型及套数进行选房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房源数量不超过分配结果配额表配额上限）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，对应房源选完即止。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在本次房源分配时，项目房源充足，有对应面积的房源但未选房的，视为放弃本次选房资格；项目房源充足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选房数量达到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分配结果配额表配额上限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，视为本次已公示的住房套数全部享受。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</w:t>
      </w:r>
    </w:p>
    <w:p>
      <w:pPr>
        <w:spacing w:beforeLines="0" w:after="0" w:afterLines="0"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highlight w:val="none"/>
          <w:u w:val="none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none"/>
        </w:rPr>
        <w:t>选房流程</w:t>
      </w:r>
    </w:p>
    <w:p>
      <w:pPr>
        <w:spacing w:beforeLines="0" w:afterLines="0" w:line="560" w:lineRule="exact"/>
        <w:ind w:left="420" w:leftChars="200" w:firstLine="148" w:firstLineChars="50"/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  <w:t>1.签到验证等候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到达现场后，提交相关证件、资料进行验证，验证通过后签到进入选房等待区。</w:t>
      </w:r>
    </w:p>
    <w:p>
      <w:pPr>
        <w:spacing w:beforeLines="0" w:afterLines="0" w:line="560" w:lineRule="exact"/>
        <w:ind w:left="420" w:leftChars="200" w:firstLine="148" w:firstLineChars="50"/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  <w:t>.依序进行选房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工作人员按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确认的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各单位选房排名顺序呼叫住房专员选房（呼叫单位名称三次）。</w:t>
      </w:r>
    </w:p>
    <w:p>
      <w:pPr>
        <w:spacing w:beforeLines="0" w:afterLines="0" w:line="560" w:lineRule="exact"/>
        <w:ind w:left="420" w:leftChars="200" w:firstLine="148" w:firstLineChars="50"/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  <w:t>.签订选房确认书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选定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后，在工作人员现场打印的《选房确认书》上签字确认。</w:t>
      </w:r>
    </w:p>
    <w:p>
      <w:pPr>
        <w:spacing w:beforeLines="0" w:after="0" w:afterLines="0" w:line="560" w:lineRule="exact"/>
        <w:ind w:firstLine="451" w:firstLineChars="150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none"/>
        </w:rPr>
        <w:t>选房注意事项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应为单位法定代表人或法人授权委托人，被委托人需提供法人授权委托书（原件，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授权委托书范本附后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）。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选房时间不超过5分钟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，若选房时间超过5分钟的，则依次排在当前选房场次最后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3.未按时参加选房的，按以下规则依序补选房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过号未到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但在其安排时间段结束前到场的，等待所有同一安排时间段内正常签到的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选房后再进行补选，补选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前面所述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先后补选房。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在其安排时间段未到场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但在安排选房当日结束前到场的，在当日选房结束后补选房。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bCs/>
          <w:color w:val="660066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（3）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在安排选房当日结束前仍未到场的，视为自动放弃选房资格。</w:t>
      </w:r>
    </w:p>
    <w:p>
      <w:pPr>
        <w:spacing w:before="0" w:beforeLines="0" w:after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签订合同指引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现场选定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后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应在《选房确认书》上签字确认，并在三个工作日内提供入住人员名单报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大鹏新区住房和建设局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备案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并签订合同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.租赁合同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应由单位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签订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本批次部分配租项目由大鹏新区人才安居有限公司运营管理，合同签订、租金和押金收取等由运营管理单位按有关规定执行。</w:t>
      </w:r>
    </w:p>
    <w:p>
      <w:pPr>
        <w:spacing w:before="0" w:beforeLines="0" w:after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温馨提示</w:t>
      </w:r>
    </w:p>
    <w:p>
      <w:pPr>
        <w:spacing w:before="0" w:beforeLines="0" w:afterLines="0" w:line="560" w:lineRule="exact"/>
        <w:ind w:firstLine="592" w:firstLineChars="200"/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各项目租金标准、物业管理费详见下表：</w:t>
      </w:r>
    </w:p>
    <w:tbl>
      <w:tblPr>
        <w:tblStyle w:val="6"/>
        <w:tblW w:w="11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2551"/>
        <w:gridCol w:w="1984"/>
        <w:gridCol w:w="1984"/>
        <w:gridCol w:w="198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租金标准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（元/平方米·月）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物业服务费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（元/平方米·月）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专项维修资金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（元/平方米·月）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停车费标准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安居鹏湾府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18.68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安居东湾半岛花园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17.02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家天下花园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19.34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招商东岸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19.87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保利香槟苑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17.42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生命科学产业园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13.08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陶柏莉花园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19.18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坝光安置区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17.36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150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 w:val="0"/>
          <w:spacing w:val="-2"/>
          <w:sz w:val="30"/>
          <w:szCs w:val="30"/>
          <w:highlight w:val="none"/>
        </w:rPr>
        <w:t>注：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.上述项目单套房屋建筑面积以地籍测绘部门出具的测绘报告为准，房源装修情况以实际交付为准。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  <w:lang w:val="en-US" w:eastAsia="zh-CN"/>
        </w:rPr>
        <w:t>2.物业服务收费按现行标准执行，如有变更，按最新标准执行。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政策咨询地址：大鹏新区葵涌街道生命科学产业园A22栋人才安居服务大厅后方办公区（大鹏新区住房和物业事务中心），咨询电话：0755-28333561。咨询时间：工作日9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00-12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0，14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00-17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spacing w:val="-2"/>
          <w:sz w:val="30"/>
          <w:szCs w:val="30"/>
          <w:highlight w:val="none"/>
        </w:rPr>
        <w:t>30</w:t>
      </w:r>
      <w:r>
        <w:rPr>
          <w:rFonts w:hint="eastAsia" w:ascii="仿宋" w:hAnsi="仿宋" w:eastAsia="仿宋" w:cs="仿宋"/>
          <w:b w:val="0"/>
          <w:bCs w:val="0"/>
          <w:spacing w:val="-2"/>
          <w:sz w:val="30"/>
          <w:szCs w:val="30"/>
          <w:highlight w:val="none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法人授权委托书</w:t>
      </w:r>
    </w:p>
    <w:p/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大鹏新区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住房和</w:t>
      </w:r>
      <w:r>
        <w:rPr>
          <w:rFonts w:hint="eastAsia" w:ascii="仿宋_GB2312" w:hAnsi="宋体" w:eastAsia="仿宋_GB2312"/>
          <w:sz w:val="32"/>
          <w:szCs w:val="32"/>
        </w:rPr>
        <w:t>建设局：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兹委托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</w:t>
      </w:r>
      <w:r>
        <w:rPr>
          <w:rFonts w:hint="default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为我单位住房专员，全权负责我单位保障性租赁住房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工作。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住房专员若有变换，我单位将在5个工作日内以书面形式通知贵局。若未及时通知，所有后果由我单位承担。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授权起始日期：       年       月       日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授权终止日期:        年       月       日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特此授权。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法定代表人：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授权单位（盖章</w:t>
      </w:r>
      <w:r>
        <w:rPr>
          <w:rFonts w:hint="default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签发日期：</w:t>
      </w:r>
    </w:p>
    <w:p>
      <w:pPr>
        <w:pStyle w:val="4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WRjNmJkNDlkOGE2NTY5N2ZlYTVmYmFiZDJmZDUifQ=="/>
  </w:docVars>
  <w:rsids>
    <w:rsidRoot w:val="52481E3E"/>
    <w:rsid w:val="0744436B"/>
    <w:rsid w:val="07A1127F"/>
    <w:rsid w:val="0B163798"/>
    <w:rsid w:val="0C723CCB"/>
    <w:rsid w:val="0CF862CF"/>
    <w:rsid w:val="14EA56F6"/>
    <w:rsid w:val="16352BD7"/>
    <w:rsid w:val="1CF57569"/>
    <w:rsid w:val="1F4641B0"/>
    <w:rsid w:val="2066362C"/>
    <w:rsid w:val="20D357F6"/>
    <w:rsid w:val="280B4EA4"/>
    <w:rsid w:val="292B030C"/>
    <w:rsid w:val="2FF706BD"/>
    <w:rsid w:val="2FFFBB16"/>
    <w:rsid w:val="32411B42"/>
    <w:rsid w:val="32C33ED2"/>
    <w:rsid w:val="370B1E74"/>
    <w:rsid w:val="3A57120E"/>
    <w:rsid w:val="3A7D74F4"/>
    <w:rsid w:val="3AF11BD4"/>
    <w:rsid w:val="3B8F7296"/>
    <w:rsid w:val="3E7FBFA2"/>
    <w:rsid w:val="4A346A67"/>
    <w:rsid w:val="4D9D34C7"/>
    <w:rsid w:val="4FE65163"/>
    <w:rsid w:val="4FFDD81F"/>
    <w:rsid w:val="5228004D"/>
    <w:rsid w:val="52481E3E"/>
    <w:rsid w:val="536C1C35"/>
    <w:rsid w:val="55BC504A"/>
    <w:rsid w:val="573E39BB"/>
    <w:rsid w:val="581F2829"/>
    <w:rsid w:val="58992399"/>
    <w:rsid w:val="59FC6598"/>
    <w:rsid w:val="5B373965"/>
    <w:rsid w:val="5F396954"/>
    <w:rsid w:val="5FC51497"/>
    <w:rsid w:val="61691672"/>
    <w:rsid w:val="622D2108"/>
    <w:rsid w:val="648D1A0C"/>
    <w:rsid w:val="64EE1832"/>
    <w:rsid w:val="6B4D509B"/>
    <w:rsid w:val="6B6047F9"/>
    <w:rsid w:val="6DB470F7"/>
    <w:rsid w:val="73A77917"/>
    <w:rsid w:val="7F77C961"/>
    <w:rsid w:val="7FCD414D"/>
    <w:rsid w:val="7FFEDAD7"/>
    <w:rsid w:val="7FFF56D7"/>
    <w:rsid w:val="A7BF98D3"/>
    <w:rsid w:val="AFAF5932"/>
    <w:rsid w:val="BEDD7CDF"/>
    <w:rsid w:val="BF7E43C2"/>
    <w:rsid w:val="FF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2021-12-23T17:41:00Z</dcterms:created>
  <dc:creator>林亚英</dc:creator>
  <cp:lastModifiedBy>杨光</cp:lastModifiedBy>
  <cp:lastPrinted>2023-12-09T00:18:00Z</cp:lastPrinted>
  <dcterms:modified xsi:type="dcterms:W3CDTF">2023-12-14T19:37:23Z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6D0B20F8480F4449F3E87A6560CDFC8A</vt:lpwstr>
  </property>
</Properties>
</file>