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spacing w:line="360" w:lineRule="auto"/>
        <w:rPr>
          <w:rFonts w:ascii="仿宋_GB2312" w:eastAsia="仿宋_GB2312"/>
          <w:sz w:val="44"/>
          <w:szCs w:val="44"/>
        </w:rPr>
      </w:pPr>
    </w:p>
    <w:p>
      <w:pPr>
        <w:jc w:val="center"/>
        <w:rPr>
          <w:rFonts w:ascii="宋体" w:hAnsi="宋体"/>
          <w:sz w:val="44"/>
          <w:szCs w:val="44"/>
        </w:rPr>
      </w:pPr>
      <w:r>
        <w:rPr>
          <w:rFonts w:ascii="宋体" w:hAnsi="宋体"/>
          <w:sz w:val="44"/>
          <w:szCs w:val="44"/>
        </w:rPr>
        <w:t>201</w:t>
      </w:r>
      <w:r>
        <w:rPr>
          <w:rFonts w:hint="eastAsia" w:ascii="宋体" w:hAnsi="宋体"/>
          <w:sz w:val="44"/>
          <w:szCs w:val="44"/>
        </w:rPr>
        <w:t>9</w:t>
      </w:r>
      <w:r>
        <w:rPr>
          <w:rFonts w:ascii="宋体" w:hAnsi="宋体"/>
          <w:sz w:val="44"/>
          <w:szCs w:val="44"/>
        </w:rPr>
        <w:t>年</w:t>
      </w:r>
      <w:r>
        <w:rPr>
          <w:rFonts w:hint="eastAsia" w:ascii="宋体" w:hAnsi="宋体"/>
          <w:sz w:val="44"/>
          <w:szCs w:val="44"/>
        </w:rPr>
        <w:t>度部门</w:t>
      </w:r>
      <w:r>
        <w:rPr>
          <w:rFonts w:ascii="宋体" w:hAnsi="宋体"/>
          <w:sz w:val="44"/>
          <w:szCs w:val="44"/>
        </w:rPr>
        <w:t>整体绩效自评报告</w:t>
      </w:r>
    </w:p>
    <w:p>
      <w:pPr>
        <w:rPr>
          <w:rFonts w:hint="eastAsia"/>
        </w:rPr>
      </w:pPr>
    </w:p>
    <w:p>
      <w:pPr>
        <w:pStyle w:val="3"/>
      </w:pPr>
      <w:r>
        <w:rPr>
          <w:rFonts w:hint="eastAsia"/>
        </w:rPr>
        <w:t>一、部门（单位）基本情况</w:t>
      </w:r>
    </w:p>
    <w:p>
      <w:pPr>
        <w:pStyle w:val="4"/>
        <w:rPr>
          <w:rStyle w:val="21"/>
          <w:b/>
          <w:bCs/>
          <w:color w:val="auto"/>
        </w:rPr>
      </w:pPr>
      <w:r>
        <w:rPr>
          <w:rStyle w:val="21"/>
          <w:rFonts w:hint="eastAsia"/>
          <w:b/>
          <w:bCs/>
          <w:color w:val="auto"/>
        </w:rPr>
        <w:t>（一）部门主要职能</w:t>
      </w:r>
    </w:p>
    <w:p>
      <w:pPr>
        <w:snapToGrid w:val="0"/>
        <w:spacing w:line="580" w:lineRule="exact"/>
        <w:ind w:firstLine="640" w:firstLineChars="200"/>
        <w:rPr>
          <w:rFonts w:ascii="仿宋_GB2312" w:hAnsi="Adobe 楷体 Std R" w:eastAsia="仿宋_GB2312"/>
          <w:sz w:val="32"/>
          <w:szCs w:val="32"/>
        </w:rPr>
      </w:pPr>
      <w:r>
        <w:rPr>
          <w:rFonts w:hint="eastAsia" w:ascii="仿宋_GB2312" w:hAnsi="Adobe 楷体 Std R" w:eastAsia="仿宋_GB2312"/>
          <w:sz w:val="32"/>
          <w:szCs w:val="32"/>
        </w:rPr>
        <w:t>本年度根据《大鹏新区机构改革方案》，我单位正式更名为深圳市大鹏新区坝光开发署（原为深圳市大鹏新区深圳国际生物谷坝光核心启动区指挥部办公室），加挂深圳国际生物谷坝光核心启动区指挥部办公室牌子，并相应进行了机构与编制调整。深圳市大鹏新区坝光开发署（以下简称我署）部门主要职能包括：</w:t>
      </w:r>
    </w:p>
    <w:p>
      <w:pPr>
        <w:snapToGrid w:val="0"/>
        <w:spacing w:line="580" w:lineRule="exact"/>
        <w:ind w:firstLine="640" w:firstLineChars="200"/>
        <w:rPr>
          <w:rFonts w:ascii="仿宋_GB2312" w:hAnsi="Adobe 楷体 Std R" w:eastAsia="仿宋_GB2312"/>
          <w:sz w:val="32"/>
          <w:szCs w:val="32"/>
        </w:rPr>
      </w:pPr>
      <w:r>
        <w:rPr>
          <w:rFonts w:hint="eastAsia" w:ascii="仿宋_GB2312" w:hAnsi="Adobe 楷体 Std R" w:eastAsia="仿宋_GB2312"/>
          <w:sz w:val="32"/>
          <w:szCs w:val="32"/>
        </w:rPr>
        <w:t>1.组织拟订坝光片区中长期发展规划、年度开发建设计划。</w:t>
      </w:r>
    </w:p>
    <w:p>
      <w:pPr>
        <w:snapToGrid w:val="0"/>
        <w:spacing w:line="580" w:lineRule="exact"/>
        <w:ind w:firstLine="640" w:firstLineChars="200"/>
        <w:rPr>
          <w:rFonts w:ascii="仿宋_GB2312" w:hAnsi="Adobe 楷体 Std R" w:eastAsia="仿宋_GB2312"/>
          <w:sz w:val="32"/>
          <w:szCs w:val="32"/>
        </w:rPr>
      </w:pPr>
      <w:r>
        <w:rPr>
          <w:rFonts w:hint="eastAsia" w:ascii="仿宋_GB2312" w:hAnsi="Adobe 楷体 Std R" w:eastAsia="仿宋_GB2312"/>
          <w:sz w:val="32"/>
          <w:szCs w:val="32"/>
        </w:rPr>
        <w:t>2.负责坝光片区重大发展战略和政策提升研究、土地开发研究，协助制定土地出让计划。</w:t>
      </w:r>
    </w:p>
    <w:p>
      <w:pPr>
        <w:snapToGrid w:val="0"/>
        <w:spacing w:line="580" w:lineRule="exact"/>
        <w:ind w:firstLine="640" w:firstLineChars="200"/>
        <w:rPr>
          <w:rFonts w:ascii="仿宋_GB2312" w:hAnsi="Adobe 楷体 Std R" w:eastAsia="仿宋_GB2312"/>
          <w:sz w:val="32"/>
          <w:szCs w:val="32"/>
        </w:rPr>
      </w:pPr>
      <w:r>
        <w:rPr>
          <w:rFonts w:hint="eastAsia" w:ascii="仿宋_GB2312" w:hAnsi="Adobe 楷体 Std R" w:eastAsia="仿宋_GB2312"/>
          <w:sz w:val="32"/>
          <w:szCs w:val="32"/>
        </w:rPr>
        <w:t>3.牵头编制坝光片区总体发展规划、产业发展规划。参与调整坝光片区法定图则以及参与编制城市规划等其他专项规划。统筹坝光片区产业空间规划，提出用地供应建议。</w:t>
      </w:r>
    </w:p>
    <w:p>
      <w:pPr>
        <w:snapToGrid w:val="0"/>
        <w:spacing w:line="580" w:lineRule="exact"/>
        <w:ind w:firstLine="640" w:firstLineChars="200"/>
        <w:rPr>
          <w:rFonts w:ascii="仿宋_GB2312" w:hAnsi="Adobe 楷体 Std R" w:eastAsia="仿宋_GB2312"/>
          <w:sz w:val="32"/>
          <w:szCs w:val="32"/>
        </w:rPr>
      </w:pPr>
      <w:r>
        <w:rPr>
          <w:rFonts w:hint="eastAsia" w:ascii="仿宋_GB2312" w:hAnsi="Adobe 楷体 Std R" w:eastAsia="仿宋_GB2312"/>
          <w:sz w:val="32"/>
          <w:szCs w:val="32"/>
        </w:rPr>
        <w:t>4.会同有关部门开展坝光片区的对外宣传推介、对外合作交流、招商引资等工作。</w:t>
      </w:r>
    </w:p>
    <w:p>
      <w:pPr>
        <w:snapToGrid w:val="0"/>
        <w:spacing w:line="580" w:lineRule="exact"/>
        <w:ind w:firstLine="640" w:firstLineChars="200"/>
        <w:rPr>
          <w:rFonts w:ascii="仿宋_GB2312" w:hAnsi="Adobe 楷体 Std R" w:eastAsia="仿宋_GB2312"/>
          <w:sz w:val="32"/>
          <w:szCs w:val="32"/>
        </w:rPr>
      </w:pPr>
      <w:r>
        <w:rPr>
          <w:rFonts w:hint="eastAsia" w:ascii="仿宋_GB2312" w:hAnsi="Adobe 楷体 Std R" w:eastAsia="仿宋_GB2312"/>
          <w:sz w:val="32"/>
          <w:szCs w:val="32"/>
        </w:rPr>
        <w:t>5.负责坝光片区项目的策划、储备、培育和论证工作。</w:t>
      </w:r>
    </w:p>
    <w:p>
      <w:pPr>
        <w:snapToGrid w:val="0"/>
        <w:spacing w:line="580" w:lineRule="exact"/>
        <w:ind w:firstLine="640" w:firstLineChars="200"/>
        <w:rPr>
          <w:rFonts w:ascii="仿宋_GB2312" w:hAnsi="Adobe 楷体 Std R" w:eastAsia="仿宋_GB2312"/>
          <w:sz w:val="32"/>
          <w:szCs w:val="32"/>
        </w:rPr>
      </w:pPr>
      <w:r>
        <w:rPr>
          <w:rFonts w:hint="eastAsia" w:ascii="仿宋_GB2312" w:hAnsi="Adobe 楷体 Std R" w:eastAsia="仿宋_GB2312"/>
          <w:sz w:val="32"/>
          <w:szCs w:val="32"/>
        </w:rPr>
        <w:t>6.统筹坝光开发建设指标评估，联系市发改委和市重点区域指挥部。</w:t>
      </w:r>
    </w:p>
    <w:p>
      <w:pPr>
        <w:snapToGrid w:val="0"/>
        <w:spacing w:line="580" w:lineRule="exact"/>
        <w:ind w:firstLine="640" w:firstLineChars="200"/>
        <w:rPr>
          <w:rFonts w:ascii="仿宋_GB2312" w:hAnsi="Adobe 楷体 Std R" w:eastAsia="仿宋_GB2312"/>
          <w:sz w:val="32"/>
          <w:szCs w:val="32"/>
        </w:rPr>
      </w:pPr>
      <w:r>
        <w:rPr>
          <w:rFonts w:hint="eastAsia" w:ascii="仿宋_GB2312" w:hAnsi="Adobe 楷体 Std R" w:eastAsia="仿宋_GB2312"/>
          <w:sz w:val="32"/>
          <w:szCs w:val="32"/>
        </w:rPr>
        <w:t>7.统筹坝光片区投资项目设计、建设的协调衔接。</w:t>
      </w:r>
    </w:p>
    <w:p>
      <w:pPr>
        <w:snapToGrid w:val="0"/>
        <w:spacing w:line="580" w:lineRule="exact"/>
        <w:ind w:firstLine="640" w:firstLineChars="200"/>
        <w:rPr>
          <w:rFonts w:ascii="仿宋_GB2312" w:hAnsi="Adobe 楷体 Std R" w:eastAsia="仿宋_GB2312"/>
          <w:sz w:val="32"/>
          <w:szCs w:val="32"/>
        </w:rPr>
      </w:pPr>
      <w:r>
        <w:rPr>
          <w:rFonts w:hint="eastAsia" w:ascii="仿宋_GB2312" w:hAnsi="Adobe 楷体 Std R" w:eastAsia="仿宋_GB2312"/>
          <w:sz w:val="32"/>
          <w:szCs w:val="32"/>
        </w:rPr>
        <w:t>8.负责指挥部办公室所承担项目的前期工作。</w:t>
      </w:r>
    </w:p>
    <w:p>
      <w:pPr>
        <w:snapToGrid w:val="0"/>
        <w:spacing w:line="580" w:lineRule="exact"/>
        <w:ind w:firstLine="640" w:firstLineChars="200"/>
        <w:rPr>
          <w:rFonts w:ascii="仿宋_GB2312" w:hAnsi="Adobe 楷体 Std R" w:eastAsia="仿宋_GB2312"/>
          <w:sz w:val="32"/>
          <w:szCs w:val="32"/>
        </w:rPr>
      </w:pPr>
      <w:r>
        <w:rPr>
          <w:rFonts w:hint="eastAsia" w:ascii="仿宋_GB2312" w:hAnsi="Adobe 楷体 Std R" w:eastAsia="仿宋_GB2312"/>
          <w:sz w:val="32"/>
          <w:szCs w:val="32"/>
        </w:rPr>
        <w:t>9.负责坝光展示厅的日常管理。</w:t>
      </w:r>
    </w:p>
    <w:p>
      <w:pPr>
        <w:snapToGrid w:val="0"/>
        <w:spacing w:line="580" w:lineRule="exact"/>
        <w:ind w:firstLine="640" w:firstLineChars="200"/>
        <w:rPr>
          <w:rFonts w:ascii="仿宋_GB2312" w:hAnsi="Adobe 楷体 Std R" w:eastAsia="仿宋_GB2312"/>
          <w:sz w:val="32"/>
          <w:szCs w:val="32"/>
        </w:rPr>
      </w:pPr>
      <w:r>
        <w:rPr>
          <w:rFonts w:hint="eastAsia" w:ascii="仿宋_GB2312" w:hAnsi="Adobe 楷体 Std R" w:eastAsia="仿宋_GB2312"/>
          <w:sz w:val="32"/>
          <w:szCs w:val="32"/>
        </w:rPr>
        <w:t>10.统筹落实深圳国际生物谷坝光核心启动区指挥部的工作部署，承担指挥部的日常工作。</w:t>
      </w:r>
    </w:p>
    <w:p>
      <w:pPr>
        <w:snapToGrid w:val="0"/>
        <w:spacing w:line="580" w:lineRule="exact"/>
        <w:ind w:firstLine="640" w:firstLineChars="200"/>
        <w:rPr>
          <w:rFonts w:ascii="黑体" w:hAnsi="黑体" w:eastAsia="黑体" w:cs="黑体"/>
          <w:bCs/>
          <w:sz w:val="32"/>
          <w:szCs w:val="32"/>
        </w:rPr>
      </w:pPr>
      <w:r>
        <w:rPr>
          <w:rFonts w:hint="eastAsia" w:ascii="仿宋_GB2312" w:hAnsi="Adobe 楷体 Std R" w:eastAsia="仿宋_GB2312"/>
          <w:sz w:val="32"/>
          <w:szCs w:val="32"/>
        </w:rPr>
        <w:t>11.完成新区党工委、管委会和上级业务部门交办的其他任务。</w:t>
      </w:r>
    </w:p>
    <w:p>
      <w:pPr>
        <w:pStyle w:val="4"/>
        <w:rPr>
          <w:rFonts w:ascii="仿宋_GB2312" w:hAnsi="仿宋_GB2312" w:eastAsia="仿宋_GB2312" w:cs="仿宋_GB2312"/>
          <w:i/>
          <w:iCs/>
          <w:color w:val="auto"/>
        </w:rPr>
      </w:pPr>
      <w:r>
        <w:rPr>
          <w:rFonts w:hint="eastAsia"/>
          <w:color w:val="auto"/>
        </w:rPr>
        <w:t>（二）年度总体工作和重点工作任务</w:t>
      </w:r>
    </w:p>
    <w:p>
      <w:pPr>
        <w:snapToGrid w:val="0"/>
        <w:spacing w:line="580" w:lineRule="exact"/>
        <w:ind w:firstLine="640" w:firstLineChars="200"/>
        <w:rPr>
          <w:rFonts w:ascii="仿宋_GB2312" w:hAnsi="Adobe 楷体 Std R" w:eastAsia="仿宋_GB2312"/>
          <w:sz w:val="32"/>
          <w:szCs w:val="32"/>
        </w:rPr>
      </w:pPr>
      <w:r>
        <w:rPr>
          <w:rFonts w:hint="eastAsia" w:ascii="仿宋_GB2312" w:hAnsi="Adobe 楷体 Std R" w:eastAsia="仿宋_GB2312"/>
          <w:sz w:val="32"/>
          <w:szCs w:val="32"/>
        </w:rPr>
        <w:t>根据2019年度新区党工委、管委会及有关部门交办的工作任务，结合部门2019年度工作计划，我署确定的重点工作列示如下：</w:t>
      </w:r>
    </w:p>
    <w:p>
      <w:pPr>
        <w:snapToGrid w:val="0"/>
        <w:spacing w:after="156" w:afterLines="50" w:line="580" w:lineRule="exact"/>
        <w:jc w:val="center"/>
        <w:rPr>
          <w:rFonts w:ascii="仿宋_GB2312" w:hAnsi="仿宋_GB2312" w:eastAsia="仿宋_GB2312"/>
          <w:sz w:val="32"/>
          <w:szCs w:val="32"/>
        </w:rPr>
      </w:pPr>
      <w:r>
        <w:rPr>
          <w:rFonts w:hint="eastAsia" w:ascii="黑体" w:hAnsi="黑体" w:eastAsia="黑体" w:cs="仿宋_GB2312"/>
          <w:sz w:val="24"/>
          <w:szCs w:val="32"/>
        </w:rPr>
        <w:t>表1</w:t>
      </w:r>
      <w:r>
        <w:rPr>
          <w:rFonts w:ascii="黑体" w:hAnsi="黑体" w:eastAsia="黑体" w:cs="仿宋_GB2312"/>
          <w:sz w:val="24"/>
          <w:szCs w:val="32"/>
        </w:rPr>
        <w:t xml:space="preserve"> 大鹏新区</w:t>
      </w:r>
      <w:r>
        <w:rPr>
          <w:rFonts w:hint="eastAsia" w:ascii="黑体" w:hAnsi="黑体" w:eastAsia="黑体" w:cs="仿宋_GB2312"/>
          <w:sz w:val="24"/>
          <w:szCs w:val="32"/>
        </w:rPr>
        <w:t>坝光开发署2</w:t>
      </w:r>
      <w:r>
        <w:rPr>
          <w:rFonts w:ascii="黑体" w:hAnsi="黑体" w:eastAsia="黑体" w:cs="仿宋_GB2312"/>
          <w:sz w:val="24"/>
          <w:szCs w:val="32"/>
        </w:rPr>
        <w:t>01</w:t>
      </w:r>
      <w:r>
        <w:rPr>
          <w:rFonts w:hint="eastAsia" w:ascii="黑体" w:hAnsi="黑体" w:eastAsia="黑体" w:cs="仿宋_GB2312"/>
          <w:sz w:val="24"/>
          <w:szCs w:val="32"/>
        </w:rPr>
        <w:t>9</w:t>
      </w:r>
      <w:r>
        <w:rPr>
          <w:rFonts w:ascii="黑体" w:hAnsi="黑体" w:eastAsia="黑体" w:cs="仿宋_GB2312"/>
          <w:sz w:val="24"/>
          <w:szCs w:val="32"/>
        </w:rPr>
        <w:t>年度重点工作一览表</w:t>
      </w:r>
    </w:p>
    <w:tbl>
      <w:tblPr>
        <w:tblStyle w:val="12"/>
        <w:tblW w:w="52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
        <w:gridCol w:w="3761"/>
        <w:gridCol w:w="754"/>
        <w:gridCol w:w="4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blHeader/>
          <w:jc w:val="center"/>
        </w:trPr>
        <w:tc>
          <w:tcPr>
            <w:tcW w:w="483" w:type="pct"/>
            <w:shd w:val="clear" w:color="auto" w:fill="D9D9D9"/>
            <w:vAlign w:val="center"/>
          </w:tcPr>
          <w:p>
            <w:pPr>
              <w:spacing w:line="240" w:lineRule="exact"/>
              <w:jc w:val="center"/>
              <w:rPr>
                <w:rFonts w:ascii="宋体" w:hAnsi="宋体"/>
                <w:b/>
              </w:rPr>
            </w:pPr>
            <w:r>
              <w:rPr>
                <w:rFonts w:hint="eastAsia" w:ascii="宋体" w:hAnsi="宋体"/>
                <w:b/>
              </w:rPr>
              <w:t>任务下达部门</w:t>
            </w:r>
          </w:p>
        </w:tc>
        <w:tc>
          <w:tcPr>
            <w:tcW w:w="1971" w:type="pct"/>
            <w:shd w:val="clear" w:color="auto" w:fill="D9D9D9"/>
            <w:vAlign w:val="center"/>
          </w:tcPr>
          <w:p>
            <w:pPr>
              <w:spacing w:line="240" w:lineRule="exact"/>
              <w:jc w:val="center"/>
              <w:rPr>
                <w:rFonts w:ascii="宋体" w:hAnsi="宋体"/>
                <w:b/>
              </w:rPr>
            </w:pPr>
            <w:r>
              <w:rPr>
                <w:rFonts w:hint="eastAsia" w:ascii="宋体" w:hAnsi="宋体"/>
                <w:b/>
              </w:rPr>
              <w:t>工作任务</w:t>
            </w:r>
          </w:p>
        </w:tc>
        <w:tc>
          <w:tcPr>
            <w:tcW w:w="395" w:type="pct"/>
            <w:shd w:val="clear" w:color="auto" w:fill="D9D9D9"/>
            <w:vAlign w:val="center"/>
          </w:tcPr>
          <w:p>
            <w:pPr>
              <w:spacing w:line="240" w:lineRule="exact"/>
              <w:jc w:val="center"/>
              <w:rPr>
                <w:rFonts w:ascii="宋体" w:hAnsi="宋体"/>
                <w:b/>
              </w:rPr>
            </w:pPr>
            <w:r>
              <w:rPr>
                <w:rFonts w:hint="eastAsia" w:ascii="宋体" w:hAnsi="宋体"/>
                <w:b/>
              </w:rPr>
              <w:t>序号</w:t>
            </w:r>
          </w:p>
        </w:tc>
        <w:tc>
          <w:tcPr>
            <w:tcW w:w="2148" w:type="pct"/>
            <w:shd w:val="clear" w:color="auto" w:fill="D9D9D9"/>
            <w:vAlign w:val="center"/>
          </w:tcPr>
          <w:p>
            <w:pPr>
              <w:spacing w:line="240" w:lineRule="exact"/>
              <w:jc w:val="center"/>
              <w:rPr>
                <w:rFonts w:ascii="宋体" w:hAnsi="宋体"/>
                <w:b/>
              </w:rPr>
            </w:pPr>
            <w:r>
              <w:rPr>
                <w:rFonts w:hint="eastAsia" w:ascii="宋体" w:hAnsi="宋体"/>
                <w:b/>
              </w:rPr>
              <w:t>具体工作事项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atLeast"/>
          <w:jc w:val="center"/>
        </w:trPr>
        <w:tc>
          <w:tcPr>
            <w:tcW w:w="483" w:type="pct"/>
            <w:vMerge w:val="restar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党工委</w:t>
            </w:r>
          </w:p>
        </w:tc>
        <w:tc>
          <w:tcPr>
            <w:tcW w:w="1971" w:type="pct"/>
            <w:vMerge w:val="restart"/>
            <w:vAlign w:val="center"/>
          </w:tcPr>
          <w:p>
            <w:pPr>
              <w:adjustRightInd w:val="0"/>
              <w:snapToGrid w:val="0"/>
              <w:rPr>
                <w:rFonts w:ascii="宋体" w:hAnsi="宋体" w:cs="仿宋_GB2312"/>
                <w:snapToGrid w:val="0"/>
                <w:kern w:val="0"/>
              </w:rPr>
            </w:pPr>
            <w:r>
              <w:rPr>
                <w:rFonts w:hint="eastAsia" w:ascii="宋体" w:hAnsi="宋体" w:cs="仿宋_GB2312"/>
                <w:snapToGrid w:val="0"/>
                <w:kern w:val="0"/>
              </w:rPr>
              <w:t>加快国际生命科技中心、坝光文体中心、绿岛国际、生物家园等重大项目和创新载体的建设，确保人才公寓、坝光展示厅等项目投入使用，力争年内区域投资54亿元。</w:t>
            </w:r>
          </w:p>
        </w:tc>
        <w:tc>
          <w:tcPr>
            <w:tcW w:w="395" w:type="pct"/>
            <w:vAlign w:val="center"/>
          </w:tcPr>
          <w:p>
            <w:pPr>
              <w:adjustRightInd w:val="0"/>
              <w:snapToGrid w:val="0"/>
              <w:jc w:val="center"/>
              <w:rPr>
                <w:rFonts w:ascii="宋体" w:hAnsi="宋体" w:cs="仿宋_GB2312"/>
                <w:snapToGrid w:val="0"/>
                <w:kern w:val="0"/>
              </w:rPr>
            </w:pPr>
            <w:r>
              <w:rPr>
                <w:rFonts w:ascii="宋体" w:hAnsi="宋体" w:cs="仿宋_GB2312"/>
                <w:snapToGrid w:val="0"/>
                <w:kern w:val="0"/>
              </w:rPr>
              <w:t>1</w:t>
            </w:r>
          </w:p>
        </w:tc>
        <w:tc>
          <w:tcPr>
            <w:tcW w:w="2148" w:type="pct"/>
            <w:vAlign w:val="center"/>
          </w:tcPr>
          <w:p>
            <w:pPr>
              <w:adjustRightInd w:val="0"/>
              <w:snapToGrid w:val="0"/>
              <w:rPr>
                <w:rFonts w:ascii="宋体" w:hAnsi="宋体" w:cs="仿宋_GB2312"/>
                <w:snapToGrid w:val="0"/>
                <w:kern w:val="0"/>
              </w:rPr>
            </w:pPr>
            <w:r>
              <w:rPr>
                <w:rFonts w:hint="eastAsia" w:asciiTheme="minorEastAsia" w:hAnsiTheme="minorEastAsia" w:eastAsiaTheme="minorEastAsia"/>
                <w:snapToGrid w:val="0"/>
                <w:kern w:val="0"/>
                <w:szCs w:val="21"/>
              </w:rPr>
              <w:t>国际生命科技中心（坝光展示厅项目投入使用）。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jc w:val="center"/>
        </w:trPr>
        <w:tc>
          <w:tcPr>
            <w:tcW w:w="483" w:type="pct"/>
            <w:vMerge w:val="continue"/>
            <w:vAlign w:val="center"/>
          </w:tcPr>
          <w:p>
            <w:pPr>
              <w:widowControl/>
              <w:jc w:val="center"/>
              <w:textAlignment w:val="center"/>
              <w:rPr>
                <w:rFonts w:ascii="宋体" w:hAnsi="宋体" w:cs="仿宋_GB2312"/>
                <w:snapToGrid w:val="0"/>
                <w:kern w:val="0"/>
              </w:rPr>
            </w:pPr>
          </w:p>
        </w:tc>
        <w:tc>
          <w:tcPr>
            <w:tcW w:w="1971" w:type="pct"/>
            <w:vMerge w:val="continue"/>
            <w:vAlign w:val="center"/>
          </w:tcPr>
          <w:p>
            <w:pPr>
              <w:adjustRightInd w:val="0"/>
              <w:snapToGrid w:val="0"/>
            </w:pPr>
          </w:p>
        </w:tc>
        <w:tc>
          <w:tcPr>
            <w:tcW w:w="395" w:type="pct"/>
            <w:vAlign w:val="center"/>
          </w:tcPr>
          <w:p>
            <w:pPr>
              <w:widowControl/>
              <w:jc w:val="center"/>
              <w:textAlignment w:val="center"/>
              <w:rPr>
                <w:rFonts w:ascii="宋体" w:hAnsi="宋体" w:cs="仿宋_GB2312"/>
                <w:snapToGrid w:val="0"/>
                <w:kern w:val="0"/>
              </w:rPr>
            </w:pPr>
            <w:r>
              <w:rPr>
                <w:rFonts w:ascii="宋体" w:hAnsi="宋体" w:cs="仿宋_GB2312"/>
                <w:snapToGrid w:val="0"/>
                <w:kern w:val="0"/>
              </w:rPr>
              <w:t>2</w:t>
            </w:r>
          </w:p>
        </w:tc>
        <w:tc>
          <w:tcPr>
            <w:tcW w:w="2148" w:type="pct"/>
            <w:vAlign w:val="center"/>
          </w:tcPr>
          <w:p>
            <w:pPr>
              <w:adjustRightInd w:val="0"/>
              <w:snapToGrid w:val="0"/>
              <w:rPr>
                <w:rFonts w:ascii="宋体" w:hAnsi="宋体" w:cs="仿宋_GB2312"/>
                <w:snapToGrid w:val="0"/>
                <w:kern w:val="0"/>
              </w:rPr>
            </w:pPr>
            <w:r>
              <w:rPr>
                <w:rFonts w:hint="eastAsia" w:asciiTheme="minorEastAsia" w:hAnsiTheme="minorEastAsia" w:eastAsiaTheme="minorEastAsia"/>
                <w:snapToGrid w:val="0"/>
                <w:kern w:val="0"/>
                <w:szCs w:val="21"/>
              </w:rPr>
              <w:t>坝光片区及区外配套项目累计完成投资51.87亿元。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8" w:hRule="atLeast"/>
          <w:jc w:val="center"/>
        </w:trPr>
        <w:tc>
          <w:tcPr>
            <w:tcW w:w="483" w:type="pct"/>
            <w:vMerge w:val="continue"/>
            <w:vAlign w:val="center"/>
          </w:tcPr>
          <w:p>
            <w:pPr>
              <w:widowControl/>
              <w:jc w:val="center"/>
              <w:textAlignment w:val="center"/>
              <w:rPr>
                <w:rFonts w:ascii="宋体" w:hAnsi="宋体" w:cs="仿宋_GB2312"/>
                <w:snapToGrid w:val="0"/>
                <w:kern w:val="0"/>
              </w:rPr>
            </w:pPr>
          </w:p>
        </w:tc>
        <w:tc>
          <w:tcPr>
            <w:tcW w:w="1971" w:type="pct"/>
            <w:vAlign w:val="center"/>
          </w:tcPr>
          <w:p>
            <w:pPr>
              <w:widowControl/>
              <w:textAlignment w:val="center"/>
              <w:rPr>
                <w:rFonts w:ascii="宋体" w:hAnsi="宋体" w:cs="仿宋_GB2312"/>
                <w:snapToGrid w:val="0"/>
                <w:kern w:val="0"/>
              </w:rPr>
            </w:pPr>
            <w:r>
              <w:rPr>
                <w:rFonts w:hint="eastAsia" w:ascii="宋体" w:hAnsi="宋体" w:cs="仿宋_GB2312"/>
                <w:snapToGrid w:val="0"/>
                <w:kern w:val="0"/>
              </w:rPr>
              <w:t>深入开展坝光城市设计评估与优化工作，切实保护滨海岸线、河道水系、名木古树等自然资源，提升片区开发品质。</w:t>
            </w:r>
          </w:p>
        </w:tc>
        <w:tc>
          <w:tcPr>
            <w:tcW w:w="395" w:type="pct"/>
            <w:vAlign w:val="center"/>
          </w:tcPr>
          <w:p>
            <w:pPr>
              <w:widowControl/>
              <w:jc w:val="center"/>
              <w:textAlignment w:val="center"/>
              <w:rPr>
                <w:rFonts w:ascii="宋体" w:hAnsi="宋体" w:cs="仿宋_GB2312"/>
                <w:snapToGrid w:val="0"/>
                <w:kern w:val="0"/>
              </w:rPr>
            </w:pPr>
            <w:r>
              <w:rPr>
                <w:rFonts w:ascii="宋体" w:hAnsi="宋体" w:cs="仿宋_GB2312"/>
                <w:snapToGrid w:val="0"/>
                <w:kern w:val="0"/>
              </w:rPr>
              <w:t>3</w:t>
            </w:r>
          </w:p>
        </w:tc>
        <w:tc>
          <w:tcPr>
            <w:tcW w:w="2148" w:type="pct"/>
            <w:vAlign w:val="center"/>
          </w:tcPr>
          <w:p>
            <w:pPr>
              <w:adjustRightInd w:val="0"/>
              <w:snapToGrid w:val="0"/>
              <w:rPr>
                <w:rFonts w:ascii="宋体" w:hAnsi="宋体" w:cs="仿宋_GB2312"/>
                <w:snapToGrid w:val="0"/>
                <w:kern w:val="0"/>
              </w:rPr>
            </w:pPr>
            <w:r>
              <w:rPr>
                <w:rFonts w:hint="eastAsia" w:ascii="宋体" w:hAnsi="宋体" w:cs="仿宋_GB2312"/>
                <w:snapToGrid w:val="0"/>
                <w:kern w:val="0"/>
              </w:rPr>
              <w:t>深圳国际生物谷坝光核心启动区生态系统修复提升策略研究。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5" w:hRule="atLeast"/>
          <w:jc w:val="center"/>
        </w:trPr>
        <w:tc>
          <w:tcPr>
            <w:tcW w:w="483" w:type="pct"/>
            <w:vMerge w:val="continue"/>
            <w:vAlign w:val="center"/>
          </w:tcPr>
          <w:p>
            <w:pPr>
              <w:widowControl/>
              <w:jc w:val="center"/>
              <w:textAlignment w:val="center"/>
              <w:rPr>
                <w:rFonts w:ascii="宋体" w:hAnsi="宋体" w:cs="仿宋_GB2312"/>
                <w:snapToGrid w:val="0"/>
                <w:kern w:val="0"/>
              </w:rPr>
            </w:pPr>
          </w:p>
        </w:tc>
        <w:tc>
          <w:tcPr>
            <w:tcW w:w="1971" w:type="pct"/>
            <w:vAlign w:val="center"/>
          </w:tcPr>
          <w:p>
            <w:pPr>
              <w:widowControl/>
              <w:textAlignment w:val="center"/>
              <w:rPr>
                <w:rFonts w:ascii="宋体" w:hAnsi="宋体" w:cs="仿宋_GB2312" w:eastAsiaTheme="minorEastAsia"/>
                <w:snapToGrid w:val="0"/>
                <w:kern w:val="0"/>
              </w:rPr>
            </w:pPr>
            <w:r>
              <w:rPr>
                <w:rFonts w:hint="eastAsia" w:asciiTheme="minorEastAsia" w:hAnsiTheme="minorEastAsia" w:eastAsiaTheme="minorEastAsia"/>
                <w:snapToGrid w:val="0"/>
                <w:kern w:val="0"/>
                <w:szCs w:val="21"/>
              </w:rPr>
              <w:t>积极争取设立“中以科技产业创新合作示范区”，着力打造“深港东部科创平台”，强化区域产业合作，共同争取国家生物医药产业政策试点。</w:t>
            </w:r>
          </w:p>
        </w:tc>
        <w:tc>
          <w:tcPr>
            <w:tcW w:w="395"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4</w:t>
            </w:r>
          </w:p>
        </w:tc>
        <w:tc>
          <w:tcPr>
            <w:tcW w:w="2148" w:type="pct"/>
            <w:vAlign w:val="center"/>
          </w:tcPr>
          <w:p>
            <w:pPr>
              <w:adjustRightInd w:val="0"/>
              <w:snapToGrid w:val="0"/>
              <w:rPr>
                <w:rFonts w:ascii="宋体" w:hAnsi="宋体" w:cs="仿宋_GB2312"/>
                <w:snapToGrid w:val="0"/>
                <w:kern w:val="0"/>
              </w:rPr>
            </w:pPr>
            <w:r>
              <w:rPr>
                <w:rFonts w:hint="eastAsia" w:ascii="宋体" w:hAnsi="宋体" w:cs="仿宋_GB2312"/>
                <w:snapToGrid w:val="0"/>
                <w:kern w:val="0"/>
              </w:rPr>
              <w:t>积极推动市级层面，积极争取设立“中以科技产业创新合作示范区”。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jc w:val="center"/>
        </w:trPr>
        <w:tc>
          <w:tcPr>
            <w:tcW w:w="483"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管委会</w:t>
            </w:r>
          </w:p>
        </w:tc>
        <w:tc>
          <w:tcPr>
            <w:tcW w:w="1971" w:type="pct"/>
            <w:vAlign w:val="center"/>
          </w:tcPr>
          <w:p>
            <w:pPr>
              <w:widowControl/>
              <w:textAlignment w:val="center"/>
              <w:rPr>
                <w:rFonts w:ascii="宋体" w:hAnsi="宋体" w:cs="仿宋_GB2312"/>
                <w:snapToGrid w:val="0"/>
                <w:kern w:val="0"/>
              </w:rPr>
            </w:pPr>
            <w:r>
              <w:rPr>
                <w:rFonts w:hint="eastAsia" w:ascii="宋体" w:hAnsi="宋体" w:cs="仿宋_GB2312"/>
                <w:snapToGrid w:val="0"/>
                <w:kern w:val="0"/>
              </w:rPr>
              <w:t>争取中以科技产业创新合作示范区落户新区。</w:t>
            </w:r>
          </w:p>
        </w:tc>
        <w:tc>
          <w:tcPr>
            <w:tcW w:w="395"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5</w:t>
            </w:r>
          </w:p>
        </w:tc>
        <w:tc>
          <w:tcPr>
            <w:tcW w:w="2148" w:type="pct"/>
            <w:vAlign w:val="center"/>
          </w:tcPr>
          <w:p>
            <w:r>
              <w:rPr>
                <w:rFonts w:hint="eastAsia" w:cs="仿宋_GB2312" w:asciiTheme="minorEastAsia" w:hAnsiTheme="minorEastAsia" w:eastAsiaTheme="minorEastAsia"/>
                <w:snapToGrid w:val="0"/>
                <w:kern w:val="0"/>
                <w:szCs w:val="21"/>
              </w:rPr>
              <w:t>积极推动市级层面，积极争取设立“中以科技产业创新合作示范区”。</w:t>
            </w:r>
          </w:p>
        </w:tc>
      </w:tr>
    </w:tbl>
    <w:p>
      <w:pPr>
        <w:snapToGrid w:val="0"/>
        <w:spacing w:after="156" w:afterLines="50" w:line="580" w:lineRule="exact"/>
        <w:jc w:val="center"/>
        <w:rPr>
          <w:rFonts w:ascii="黑体" w:hAnsi="黑体" w:eastAsia="黑体" w:cs="仿宋_GB2312"/>
          <w:sz w:val="24"/>
          <w:szCs w:val="32"/>
        </w:rPr>
      </w:pPr>
    </w:p>
    <w:p>
      <w:pPr>
        <w:snapToGrid w:val="0"/>
        <w:spacing w:after="156" w:afterLines="50" w:line="580" w:lineRule="exact"/>
        <w:jc w:val="center"/>
        <w:rPr>
          <w:rFonts w:ascii="黑体" w:hAnsi="黑体" w:eastAsia="黑体" w:cs="仿宋_GB2312"/>
          <w:sz w:val="24"/>
          <w:szCs w:val="32"/>
        </w:rPr>
      </w:pPr>
    </w:p>
    <w:p>
      <w:pPr>
        <w:snapToGrid w:val="0"/>
        <w:spacing w:after="156" w:afterLines="50" w:line="580" w:lineRule="exact"/>
        <w:jc w:val="center"/>
        <w:rPr>
          <w:rFonts w:ascii="仿宋_GB2312" w:hAnsi="仿宋_GB2312" w:eastAsia="仿宋_GB2312"/>
          <w:sz w:val="32"/>
          <w:szCs w:val="32"/>
        </w:rPr>
      </w:pPr>
      <w:r>
        <w:rPr>
          <w:rFonts w:hint="eastAsia" w:ascii="黑体" w:hAnsi="黑体" w:eastAsia="黑体" w:cs="仿宋_GB2312"/>
          <w:sz w:val="24"/>
          <w:szCs w:val="32"/>
        </w:rPr>
        <w:t>表2</w:t>
      </w:r>
      <w:r>
        <w:rPr>
          <w:rFonts w:ascii="黑体" w:hAnsi="黑体" w:eastAsia="黑体" w:cs="仿宋_GB2312"/>
          <w:sz w:val="24"/>
          <w:szCs w:val="32"/>
        </w:rPr>
        <w:t xml:space="preserve"> </w:t>
      </w:r>
      <w:r>
        <w:rPr>
          <w:rFonts w:hint="eastAsia" w:ascii="黑体" w:hAnsi="黑体" w:eastAsia="黑体" w:cs="仿宋_GB2312"/>
          <w:sz w:val="24"/>
          <w:szCs w:val="32"/>
        </w:rPr>
        <w:t>2</w:t>
      </w:r>
      <w:r>
        <w:rPr>
          <w:rFonts w:ascii="黑体" w:hAnsi="黑体" w:eastAsia="黑体" w:cs="仿宋_GB2312"/>
          <w:sz w:val="24"/>
          <w:szCs w:val="32"/>
        </w:rPr>
        <w:t>01</w:t>
      </w:r>
      <w:r>
        <w:rPr>
          <w:rFonts w:hint="eastAsia" w:ascii="黑体" w:hAnsi="黑体" w:eastAsia="黑体" w:cs="仿宋_GB2312"/>
          <w:sz w:val="24"/>
          <w:szCs w:val="32"/>
        </w:rPr>
        <w:t>9</w:t>
      </w:r>
      <w:r>
        <w:rPr>
          <w:rFonts w:ascii="黑体" w:hAnsi="黑体" w:eastAsia="黑体" w:cs="仿宋_GB2312"/>
          <w:sz w:val="24"/>
          <w:szCs w:val="32"/>
        </w:rPr>
        <w:t>年度</w:t>
      </w:r>
      <w:r>
        <w:rPr>
          <w:rFonts w:hint="eastAsia" w:ascii="黑体" w:hAnsi="黑体" w:eastAsia="黑体" w:cs="仿宋_GB2312"/>
          <w:sz w:val="24"/>
          <w:szCs w:val="32"/>
        </w:rPr>
        <w:t>高质量“美丽大鹏”建设重点项目</w:t>
      </w:r>
      <w:r>
        <w:rPr>
          <w:rFonts w:ascii="黑体" w:hAnsi="黑体" w:eastAsia="黑体" w:cs="仿宋_GB2312"/>
          <w:sz w:val="24"/>
          <w:szCs w:val="32"/>
        </w:rPr>
        <w:t>一览表</w:t>
      </w:r>
    </w:p>
    <w:tbl>
      <w:tblPr>
        <w:tblStyle w:val="12"/>
        <w:tblW w:w="52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3758"/>
        <w:gridCol w:w="5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blHeader/>
          <w:jc w:val="center"/>
        </w:trPr>
        <w:tc>
          <w:tcPr>
            <w:tcW w:w="395" w:type="pct"/>
            <w:shd w:val="clear" w:color="auto" w:fill="D9D9D9"/>
            <w:vAlign w:val="center"/>
          </w:tcPr>
          <w:p>
            <w:pPr>
              <w:spacing w:line="240" w:lineRule="exact"/>
              <w:jc w:val="center"/>
              <w:rPr>
                <w:rFonts w:ascii="宋体" w:hAnsi="宋体"/>
                <w:b/>
              </w:rPr>
            </w:pPr>
            <w:r>
              <w:rPr>
                <w:rFonts w:hint="eastAsia" w:ascii="宋体" w:hAnsi="宋体"/>
                <w:b/>
              </w:rPr>
              <w:t>序号</w:t>
            </w:r>
          </w:p>
        </w:tc>
        <w:tc>
          <w:tcPr>
            <w:tcW w:w="1970" w:type="pct"/>
            <w:shd w:val="clear" w:color="auto" w:fill="D9D9D9"/>
            <w:vAlign w:val="center"/>
          </w:tcPr>
          <w:p>
            <w:pPr>
              <w:spacing w:line="240" w:lineRule="exact"/>
              <w:jc w:val="center"/>
              <w:rPr>
                <w:rFonts w:ascii="宋体" w:hAnsi="宋体"/>
                <w:b/>
              </w:rPr>
            </w:pPr>
            <w:r>
              <w:rPr>
                <w:rFonts w:hint="eastAsia" w:ascii="宋体" w:hAnsi="宋体"/>
                <w:b/>
              </w:rPr>
              <w:t>项目名称</w:t>
            </w:r>
          </w:p>
        </w:tc>
        <w:tc>
          <w:tcPr>
            <w:tcW w:w="2634" w:type="pct"/>
            <w:shd w:val="clear" w:color="auto" w:fill="D9D9D9"/>
            <w:vAlign w:val="center"/>
          </w:tcPr>
          <w:p>
            <w:pPr>
              <w:spacing w:line="240" w:lineRule="exact"/>
              <w:jc w:val="center"/>
              <w:rPr>
                <w:rFonts w:ascii="宋体" w:hAnsi="宋体"/>
                <w:b/>
              </w:rPr>
            </w:pPr>
            <w:r>
              <w:rPr>
                <w:rFonts w:hint="eastAsia" w:ascii="宋体" w:hAnsi="宋体"/>
                <w:b/>
              </w:rPr>
              <w:t>工作目标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95" w:type="pct"/>
            <w:vAlign w:val="center"/>
          </w:tcPr>
          <w:p>
            <w:pPr>
              <w:adjustRightInd w:val="0"/>
              <w:snapToGrid w:val="0"/>
              <w:jc w:val="center"/>
              <w:rPr>
                <w:rFonts w:ascii="宋体" w:hAnsi="宋体" w:cs="仿宋_GB2312"/>
                <w:snapToGrid w:val="0"/>
                <w:kern w:val="0"/>
              </w:rPr>
            </w:pPr>
            <w:r>
              <w:rPr>
                <w:rFonts w:ascii="宋体" w:hAnsi="宋体" w:cs="仿宋_GB2312"/>
                <w:snapToGrid w:val="0"/>
                <w:kern w:val="0"/>
              </w:rPr>
              <w:t>1</w:t>
            </w:r>
          </w:p>
        </w:tc>
        <w:tc>
          <w:tcPr>
            <w:tcW w:w="1970" w:type="pct"/>
            <w:vAlign w:val="center"/>
          </w:tcPr>
          <w:p>
            <w:pPr>
              <w:adjustRightInd w:val="0"/>
              <w:snapToGrid w:val="0"/>
              <w:jc w:val="center"/>
              <w:rPr>
                <w:rFonts w:ascii="宋体" w:hAnsi="宋体" w:cs="仿宋_GB2312"/>
                <w:snapToGrid w:val="0"/>
                <w:kern w:val="0"/>
              </w:rPr>
            </w:pPr>
            <w:r>
              <w:rPr>
                <w:rFonts w:hint="eastAsia" w:ascii="宋体" w:hAnsi="宋体" w:cs="仿宋_GB2312"/>
                <w:snapToGrid w:val="0"/>
                <w:kern w:val="0"/>
              </w:rPr>
              <w:t>坝光现代产业先导区建设</w:t>
            </w:r>
          </w:p>
        </w:tc>
        <w:tc>
          <w:tcPr>
            <w:tcW w:w="2634" w:type="pct"/>
            <w:vAlign w:val="center"/>
          </w:tcPr>
          <w:p>
            <w:pPr>
              <w:adjustRightInd w:val="0"/>
              <w:snapToGrid w:val="0"/>
              <w:rPr>
                <w:rFonts w:ascii="宋体" w:hAnsi="宋体" w:cs="仿宋_GB2312"/>
                <w:snapToGrid w:val="0"/>
                <w:kern w:val="0"/>
              </w:rPr>
            </w:pPr>
            <w:r>
              <w:rPr>
                <w:rFonts w:hint="eastAsia" w:ascii="宋体" w:hAnsi="宋体" w:cs="仿宋_GB2312"/>
                <w:snapToGrid w:val="0"/>
                <w:kern w:val="0"/>
              </w:rPr>
              <w:t>创新招商引资引智和园区开发模式，建立健全政企合作项目推进决策机制，引导社会资本参与生物谷开发运营，打造现代产业先导区。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3" w:hRule="atLeast"/>
          <w:jc w:val="center"/>
        </w:trPr>
        <w:tc>
          <w:tcPr>
            <w:tcW w:w="395"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2</w:t>
            </w:r>
          </w:p>
        </w:tc>
        <w:tc>
          <w:tcPr>
            <w:tcW w:w="1970"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坝光CIM数据管理与应用平台</w:t>
            </w:r>
          </w:p>
        </w:tc>
        <w:tc>
          <w:tcPr>
            <w:tcW w:w="2634" w:type="pct"/>
            <w:vAlign w:val="center"/>
          </w:tcPr>
          <w:p>
            <w:pPr>
              <w:adjustRightInd w:val="0"/>
              <w:snapToGrid w:val="0"/>
              <w:rPr>
                <w:rFonts w:ascii="宋体" w:hAnsi="宋体" w:cs="仿宋_GB2312"/>
                <w:snapToGrid w:val="0"/>
                <w:kern w:val="0"/>
              </w:rPr>
            </w:pPr>
            <w:r>
              <w:rPr>
                <w:rFonts w:hint="eastAsia" w:ascii="宋体" w:hAnsi="宋体" w:cs="仿宋_GB2312"/>
                <w:snapToGrid w:val="0"/>
                <w:kern w:val="0"/>
              </w:rPr>
              <w:t>打造坝光CIM数据管理与应用平台，全面推动BIM信息技术在坝光片区公共工程建设和管理中的应用。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1" w:hRule="atLeast"/>
          <w:jc w:val="center"/>
        </w:trPr>
        <w:tc>
          <w:tcPr>
            <w:tcW w:w="395"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3</w:t>
            </w:r>
          </w:p>
        </w:tc>
        <w:tc>
          <w:tcPr>
            <w:tcW w:w="1970"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坝光展示厅</w:t>
            </w:r>
          </w:p>
        </w:tc>
        <w:tc>
          <w:tcPr>
            <w:tcW w:w="2634" w:type="pct"/>
            <w:vAlign w:val="center"/>
          </w:tcPr>
          <w:p>
            <w:pPr>
              <w:adjustRightInd w:val="0"/>
              <w:snapToGrid w:val="0"/>
              <w:rPr>
                <w:rFonts w:ascii="宋体" w:hAnsi="宋体" w:cs="仿宋_GB2312"/>
                <w:snapToGrid w:val="0"/>
                <w:kern w:val="0"/>
              </w:rPr>
            </w:pPr>
            <w:r>
              <w:rPr>
                <w:rFonts w:hint="eastAsia" w:ascii="宋体" w:hAnsi="宋体" w:cs="仿宋_GB2312"/>
                <w:snapToGrid w:val="0"/>
                <w:kern w:val="0"/>
              </w:rPr>
              <w:t>坝光展示厅投入使用。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jc w:val="center"/>
        </w:trPr>
        <w:tc>
          <w:tcPr>
            <w:tcW w:w="395"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4</w:t>
            </w:r>
          </w:p>
        </w:tc>
        <w:tc>
          <w:tcPr>
            <w:tcW w:w="1970"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坝光重点开发区内投资建设</w:t>
            </w:r>
          </w:p>
        </w:tc>
        <w:tc>
          <w:tcPr>
            <w:tcW w:w="2634" w:type="pct"/>
            <w:vAlign w:val="center"/>
          </w:tcPr>
          <w:p>
            <w:r>
              <w:rPr>
                <w:rFonts w:hint="eastAsia"/>
              </w:rPr>
              <w:t>2019年完成坝光重点开发区内总投资26亿元。</w:t>
            </w:r>
          </w:p>
        </w:tc>
      </w:tr>
    </w:tbl>
    <w:p>
      <w:pPr>
        <w:pStyle w:val="4"/>
        <w:rPr>
          <w:color w:val="auto"/>
        </w:rPr>
      </w:pPr>
      <w:r>
        <w:rPr>
          <w:rFonts w:hint="eastAsia"/>
          <w:color w:val="auto"/>
        </w:rPr>
        <w:t>（三）2019年部门预算编制情况</w:t>
      </w:r>
    </w:p>
    <w:p>
      <w:pPr>
        <w:pStyle w:val="5"/>
        <w:rPr>
          <w:color w:val="auto"/>
        </w:rPr>
      </w:pPr>
      <w:r>
        <w:rPr>
          <w:rFonts w:hint="eastAsia"/>
          <w:color w:val="auto"/>
        </w:rPr>
        <w:t>1.部门预算编制合理规范</w:t>
      </w:r>
    </w:p>
    <w:p>
      <w:pPr>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我署按照《</w:t>
      </w:r>
      <w:r>
        <w:rPr>
          <w:rFonts w:hint="eastAsia" w:ascii="仿宋_GB2312" w:hAnsi="Adobe 楷体 Std R" w:eastAsia="仿宋_GB2312"/>
          <w:sz w:val="32"/>
          <w:szCs w:val="32"/>
        </w:rPr>
        <w:t>深圳市大鹏新区发展和财政局关于印发2019年新区预算和2019-2021年中期财政规划编制方案的通知</w:t>
      </w:r>
      <w:r>
        <w:rPr>
          <w:rFonts w:hint="eastAsia" w:ascii="仿宋_GB2312" w:hAnsi="仿宋_GB2312" w:eastAsia="仿宋_GB2312" w:cs="仿宋_GB2312"/>
          <w:sz w:val="32"/>
          <w:szCs w:val="32"/>
        </w:rPr>
        <w:t>》及新区发展和财政局有关预算编制管理规定的要求，开展201</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年部门预算编制工作，紧密结合我署职能，按照收支平衡、保障重点的原则，合理编制部门预算。</w:t>
      </w:r>
    </w:p>
    <w:p>
      <w:pPr>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署由综合部牵头开展部门预算编制工作，各部门按照新区预算编制工作要求并结合本部门业务开展情况，编制预算建议数上报综合部，由综合部预算管理人员审核汇总，形成部门年度预算文件并提请领导审议，审议通过后进行“一上”申报，在新区发展和财政局进行“一下”批复后，根据“一下”数据修改预算，经署领导同意后进行“二上”申报，向新区发展和财政局上报部门预算草案。</w:t>
      </w:r>
    </w:p>
    <w:p>
      <w:pPr>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署部门预算编制、分配符合本部门职责、符合新区党工委管委会方针政策和工作要求，部门预算资金能根据年度工作重点，在不同项目、不同用途之间分配合理；专项资金预算编制细化程度合理，不存在因主观原因引起的年中大额调剂导致部门预决算差异过大问题；功能分类和经济分类编制准确，未发生项目之间频繁调剂；部门预算分配不固化，能根据实际情况在同一项目内合理调整，项目支出进度良好、完成率高。</w:t>
      </w:r>
    </w:p>
    <w:p>
      <w:pPr>
        <w:pStyle w:val="5"/>
        <w:rPr>
          <w:color w:val="auto"/>
        </w:rPr>
      </w:pPr>
      <w:r>
        <w:rPr>
          <w:rFonts w:hint="eastAsia"/>
          <w:color w:val="auto"/>
        </w:rPr>
        <w:t>2</w:t>
      </w:r>
      <w:r>
        <w:rPr>
          <w:color w:val="auto"/>
        </w:rPr>
        <w:t>.</w:t>
      </w:r>
      <w:r>
        <w:rPr>
          <w:rFonts w:hint="eastAsia"/>
          <w:color w:val="auto"/>
        </w:rPr>
        <w:t>绩效目标设置完整明确</w:t>
      </w:r>
    </w:p>
    <w:p>
      <w:pPr>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新区财政部门2019年预算绩效管理工作安排，我署将“深圳国际生物谷智慧坝光总体规划课题研究服务”项目纳入部门预算绩效管理和编制预算绩效目标，同时填报《部门预算重点项目目标表》，分别从项目设立依据、项目申报必要性、项目申报可行性等方面明确项目开展的年度总目标。同时，按照新区财政部门2020年预算绩效管理要求，我署在开展2019年绩效自评工作前，将所有部门预算项目补充完善绩效目标设置，分别从产出目标和效益目标设置了三级指标，根据工作计划、行业标准、历史标准等定性定量明确了指标目标值，实现绩效目标全覆盖，同时根据部门职责，合理设置部门整体个性化绩效指标。绩效目标设置的完整性、明确性，能够体现本单位履职效果的社会效益指标，绩效目标的目标值测算能符合客观实际情况。</w:t>
      </w:r>
    </w:p>
    <w:p>
      <w:pPr>
        <w:pStyle w:val="4"/>
        <w:rPr>
          <w:rFonts w:ascii="仿宋_GB2312" w:hAnsi="楷体_GB2312" w:eastAsia="仿宋_GB2312" w:cs="楷体_GB2312"/>
          <w:color w:val="auto"/>
        </w:rPr>
      </w:pPr>
      <w:r>
        <w:rPr>
          <w:rStyle w:val="21"/>
          <w:rFonts w:hint="eastAsia"/>
          <w:b/>
          <w:bCs/>
          <w:color w:val="auto"/>
        </w:rPr>
        <w:t>（四）2019年部门预算执行情况</w:t>
      </w:r>
    </w:p>
    <w:p>
      <w:pPr>
        <w:snapToGrid w:val="0"/>
        <w:spacing w:line="580" w:lineRule="exact"/>
        <w:ind w:firstLine="640" w:firstLineChars="200"/>
        <w:rPr>
          <w:rFonts w:ascii="仿宋_GB2312" w:hAnsi="楷体_GB2312" w:eastAsia="仿宋_GB2312" w:cs="楷体_GB2312"/>
          <w:bCs/>
          <w:sz w:val="32"/>
          <w:szCs w:val="32"/>
        </w:rPr>
      </w:pPr>
      <w:r>
        <w:rPr>
          <w:rFonts w:hint="eastAsia" w:ascii="仿宋_GB2312" w:hAnsi="楷体_GB2312" w:eastAsia="仿宋_GB2312" w:cs="楷体_GB2312"/>
          <w:bCs/>
          <w:sz w:val="32"/>
          <w:szCs w:val="32"/>
        </w:rPr>
        <w:t>我署年初部门预算为3127.12万元，年中调整后预算5537.82万元，全年实际支出5537.71万元，全年预算执行率为100%，总体年度预算资金执行情况良好。</w:t>
      </w:r>
    </w:p>
    <w:p>
      <w:pPr>
        <w:pStyle w:val="5"/>
        <w:rPr>
          <w:color w:val="auto"/>
        </w:rPr>
      </w:pPr>
      <w:r>
        <w:rPr>
          <w:color w:val="auto"/>
        </w:rPr>
        <w:t>1.</w:t>
      </w:r>
      <w:r>
        <w:rPr>
          <w:rFonts w:hint="eastAsia"/>
          <w:color w:val="auto"/>
        </w:rPr>
        <w:t>财务合规性</w:t>
      </w:r>
    </w:p>
    <w:p>
      <w:pPr>
        <w:snapToGrid w:val="0"/>
        <w:spacing w:line="580" w:lineRule="exact"/>
        <w:ind w:firstLine="640" w:firstLineChars="200"/>
        <w:rPr>
          <w:rFonts w:ascii="仿宋_GB2312" w:hAnsi="楷体_GB2312" w:eastAsia="仿宋_GB2312" w:cs="楷体_GB2312"/>
          <w:bCs/>
          <w:sz w:val="32"/>
          <w:szCs w:val="32"/>
        </w:rPr>
      </w:pPr>
      <w:r>
        <w:rPr>
          <w:rFonts w:hint="eastAsia" w:ascii="仿宋_GB2312" w:hAnsi="楷体_GB2312" w:eastAsia="仿宋_GB2312" w:cs="楷体_GB2312"/>
          <w:bCs/>
          <w:sz w:val="32"/>
          <w:szCs w:val="32"/>
        </w:rPr>
        <w:t>结合我署内部管理要求及本次绩效自评工作业务自查，我署资金支出规范，资金管理、费用标准、支付严格按照预算批复、业务需求及相关财务制度规定执行，无超范围、超标准支出，不存在截留、挤占、挪用项目资金情况。预算执行规范，按规定履行预算调整报批手续，但由于本年度业务开展情况变化，预算金额也发生较大变动，调整、调剂资金累计超过10%，主要原因为基本建设项目年中追加预算。会计核算制度执行规范，不存在支出依据不合规、虚列项目支出的情况，重大的项目支出需经过前期评估论证和我署重大议事会议集体决策。</w:t>
      </w:r>
    </w:p>
    <w:p>
      <w:pPr>
        <w:pStyle w:val="5"/>
        <w:rPr>
          <w:color w:val="auto"/>
        </w:rPr>
      </w:pPr>
      <w:r>
        <w:rPr>
          <w:color w:val="auto"/>
        </w:rPr>
        <w:t>2.</w:t>
      </w:r>
      <w:r>
        <w:rPr>
          <w:rFonts w:hint="eastAsia"/>
          <w:color w:val="auto"/>
        </w:rPr>
        <w:t>预决算信息公开</w:t>
      </w:r>
    </w:p>
    <w:p>
      <w:pPr>
        <w:snapToGrid w:val="0"/>
        <w:spacing w:line="580" w:lineRule="exact"/>
        <w:ind w:firstLine="640" w:firstLineChars="200"/>
        <w:rPr>
          <w:rFonts w:ascii="仿宋_GB2312" w:hAnsi="楷体_GB2312" w:eastAsia="仿宋_GB2312" w:cs="楷体_GB2312"/>
          <w:bCs/>
          <w:sz w:val="32"/>
          <w:szCs w:val="32"/>
        </w:rPr>
      </w:pPr>
      <w:r>
        <w:rPr>
          <w:rFonts w:hint="eastAsia" w:ascii="仿宋_GB2312" w:hAnsi="楷体_GB2312" w:eastAsia="仿宋_GB2312" w:cs="楷体_GB2312"/>
          <w:bCs/>
          <w:sz w:val="32"/>
          <w:szCs w:val="32"/>
        </w:rPr>
        <w:t>按照《中央、国务院关于进一步推进预算公开工作的意见》（中办发〔2016〕13号）、《地方预决算公开操作规程》（财预〔2016〕143号）及《深圳市预算公开工作管理办法》（深财预〔2016〕136号）等相关要求，已于201</w:t>
      </w:r>
      <w:r>
        <w:rPr>
          <w:rFonts w:ascii="仿宋_GB2312" w:hAnsi="楷体_GB2312" w:eastAsia="仿宋_GB2312" w:cs="楷体_GB2312"/>
          <w:bCs/>
          <w:sz w:val="32"/>
          <w:szCs w:val="32"/>
        </w:rPr>
        <w:t>9</w:t>
      </w:r>
      <w:r>
        <w:rPr>
          <w:rFonts w:hint="eastAsia" w:ascii="仿宋_GB2312" w:hAnsi="楷体_GB2312" w:eastAsia="仿宋_GB2312" w:cs="楷体_GB2312"/>
          <w:bCs/>
          <w:sz w:val="32"/>
          <w:szCs w:val="32"/>
        </w:rPr>
        <w:t>年2月22日、2</w:t>
      </w:r>
      <w:r>
        <w:rPr>
          <w:rFonts w:ascii="仿宋_GB2312" w:hAnsi="楷体_GB2312" w:eastAsia="仿宋_GB2312" w:cs="楷体_GB2312"/>
          <w:bCs/>
          <w:sz w:val="32"/>
          <w:szCs w:val="32"/>
        </w:rPr>
        <w:t>019</w:t>
      </w:r>
      <w:r>
        <w:rPr>
          <w:rFonts w:hint="eastAsia" w:ascii="仿宋_GB2312" w:hAnsi="楷体_GB2312" w:eastAsia="仿宋_GB2312" w:cs="楷体_GB2312"/>
          <w:bCs/>
          <w:sz w:val="32"/>
          <w:szCs w:val="32"/>
        </w:rPr>
        <w:t>年9月29日通过大鹏新区政府在线网站“政务公开”-“各部门信息公开目录”-“坝光开发署”-“资金信息”栏向社会公开了《2019年大鹏新区深圳国际生物谷坝光核心启动区指挥部办公室部门预算</w:t>
      </w:r>
      <w:r>
        <w:rPr>
          <w:rFonts w:hint="eastAsia" w:ascii="仿宋_GB2312" w:hAnsi="楷体_GB2312" w:eastAsia="仿宋_GB2312" w:cs="楷体_GB2312"/>
          <w:bCs/>
          <w:sz w:val="32"/>
          <w:szCs w:val="32"/>
          <w:lang w:eastAsia="zh-CN"/>
        </w:rPr>
        <w:t>》《</w:t>
      </w:r>
      <w:r>
        <w:rPr>
          <w:rFonts w:hint="eastAsia" w:ascii="仿宋_GB2312" w:hAnsi="楷体_GB2312" w:eastAsia="仿宋_GB2312" w:cs="楷体_GB2312"/>
          <w:bCs/>
          <w:sz w:val="32"/>
          <w:szCs w:val="32"/>
        </w:rPr>
        <w:t>深圳市大鹏新区坝光开发署2018年度部门决算》，201</w:t>
      </w:r>
      <w:r>
        <w:rPr>
          <w:rFonts w:ascii="仿宋_GB2312" w:hAnsi="楷体_GB2312" w:eastAsia="仿宋_GB2312" w:cs="楷体_GB2312"/>
          <w:bCs/>
          <w:sz w:val="32"/>
          <w:szCs w:val="32"/>
        </w:rPr>
        <w:t>9</w:t>
      </w:r>
      <w:r>
        <w:rPr>
          <w:rFonts w:hint="eastAsia" w:ascii="仿宋_GB2312" w:hAnsi="楷体_GB2312" w:eastAsia="仿宋_GB2312" w:cs="楷体_GB2312"/>
          <w:bCs/>
          <w:sz w:val="32"/>
          <w:szCs w:val="32"/>
        </w:rPr>
        <w:t>年度部门决算公开信息，我署将根据新区财政部门文件要求进行公开。</w:t>
      </w:r>
    </w:p>
    <w:p>
      <w:pPr>
        <w:pStyle w:val="5"/>
        <w:rPr>
          <w:color w:val="auto"/>
        </w:rPr>
      </w:pPr>
      <w:r>
        <w:rPr>
          <w:color w:val="auto"/>
        </w:rPr>
        <w:t>3.</w:t>
      </w:r>
      <w:r>
        <w:rPr>
          <w:rFonts w:hint="eastAsia"/>
          <w:color w:val="auto"/>
        </w:rPr>
        <w:t>项目管理</w:t>
      </w:r>
    </w:p>
    <w:p>
      <w:pPr>
        <w:snapToGrid w:val="0"/>
        <w:spacing w:line="580" w:lineRule="exact"/>
        <w:ind w:firstLine="640" w:firstLineChars="200"/>
        <w:rPr>
          <w:rFonts w:ascii="仿宋_GB2312" w:hAnsi="楷体_GB2312" w:eastAsia="仿宋_GB2312" w:cs="楷体_GB2312"/>
          <w:bCs/>
          <w:sz w:val="32"/>
          <w:szCs w:val="32"/>
        </w:rPr>
      </w:pPr>
      <w:r>
        <w:rPr>
          <w:rFonts w:hint="eastAsia" w:ascii="仿宋_GB2312" w:hAnsi="楷体_GB2312" w:eastAsia="仿宋_GB2312" w:cs="楷体_GB2312"/>
          <w:bCs/>
          <w:sz w:val="32"/>
          <w:szCs w:val="32"/>
        </w:rPr>
        <w:t>201</w:t>
      </w:r>
      <w:r>
        <w:rPr>
          <w:rFonts w:ascii="仿宋_GB2312" w:hAnsi="楷体_GB2312" w:eastAsia="仿宋_GB2312" w:cs="楷体_GB2312"/>
          <w:bCs/>
          <w:sz w:val="32"/>
          <w:szCs w:val="32"/>
        </w:rPr>
        <w:t>9</w:t>
      </w:r>
      <w:r>
        <w:rPr>
          <w:rFonts w:hint="eastAsia" w:ascii="仿宋_GB2312" w:hAnsi="楷体_GB2312" w:eastAsia="仿宋_GB2312" w:cs="楷体_GB2312"/>
          <w:bCs/>
          <w:sz w:val="32"/>
          <w:szCs w:val="32"/>
        </w:rPr>
        <w:t>年项目支出预算2587.94万元，年中调整后预算4979.73万元，实际支出4979.73万元，完成比例为100%。其中基本建设类项目支出预算86.12万元，年中调整后预算2973.36万元，实际支出2973.36万元，完成比例为100%。</w:t>
      </w:r>
    </w:p>
    <w:p>
      <w:pPr>
        <w:snapToGrid w:val="0"/>
        <w:spacing w:line="580" w:lineRule="exact"/>
        <w:ind w:firstLine="640" w:firstLineChars="200"/>
        <w:rPr>
          <w:rFonts w:ascii="仿宋_GB2312" w:hAnsi="楷体_GB2312" w:eastAsia="仿宋_GB2312" w:cs="楷体_GB2312"/>
          <w:bCs/>
          <w:sz w:val="32"/>
          <w:szCs w:val="32"/>
        </w:rPr>
      </w:pPr>
      <w:r>
        <w:rPr>
          <w:rFonts w:hint="eastAsia" w:ascii="仿宋_GB2312" w:hAnsi="楷体_GB2312" w:eastAsia="仿宋_GB2312" w:cs="楷体_GB2312"/>
          <w:bCs/>
          <w:sz w:val="32"/>
          <w:szCs w:val="32"/>
        </w:rPr>
        <w:t>项目支出预算的安排与单位履职相符合，财政资金保障充足有效。项目的设立按规定履行报批程序，申报、批复程序符合相关管理办法，项目的招投标、项目支出、调整及完成验收等规范，项目验收均按规定履行相应手续。项目资金支出监管按我署财务管理规定在会计核算方面进行严格的审核支付管理，每月进行预算执行分析，年中执行预算绩效运行监控，对项目资金使用及绩效目标实现程度实行“双监控”，重点关注执行进度偏慢及绩效目标偏离较大的项目，督促项目负责部门采取改进措施；同时由审计机构进行专项或抽样性检查，及时监控发现问题马上督促整改，项目支出建立了有效的预算资金的管理机制且执行良好。</w:t>
      </w:r>
    </w:p>
    <w:p>
      <w:pPr>
        <w:pStyle w:val="5"/>
        <w:rPr>
          <w:color w:val="auto"/>
        </w:rPr>
      </w:pPr>
      <w:r>
        <w:rPr>
          <w:color w:val="auto"/>
        </w:rPr>
        <w:t>4.</w:t>
      </w:r>
      <w:r>
        <w:rPr>
          <w:rFonts w:hint="eastAsia"/>
          <w:color w:val="auto"/>
        </w:rPr>
        <w:t>资产管理</w:t>
      </w:r>
    </w:p>
    <w:p>
      <w:pPr>
        <w:snapToGrid w:val="0"/>
        <w:spacing w:line="580" w:lineRule="exact"/>
        <w:ind w:firstLine="640" w:firstLineChars="200"/>
        <w:rPr>
          <w:rFonts w:ascii="仿宋_GB2312" w:hAnsi="楷体_GB2312" w:eastAsia="仿宋_GB2312" w:cs="楷体_GB2312"/>
          <w:bCs/>
          <w:sz w:val="32"/>
          <w:szCs w:val="32"/>
        </w:rPr>
      </w:pPr>
      <w:r>
        <w:rPr>
          <w:rFonts w:hint="eastAsia" w:ascii="仿宋_GB2312" w:hAnsi="楷体_GB2312" w:eastAsia="仿宋_GB2312" w:cs="楷体_GB2312"/>
          <w:bCs/>
          <w:sz w:val="32"/>
          <w:szCs w:val="32"/>
        </w:rPr>
        <w:t>我署201</w:t>
      </w:r>
      <w:r>
        <w:rPr>
          <w:rFonts w:ascii="仿宋_GB2312" w:hAnsi="楷体_GB2312" w:eastAsia="仿宋_GB2312" w:cs="楷体_GB2312"/>
          <w:bCs/>
          <w:sz w:val="32"/>
          <w:szCs w:val="32"/>
        </w:rPr>
        <w:t>9</w:t>
      </w:r>
      <w:r>
        <w:rPr>
          <w:rFonts w:hint="eastAsia" w:ascii="仿宋_GB2312" w:hAnsi="楷体_GB2312" w:eastAsia="仿宋_GB2312" w:cs="楷体_GB2312"/>
          <w:bCs/>
          <w:sz w:val="32"/>
          <w:szCs w:val="32"/>
        </w:rPr>
        <w:t>年度总资产7907.71万元，其中流动资产7.87万元，固定资产净值90.74万元，在建工程7809.11万元，201</w:t>
      </w:r>
      <w:r>
        <w:rPr>
          <w:rFonts w:ascii="仿宋_GB2312" w:hAnsi="楷体_GB2312" w:eastAsia="仿宋_GB2312" w:cs="楷体_GB2312"/>
          <w:bCs/>
          <w:sz w:val="32"/>
          <w:szCs w:val="32"/>
        </w:rPr>
        <w:t>9</w:t>
      </w:r>
      <w:r>
        <w:rPr>
          <w:rFonts w:hint="eastAsia" w:ascii="仿宋_GB2312" w:hAnsi="楷体_GB2312" w:eastAsia="仿宋_GB2312" w:cs="楷体_GB2312"/>
          <w:bCs/>
          <w:sz w:val="32"/>
          <w:szCs w:val="32"/>
        </w:rPr>
        <w:t>年总资产较201</w:t>
      </w:r>
      <w:r>
        <w:rPr>
          <w:rFonts w:ascii="仿宋_GB2312" w:hAnsi="楷体_GB2312" w:eastAsia="仿宋_GB2312" w:cs="楷体_GB2312"/>
          <w:bCs/>
          <w:sz w:val="32"/>
          <w:szCs w:val="32"/>
        </w:rPr>
        <w:t>8</w:t>
      </w:r>
      <w:r>
        <w:rPr>
          <w:rFonts w:hint="eastAsia" w:ascii="仿宋_GB2312" w:hAnsi="楷体_GB2312" w:eastAsia="仿宋_GB2312" w:cs="楷体_GB2312"/>
          <w:bCs/>
          <w:sz w:val="32"/>
          <w:szCs w:val="32"/>
        </w:rPr>
        <w:t>年增加2986.19万元，主要原因是在建工程增加。</w:t>
      </w:r>
    </w:p>
    <w:p>
      <w:pPr>
        <w:snapToGrid w:val="0"/>
        <w:spacing w:line="580" w:lineRule="exact"/>
        <w:ind w:firstLine="640" w:firstLineChars="200"/>
        <w:rPr>
          <w:rFonts w:ascii="仿宋_GB2312" w:hAnsi="楷体_GB2312" w:eastAsia="仿宋_GB2312" w:cs="楷体_GB2312"/>
          <w:bCs/>
          <w:sz w:val="32"/>
          <w:szCs w:val="32"/>
        </w:rPr>
      </w:pPr>
      <w:r>
        <w:rPr>
          <w:rFonts w:hint="eastAsia" w:ascii="仿宋_GB2312" w:hAnsi="楷体_GB2312" w:eastAsia="仿宋_GB2312" w:cs="楷体_GB2312"/>
          <w:bCs/>
          <w:sz w:val="32"/>
          <w:szCs w:val="32"/>
        </w:rPr>
        <w:t>我署国有资产的配置标准均符合资产管理规定，设立了资产管理专员，对国有资产的台账登记和盘点工作落实到位，固定资产账实、</w:t>
      </w:r>
      <w:r>
        <w:rPr>
          <w:rFonts w:hint="eastAsia" w:ascii="仿宋_GB2312" w:hAnsi="楷体_GB2312" w:eastAsia="仿宋_GB2312" w:cs="楷体_GB2312"/>
          <w:bCs/>
          <w:sz w:val="32"/>
          <w:szCs w:val="32"/>
          <w:lang w:eastAsia="zh-CN"/>
        </w:rPr>
        <w:t>账</w:t>
      </w:r>
      <w:r>
        <w:rPr>
          <w:rFonts w:hint="eastAsia" w:ascii="仿宋_GB2312" w:hAnsi="楷体_GB2312" w:eastAsia="仿宋_GB2312" w:cs="楷体_GB2312"/>
          <w:bCs/>
          <w:sz w:val="32"/>
          <w:szCs w:val="32"/>
        </w:rPr>
        <w:t>相符，使用管理规范、保管完整，实现了资产的动态监管，运行安全。各部门资产配置效率较高，部分部门共享共用闲置资产，切实盘活了存量资产，提高了资产效率。固定资产总体使用率达90%以上。201</w:t>
      </w:r>
      <w:r>
        <w:rPr>
          <w:rFonts w:ascii="仿宋_GB2312" w:hAnsi="楷体_GB2312" w:eastAsia="仿宋_GB2312" w:cs="楷体_GB2312"/>
          <w:bCs/>
          <w:sz w:val="32"/>
          <w:szCs w:val="32"/>
        </w:rPr>
        <w:t>9</w:t>
      </w:r>
      <w:r>
        <w:rPr>
          <w:rFonts w:hint="eastAsia" w:ascii="仿宋_GB2312" w:hAnsi="楷体_GB2312" w:eastAsia="仿宋_GB2312" w:cs="楷体_GB2312"/>
          <w:bCs/>
          <w:sz w:val="32"/>
          <w:szCs w:val="32"/>
        </w:rPr>
        <w:t>年我署未发生资产有偿使用、资产处置等事宜。</w:t>
      </w:r>
    </w:p>
    <w:p>
      <w:pPr>
        <w:pStyle w:val="5"/>
        <w:rPr>
          <w:color w:val="auto"/>
        </w:rPr>
      </w:pPr>
      <w:r>
        <w:rPr>
          <w:color w:val="auto"/>
        </w:rPr>
        <w:t>5.</w:t>
      </w:r>
      <w:r>
        <w:rPr>
          <w:rFonts w:hint="eastAsia"/>
          <w:color w:val="auto"/>
        </w:rPr>
        <w:t>人员管理</w:t>
      </w:r>
    </w:p>
    <w:p>
      <w:pPr>
        <w:snapToGrid w:val="0"/>
        <w:spacing w:line="580" w:lineRule="exact"/>
        <w:ind w:firstLine="640" w:firstLineChars="200"/>
        <w:rPr>
          <w:rFonts w:ascii="仿宋_GB2312" w:hAnsi="楷体_GB2312" w:eastAsia="仿宋_GB2312" w:cs="楷体_GB2312"/>
          <w:bCs/>
          <w:sz w:val="32"/>
          <w:szCs w:val="32"/>
        </w:rPr>
      </w:pPr>
      <w:r>
        <w:rPr>
          <w:rFonts w:hint="eastAsia" w:ascii="仿宋_GB2312" w:hAnsi="楷体_GB2312" w:eastAsia="仿宋_GB2312" w:cs="楷体_GB2312"/>
          <w:bCs/>
          <w:sz w:val="32"/>
          <w:szCs w:val="32"/>
        </w:rPr>
        <w:t>我署核定编制人数12人，其中行政编制人数0人，事业编制人数12人。截至201</w:t>
      </w:r>
      <w:r>
        <w:rPr>
          <w:rFonts w:ascii="仿宋_GB2312" w:hAnsi="楷体_GB2312" w:eastAsia="仿宋_GB2312" w:cs="楷体_GB2312"/>
          <w:bCs/>
          <w:sz w:val="32"/>
          <w:szCs w:val="32"/>
        </w:rPr>
        <w:t>9</w:t>
      </w:r>
      <w:r>
        <w:rPr>
          <w:rFonts w:hint="eastAsia" w:ascii="仿宋_GB2312" w:hAnsi="楷体_GB2312" w:eastAsia="仿宋_GB2312" w:cs="楷体_GB2312"/>
          <w:bCs/>
          <w:sz w:val="32"/>
          <w:szCs w:val="32"/>
        </w:rPr>
        <w:t>年12月31日，实有职工人数</w:t>
      </w:r>
      <w:r>
        <w:rPr>
          <w:rFonts w:ascii="仿宋_GB2312" w:hAnsi="楷体_GB2312" w:eastAsia="仿宋_GB2312" w:cs="楷体_GB2312"/>
          <w:bCs/>
          <w:sz w:val="32"/>
          <w:szCs w:val="32"/>
        </w:rPr>
        <w:t>29</w:t>
      </w:r>
      <w:r>
        <w:rPr>
          <w:rFonts w:hint="eastAsia" w:ascii="仿宋_GB2312" w:hAnsi="楷体_GB2312" w:eastAsia="仿宋_GB2312" w:cs="楷体_GB2312"/>
          <w:bCs/>
          <w:sz w:val="32"/>
          <w:szCs w:val="32"/>
        </w:rPr>
        <w:t>人，离退休0人，编外人员</w:t>
      </w:r>
      <w:r>
        <w:rPr>
          <w:rFonts w:ascii="仿宋_GB2312" w:hAnsi="楷体_GB2312" w:eastAsia="仿宋_GB2312" w:cs="楷体_GB2312"/>
          <w:bCs/>
          <w:sz w:val="32"/>
          <w:szCs w:val="32"/>
        </w:rPr>
        <w:t>17</w:t>
      </w:r>
      <w:r>
        <w:rPr>
          <w:rFonts w:hint="eastAsia" w:ascii="仿宋_GB2312" w:hAnsi="楷体_GB2312" w:eastAsia="仿宋_GB2312" w:cs="楷体_GB2312"/>
          <w:bCs/>
          <w:sz w:val="32"/>
          <w:szCs w:val="32"/>
        </w:rPr>
        <w:t>人，占实有人员的</w:t>
      </w:r>
      <w:r>
        <w:rPr>
          <w:rFonts w:ascii="仿宋_GB2312" w:hAnsi="楷体_GB2312" w:eastAsia="仿宋_GB2312" w:cs="楷体_GB2312"/>
          <w:bCs/>
          <w:sz w:val="32"/>
          <w:szCs w:val="32"/>
        </w:rPr>
        <w:t>58.62</w:t>
      </w:r>
      <w:r>
        <w:rPr>
          <w:rFonts w:hint="eastAsia" w:ascii="仿宋_GB2312" w:hAnsi="楷体_GB2312" w:eastAsia="仿宋_GB2312" w:cs="楷体_GB2312"/>
          <w:bCs/>
          <w:sz w:val="32"/>
          <w:szCs w:val="32"/>
        </w:rPr>
        <w:t>%，编外人员比率较高，主要是由于项目业务开展工作的需要，以后年度需严格控制财政供养人员。</w:t>
      </w:r>
    </w:p>
    <w:p>
      <w:pPr>
        <w:pStyle w:val="5"/>
        <w:rPr>
          <w:color w:val="auto"/>
        </w:rPr>
      </w:pPr>
      <w:r>
        <w:rPr>
          <w:color w:val="auto"/>
        </w:rPr>
        <w:t>6.</w:t>
      </w:r>
      <w:r>
        <w:rPr>
          <w:rFonts w:hint="eastAsia"/>
          <w:color w:val="auto"/>
        </w:rPr>
        <w:t>制度管理</w:t>
      </w:r>
    </w:p>
    <w:p>
      <w:pPr>
        <w:snapToGrid w:val="0"/>
        <w:spacing w:line="580" w:lineRule="exact"/>
        <w:ind w:firstLine="640" w:firstLineChars="200"/>
        <w:rPr>
          <w:rFonts w:ascii="仿宋_GB2312" w:hAnsi="楷体_GB2312" w:eastAsia="仿宋_GB2312" w:cs="楷体_GB2312"/>
          <w:bCs/>
          <w:sz w:val="32"/>
          <w:szCs w:val="32"/>
        </w:rPr>
      </w:pPr>
      <w:r>
        <w:rPr>
          <w:rFonts w:hint="eastAsia" w:ascii="仿宋_GB2312" w:hAnsi="楷体_GB2312" w:eastAsia="仿宋_GB2312" w:cs="楷体_GB2312"/>
          <w:bCs/>
          <w:sz w:val="32"/>
          <w:szCs w:val="32"/>
        </w:rPr>
        <w:t>我署在财政资金管理、内部财务管理、预算绩效管理等方面都建立了较为完善的内部控制制度。目前我署已经印发了《深圳市大鹏新区坝光开发署会议制度</w:t>
      </w:r>
      <w:r>
        <w:rPr>
          <w:rFonts w:hint="eastAsia" w:ascii="仿宋_GB2312" w:hAnsi="楷体_GB2312" w:eastAsia="仿宋_GB2312" w:cs="楷体_GB2312"/>
          <w:bCs/>
          <w:sz w:val="32"/>
          <w:szCs w:val="32"/>
          <w:lang w:eastAsia="zh-CN"/>
        </w:rPr>
        <w:t>》《</w:t>
      </w:r>
      <w:r>
        <w:rPr>
          <w:rFonts w:hint="eastAsia" w:ascii="仿宋_GB2312" w:hAnsi="楷体_GB2312" w:eastAsia="仿宋_GB2312" w:cs="楷体_GB2312"/>
          <w:bCs/>
          <w:sz w:val="32"/>
          <w:szCs w:val="32"/>
        </w:rPr>
        <w:t>深圳市大鹏新区坝光开发署财务管理制度</w:t>
      </w:r>
      <w:r>
        <w:rPr>
          <w:rFonts w:hint="eastAsia" w:ascii="仿宋_GB2312" w:hAnsi="楷体_GB2312" w:eastAsia="仿宋_GB2312" w:cs="楷体_GB2312"/>
          <w:bCs/>
          <w:sz w:val="32"/>
          <w:szCs w:val="32"/>
          <w:lang w:eastAsia="zh-CN"/>
        </w:rPr>
        <w:t>》《</w:t>
      </w:r>
      <w:r>
        <w:rPr>
          <w:rFonts w:hint="eastAsia" w:ascii="仿宋_GB2312" w:hAnsi="楷体_GB2312" w:eastAsia="仿宋_GB2312" w:cs="楷体_GB2312"/>
          <w:bCs/>
          <w:sz w:val="32"/>
          <w:szCs w:val="32"/>
        </w:rPr>
        <w:t>深圳市大鹏新区坝光开发署政府采购管理办法</w:t>
      </w:r>
      <w:r>
        <w:rPr>
          <w:rFonts w:hint="eastAsia" w:ascii="仿宋_GB2312" w:hAnsi="楷体_GB2312" w:eastAsia="仿宋_GB2312" w:cs="楷体_GB2312"/>
          <w:bCs/>
          <w:sz w:val="32"/>
          <w:szCs w:val="32"/>
          <w:lang w:eastAsia="zh-CN"/>
        </w:rPr>
        <w:t>》《</w:t>
      </w:r>
      <w:r>
        <w:rPr>
          <w:rFonts w:hint="eastAsia" w:ascii="仿宋_GB2312" w:hAnsi="楷体_GB2312" w:eastAsia="仿宋_GB2312" w:cs="楷体_GB2312"/>
          <w:bCs/>
          <w:sz w:val="32"/>
          <w:szCs w:val="32"/>
        </w:rPr>
        <w:t>深圳市大鹏新区坝光开发署固定资产管理制度</w:t>
      </w:r>
      <w:r>
        <w:rPr>
          <w:rFonts w:hint="eastAsia" w:ascii="仿宋_GB2312" w:hAnsi="楷体_GB2312" w:eastAsia="仿宋_GB2312" w:cs="楷体_GB2312"/>
          <w:bCs/>
          <w:sz w:val="32"/>
          <w:szCs w:val="32"/>
          <w:lang w:eastAsia="zh-CN"/>
        </w:rPr>
        <w:t>》《</w:t>
      </w:r>
      <w:r>
        <w:rPr>
          <w:rFonts w:hint="eastAsia" w:ascii="仿宋_GB2312" w:hAnsi="楷体_GB2312" w:eastAsia="仿宋_GB2312" w:cs="楷体_GB2312"/>
          <w:bCs/>
          <w:sz w:val="32"/>
          <w:szCs w:val="32"/>
        </w:rPr>
        <w:t>深圳市大鹏新区坝光开发署合同管理制度》《深圳国际生物谷坝光核心启动区项目建设监督协调管理办法》等一系列管理制度，基本涵盖重大事项管理、预算管理、收支管理、政府采购管理、资产管理、工程项目管理、合同管理、会议管理等各部门基本业务活动，部门职能履行与预算执行得以保障。</w:t>
      </w:r>
    </w:p>
    <w:p>
      <w:pPr>
        <w:pStyle w:val="3"/>
      </w:pPr>
      <w:r>
        <w:rPr>
          <w:rFonts w:hint="eastAsia"/>
        </w:rPr>
        <w:t>二、部门（单位）主要履职绩效分析</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我署按照“部门职责—工作任务—预算项目”三个层级规范部门预算绩效管理结构，结合本部门主要职责和2019年重点工作任务，对预算使用绩效进行分析。分析内容包括但不限于以下几项：</w:t>
      </w:r>
    </w:p>
    <w:p>
      <w:pPr>
        <w:pStyle w:val="4"/>
        <w:rPr>
          <w:color w:val="auto"/>
        </w:rPr>
      </w:pPr>
      <w:r>
        <w:rPr>
          <w:rFonts w:hint="eastAsia"/>
          <w:color w:val="auto"/>
        </w:rPr>
        <w:t>（一）主要履职目标</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2019年部门主要履职工作目标为</w:t>
      </w:r>
      <w:r>
        <w:rPr>
          <w:rFonts w:hint="eastAsia" w:ascii="仿宋_GB2312" w:hAnsi="Calibri" w:eastAsia="仿宋_GB2312"/>
          <w:sz w:val="32"/>
          <w:szCs w:val="32"/>
        </w:rPr>
        <w:t>严格执行“在保护中开发、在开发中保护”的开发理念，坚持“三高三低三优”的建设标准</w:t>
      </w:r>
      <w:r>
        <w:rPr>
          <w:rFonts w:hint="eastAsia" w:ascii="仿宋_GB2312" w:eastAsia="仿宋_GB2312"/>
          <w:sz w:val="32"/>
          <w:szCs w:val="32"/>
        </w:rPr>
        <w:t>，全力推动坝光开发建设“出形象、出进度、出实效”，有效完成年度工作任务。</w:t>
      </w:r>
    </w:p>
    <w:p>
      <w:pPr>
        <w:pStyle w:val="4"/>
        <w:rPr>
          <w:rFonts w:ascii="仿宋_GB2312" w:eastAsia="仿宋_GB2312"/>
        </w:rPr>
      </w:pPr>
      <w:r>
        <w:rPr>
          <w:rFonts w:hint="eastAsia"/>
          <w:color w:val="auto"/>
        </w:rPr>
        <w:t>（二）主要履职情况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统筹协调片区工程项目建设。坚持落实指挥部三级会议协调机制，共召开指挥部会议4次，指挥部办公室会议9次，开发建设现场协调会12次，形成定期跟踪督办长效机制、坚持与主管执法单位建立长效沟通机制；还引进了深圳建科院作为坝光片区工程顾问及建筑师咨询服务团队，有效提升了解决坝光片区协调问题的能力，加大了重点项目攻坚克难的力度，加快推进署内工程建设项目，坝光展示厅和坝光展示厅多功能厅基本完工并进入试运营阶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打造超标准高质量园区。对标国家战略部署要求，开展了《粤港澳大湾区建设背景下坝光国际生物谷功能定位与协同发展策略研究》《深圳国际生物谷坝光核心启动区海洋经济创新发展策略研究》《坝光海域码头建设可行性分析研究》等课题研究；对标一流加快生态文明建设，开展了《深圳国际生物谷核心启动区生态系统修复提升策略研究》《深圳国际生物谷坝光核心启动区生活垃圾收运策略研究》《坝光片区慢行交通系统规划研究》等课题研究；对标智慧城市建设，建立坝光BIM数据管理平台大屏展示系统，完成坝光CIM平台搭建，将片区规划数据、各项目模型数据和开发过程中重要的节点数据进行轻量化、可视化呈现，坝光CIM技术通过了住建部科技项目专家组评审验收，坝光片区还荣获2019年中国智慧园区（小镇）奖。</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加强对外合作。组织大鹏新区代表团出访以色列、瑞士等国家开展产业园区合作交流，分别与海法市生命科学产业园和以色列Ourcrowd基金公司签署了《中以创新合作产业园区战略合作框架协议》和《基金合作谅解备忘录》，与平安城科合资成立平安大鹏国际生物谷（深圳）发展有限公司；推动世界500强企业在大鹏共同打造“消化肿瘤精准诊疗”联合实验室；积极参与“深圳（大鹏）-以色列科技交流暨项目对接大会”，推动3家以色列大健康类公司与坝光开发建设运营管理有限公司签约，并拟落户大鹏新区。</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落实各项内部工作及管理事务，增强署内工作动力，提升影响力。推动成立大鹏新区坝光片区临时党委，协助新区主题办举办“音乐党课”，组织开展坝光共联共建文艺晚会；常态化开展“微学习”课程，举办新入职人员培训班，组织赴浙江大学学习培训等；在年度宣传工作计划总基调，稳步提升《坝光之窗》《坝光建设简报》品牌影响力，在“筑梦大鹏”公众号打造坝光新媒体阵地，围绕坝光片区开发建设进展概况的历史留痕工作，成立坝光影像团队-坝光视觉，探索形成“走进坝光</w:t>
      </w:r>
      <w:r>
        <w:rPr>
          <w:rFonts w:hint="eastAsia" w:ascii="仿宋_GB2312" w:eastAsia="仿宋_GB2312"/>
          <w:sz w:val="32"/>
          <w:szCs w:val="32"/>
          <w:lang w:eastAsia="zh-CN"/>
        </w:rPr>
        <w:t>”“</w:t>
      </w:r>
      <w:r>
        <w:rPr>
          <w:rFonts w:hint="eastAsia" w:ascii="仿宋_GB2312" w:eastAsia="仿宋_GB2312"/>
          <w:sz w:val="32"/>
          <w:szCs w:val="32"/>
        </w:rPr>
        <w:t>坝光图集”等影像宣传视频、图集等；坝光展示厅作为坝光片区“形象窗口”，以“展厅开放日”为契机，协助开展“大鹏是我家，温暖一起行”——青少年红色之旅，邀请市民群众近距离参观展厅，展现坝光开发建设文化，自2019年8月开展接待以来，累计接待参观164场次，来访人数2152人，会议21场。</w:t>
      </w:r>
    </w:p>
    <w:p>
      <w:pPr>
        <w:pStyle w:val="4"/>
        <w:rPr>
          <w:color w:val="auto"/>
        </w:rPr>
      </w:pPr>
      <w:r>
        <w:rPr>
          <w:rFonts w:hint="eastAsia"/>
          <w:color w:val="auto"/>
        </w:rPr>
        <w:t>（三）部门履职绩效情况</w:t>
      </w:r>
    </w:p>
    <w:p>
      <w:pPr>
        <w:pStyle w:val="5"/>
        <w:rPr>
          <w:color w:val="auto"/>
        </w:rPr>
      </w:pPr>
      <w:r>
        <w:rPr>
          <w:rFonts w:hint="eastAsia"/>
          <w:color w:val="auto"/>
        </w:rPr>
        <w:t>1.经济性</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（1）“三公”经费控制率</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我署201</w:t>
      </w:r>
      <w:r>
        <w:rPr>
          <w:rFonts w:ascii="仿宋_GB2312" w:eastAsia="仿宋_GB2312"/>
          <w:sz w:val="32"/>
          <w:szCs w:val="32"/>
        </w:rPr>
        <w:t>9</w:t>
      </w:r>
      <w:r>
        <w:rPr>
          <w:rFonts w:hint="eastAsia" w:ascii="仿宋_GB2312" w:eastAsia="仿宋_GB2312"/>
          <w:sz w:val="32"/>
          <w:szCs w:val="32"/>
        </w:rPr>
        <w:t>年“三公”经费年初预算数为8万元，其中，因公出国（境）费0元，公务用车购置及运行维护费5万元，公务接待费3万元，因深圳市因公出国（境）经费预算编制要求为零编制，各单位根据实际需要进行申请，故年初预算数为0元。“三公”经费实际支出4.14万元，其中，因公出国（境）费0元，公务接待费实际支出0元，公务用车实际支出数为4.14万元，“三公”经费控制率为51.75%，“三公”经费控制情况达标。</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（2）日常公用经费控制率</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我署201</w:t>
      </w:r>
      <w:r>
        <w:rPr>
          <w:rFonts w:ascii="仿宋_GB2312" w:eastAsia="仿宋_GB2312"/>
          <w:sz w:val="32"/>
          <w:szCs w:val="32"/>
        </w:rPr>
        <w:t>9</w:t>
      </w:r>
      <w:r>
        <w:rPr>
          <w:rFonts w:hint="eastAsia" w:ascii="仿宋_GB2312" w:eastAsia="仿宋_GB2312"/>
          <w:sz w:val="32"/>
          <w:szCs w:val="32"/>
        </w:rPr>
        <w:t>年日常公用经费调整预算数为32.96万元，决算数为32.85万元。日常公用经费控制率为99.67</w:t>
      </w:r>
      <w:r>
        <w:rPr>
          <w:rFonts w:ascii="仿宋_GB2312" w:eastAsia="仿宋_GB2312"/>
          <w:sz w:val="32"/>
          <w:szCs w:val="32"/>
        </w:rPr>
        <w:t>%,</w:t>
      </w:r>
      <w:r>
        <w:rPr>
          <w:rFonts w:hint="eastAsia" w:ascii="仿宋_GB2312" w:eastAsia="仿宋_GB2312"/>
          <w:sz w:val="32"/>
          <w:szCs w:val="32"/>
        </w:rPr>
        <w:t>日常公用经费控制情况总体达标，可再进一步控制降低。</w:t>
      </w:r>
    </w:p>
    <w:p>
      <w:pPr>
        <w:pStyle w:val="5"/>
        <w:rPr>
          <w:color w:val="auto"/>
        </w:rPr>
      </w:pPr>
      <w:r>
        <w:rPr>
          <w:rFonts w:hint="eastAsia"/>
          <w:color w:val="auto"/>
        </w:rPr>
        <w:t>2.效率性</w:t>
      </w:r>
    </w:p>
    <w:p>
      <w:pPr>
        <w:spacing w:line="580" w:lineRule="exact"/>
        <w:ind w:firstLine="640" w:firstLineChars="200"/>
        <w:jc w:val="left"/>
        <w:rPr>
          <w:rFonts w:ascii="黑体" w:hAnsi="黑体" w:eastAsia="黑体" w:cs="仿宋_GB2312"/>
          <w:sz w:val="24"/>
          <w:szCs w:val="32"/>
        </w:rPr>
      </w:pPr>
      <w:r>
        <w:rPr>
          <w:rFonts w:hint="eastAsia" w:ascii="仿宋_GB2312" w:eastAsia="仿宋_GB2312"/>
          <w:sz w:val="32"/>
          <w:szCs w:val="32"/>
        </w:rPr>
        <w:t>我署201</w:t>
      </w:r>
      <w:r>
        <w:rPr>
          <w:rFonts w:ascii="仿宋_GB2312" w:eastAsia="仿宋_GB2312"/>
          <w:sz w:val="32"/>
          <w:szCs w:val="32"/>
        </w:rPr>
        <w:t>9</w:t>
      </w:r>
      <w:r>
        <w:rPr>
          <w:rFonts w:hint="eastAsia" w:ascii="仿宋_GB2312" w:eastAsia="仿宋_GB2312"/>
          <w:sz w:val="32"/>
          <w:szCs w:val="32"/>
        </w:rPr>
        <w:t>年重点工作任务均已按期保质保量完成，重点工作有效落实。具体完成情况如下：</w:t>
      </w:r>
    </w:p>
    <w:p>
      <w:pPr>
        <w:snapToGrid w:val="0"/>
        <w:spacing w:after="156" w:afterLines="50" w:line="580" w:lineRule="exact"/>
        <w:jc w:val="center"/>
      </w:pPr>
      <w:r>
        <w:rPr>
          <w:rFonts w:hint="eastAsia" w:ascii="黑体" w:hAnsi="黑体" w:eastAsia="黑体" w:cs="仿宋_GB2312"/>
          <w:sz w:val="24"/>
          <w:szCs w:val="32"/>
        </w:rPr>
        <w:t>表3</w:t>
      </w:r>
      <w:r>
        <w:rPr>
          <w:rFonts w:ascii="黑体" w:hAnsi="黑体" w:eastAsia="黑体" w:cs="仿宋_GB2312"/>
          <w:sz w:val="24"/>
          <w:szCs w:val="32"/>
        </w:rPr>
        <w:t xml:space="preserve"> 大鹏新区</w:t>
      </w:r>
      <w:r>
        <w:rPr>
          <w:rFonts w:hint="eastAsia" w:ascii="黑体" w:hAnsi="黑体" w:eastAsia="黑体" w:cs="仿宋_GB2312"/>
          <w:sz w:val="24"/>
          <w:szCs w:val="32"/>
        </w:rPr>
        <w:t>坝光开发署2</w:t>
      </w:r>
      <w:r>
        <w:rPr>
          <w:rFonts w:ascii="黑体" w:hAnsi="黑体" w:eastAsia="黑体" w:cs="仿宋_GB2312"/>
          <w:sz w:val="24"/>
          <w:szCs w:val="32"/>
        </w:rPr>
        <w:t>01</w:t>
      </w:r>
      <w:r>
        <w:rPr>
          <w:rFonts w:hint="eastAsia" w:ascii="黑体" w:hAnsi="黑体" w:eastAsia="黑体" w:cs="仿宋_GB2312"/>
          <w:sz w:val="24"/>
          <w:szCs w:val="32"/>
        </w:rPr>
        <w:t>9</w:t>
      </w:r>
      <w:r>
        <w:rPr>
          <w:rFonts w:ascii="黑体" w:hAnsi="黑体" w:eastAsia="黑体" w:cs="仿宋_GB2312"/>
          <w:sz w:val="24"/>
          <w:szCs w:val="32"/>
        </w:rPr>
        <w:t>年度重点工作</w:t>
      </w:r>
      <w:r>
        <w:rPr>
          <w:rFonts w:hint="eastAsia" w:ascii="黑体" w:hAnsi="黑体" w:eastAsia="黑体" w:cs="仿宋_GB2312"/>
          <w:sz w:val="24"/>
          <w:szCs w:val="32"/>
        </w:rPr>
        <w:t>完成情况</w:t>
      </w:r>
      <w:r>
        <w:rPr>
          <w:rFonts w:ascii="黑体" w:hAnsi="黑体" w:eastAsia="黑体" w:cs="仿宋_GB2312"/>
          <w:sz w:val="24"/>
          <w:szCs w:val="32"/>
        </w:rPr>
        <w:t>一览表</w:t>
      </w:r>
    </w:p>
    <w:tbl>
      <w:tblPr>
        <w:tblStyle w:val="12"/>
        <w:tblW w:w="49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83"/>
        <w:gridCol w:w="673"/>
        <w:gridCol w:w="2441"/>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tblHeader/>
          <w:jc w:val="center"/>
        </w:trPr>
        <w:tc>
          <w:tcPr>
            <w:tcW w:w="1662" w:type="pct"/>
            <w:shd w:val="clear" w:color="auto" w:fill="D9D9D9"/>
            <w:vAlign w:val="center"/>
          </w:tcPr>
          <w:p>
            <w:pPr>
              <w:spacing w:line="240" w:lineRule="exact"/>
              <w:jc w:val="center"/>
              <w:rPr>
                <w:rFonts w:ascii="宋体" w:hAnsi="宋体"/>
                <w:b/>
              </w:rPr>
            </w:pPr>
            <w:r>
              <w:rPr>
                <w:rFonts w:hint="eastAsia" w:ascii="宋体" w:hAnsi="宋体"/>
                <w:b/>
              </w:rPr>
              <w:t>工作任务</w:t>
            </w:r>
          </w:p>
        </w:tc>
        <w:tc>
          <w:tcPr>
            <w:tcW w:w="375" w:type="pct"/>
            <w:shd w:val="clear" w:color="auto" w:fill="D9D9D9"/>
            <w:vAlign w:val="center"/>
          </w:tcPr>
          <w:p>
            <w:pPr>
              <w:spacing w:line="240" w:lineRule="exact"/>
              <w:jc w:val="center"/>
              <w:rPr>
                <w:rFonts w:ascii="宋体" w:hAnsi="宋体"/>
                <w:b/>
              </w:rPr>
            </w:pPr>
            <w:r>
              <w:rPr>
                <w:rFonts w:hint="eastAsia" w:ascii="宋体" w:hAnsi="宋体"/>
                <w:b/>
              </w:rPr>
              <w:t>序号</w:t>
            </w:r>
          </w:p>
        </w:tc>
        <w:tc>
          <w:tcPr>
            <w:tcW w:w="1360" w:type="pct"/>
            <w:shd w:val="clear" w:color="auto" w:fill="D9D9D9"/>
            <w:vAlign w:val="center"/>
          </w:tcPr>
          <w:p>
            <w:pPr>
              <w:spacing w:line="240" w:lineRule="exact"/>
              <w:jc w:val="center"/>
              <w:rPr>
                <w:rFonts w:ascii="宋体" w:hAnsi="宋体"/>
                <w:b/>
              </w:rPr>
            </w:pPr>
            <w:r>
              <w:rPr>
                <w:rFonts w:hint="eastAsia" w:ascii="宋体" w:hAnsi="宋体"/>
                <w:b/>
              </w:rPr>
              <w:t>具体工作事项</w:t>
            </w:r>
          </w:p>
        </w:tc>
        <w:tc>
          <w:tcPr>
            <w:tcW w:w="1602" w:type="pct"/>
            <w:shd w:val="clear" w:color="auto" w:fill="D9D9D9"/>
            <w:vAlign w:val="center"/>
          </w:tcPr>
          <w:p>
            <w:pPr>
              <w:spacing w:line="240" w:lineRule="exact"/>
              <w:jc w:val="center"/>
              <w:rPr>
                <w:rFonts w:ascii="宋体" w:hAnsi="宋体"/>
                <w:b/>
              </w:rPr>
            </w:pPr>
            <w:r>
              <w:rPr>
                <w:rFonts w:hint="eastAsia" w:ascii="宋体" w:hAnsi="宋体"/>
                <w:b/>
              </w:rPr>
              <w:t>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7" w:hRule="atLeast"/>
          <w:jc w:val="center"/>
        </w:trPr>
        <w:tc>
          <w:tcPr>
            <w:tcW w:w="1662" w:type="pct"/>
            <w:vMerge w:val="restart"/>
            <w:vAlign w:val="center"/>
          </w:tcPr>
          <w:p>
            <w:pPr>
              <w:adjustRightInd w:val="0"/>
              <w:snapToGrid w:val="0"/>
              <w:rPr>
                <w:rFonts w:ascii="宋体" w:hAnsi="宋体" w:cs="仿宋_GB2312"/>
                <w:snapToGrid w:val="0"/>
                <w:kern w:val="0"/>
              </w:rPr>
            </w:pPr>
            <w:r>
              <w:rPr>
                <w:rFonts w:hint="eastAsia" w:ascii="宋体" w:hAnsi="宋体" w:cs="仿宋_GB2312"/>
                <w:snapToGrid w:val="0"/>
                <w:kern w:val="0"/>
              </w:rPr>
              <w:t>加快国际生命科技中心、坝光文体中心、绿岛国际、生物家园等重大项目和创新载体的建设，确保人才公寓、坝光展示厅等项目投入使用，力争年内区域投资54亿元</w:t>
            </w:r>
          </w:p>
        </w:tc>
        <w:tc>
          <w:tcPr>
            <w:tcW w:w="375" w:type="pct"/>
            <w:vAlign w:val="center"/>
          </w:tcPr>
          <w:p>
            <w:pPr>
              <w:adjustRightInd w:val="0"/>
              <w:snapToGrid w:val="0"/>
              <w:jc w:val="center"/>
              <w:rPr>
                <w:rFonts w:ascii="宋体" w:hAnsi="宋体" w:cs="仿宋_GB2312"/>
                <w:snapToGrid w:val="0"/>
                <w:kern w:val="0"/>
              </w:rPr>
            </w:pPr>
            <w:r>
              <w:rPr>
                <w:rFonts w:ascii="宋体" w:hAnsi="宋体" w:cs="仿宋_GB2312"/>
                <w:snapToGrid w:val="0"/>
                <w:kern w:val="0"/>
              </w:rPr>
              <w:t>1</w:t>
            </w:r>
          </w:p>
        </w:tc>
        <w:tc>
          <w:tcPr>
            <w:tcW w:w="1360" w:type="pct"/>
            <w:vAlign w:val="center"/>
          </w:tcPr>
          <w:p>
            <w:pPr>
              <w:adjustRightInd w:val="0"/>
              <w:snapToGrid w:val="0"/>
              <w:rPr>
                <w:rFonts w:ascii="宋体" w:hAnsi="宋体" w:cs="仿宋_GB2312"/>
                <w:snapToGrid w:val="0"/>
                <w:kern w:val="0"/>
              </w:rPr>
            </w:pPr>
            <w:r>
              <w:rPr>
                <w:rFonts w:hint="eastAsia" w:asciiTheme="minorEastAsia" w:hAnsiTheme="minorEastAsia" w:eastAsiaTheme="minorEastAsia"/>
                <w:snapToGrid w:val="0"/>
                <w:kern w:val="0"/>
                <w:szCs w:val="21"/>
              </w:rPr>
              <w:t>国际生命科技中心（坝光展示厅项目投入使用）。</w:t>
            </w:r>
          </w:p>
        </w:tc>
        <w:tc>
          <w:tcPr>
            <w:tcW w:w="1602"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项目已基本完工，基本具备运营使用条件，正在进行试运营使用。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7" w:hRule="atLeast"/>
          <w:jc w:val="center"/>
        </w:trPr>
        <w:tc>
          <w:tcPr>
            <w:tcW w:w="1662" w:type="pct"/>
            <w:vMerge w:val="continue"/>
            <w:vAlign w:val="center"/>
          </w:tcPr>
          <w:p>
            <w:pPr>
              <w:adjustRightInd w:val="0"/>
              <w:snapToGrid w:val="0"/>
            </w:pPr>
          </w:p>
        </w:tc>
        <w:tc>
          <w:tcPr>
            <w:tcW w:w="375" w:type="pct"/>
            <w:vAlign w:val="center"/>
          </w:tcPr>
          <w:p>
            <w:pPr>
              <w:widowControl/>
              <w:jc w:val="center"/>
              <w:textAlignment w:val="center"/>
              <w:rPr>
                <w:rFonts w:ascii="宋体" w:hAnsi="宋体" w:cs="仿宋_GB2312"/>
                <w:snapToGrid w:val="0"/>
                <w:kern w:val="0"/>
              </w:rPr>
            </w:pPr>
            <w:r>
              <w:rPr>
                <w:rFonts w:ascii="宋体" w:hAnsi="宋体" w:cs="仿宋_GB2312"/>
                <w:snapToGrid w:val="0"/>
                <w:kern w:val="0"/>
              </w:rPr>
              <w:t>2</w:t>
            </w:r>
          </w:p>
        </w:tc>
        <w:tc>
          <w:tcPr>
            <w:tcW w:w="1360" w:type="pct"/>
            <w:vAlign w:val="center"/>
          </w:tcPr>
          <w:p>
            <w:pPr>
              <w:adjustRightInd w:val="0"/>
              <w:snapToGrid w:val="0"/>
              <w:rPr>
                <w:rFonts w:ascii="宋体" w:hAnsi="宋体" w:cs="仿宋_GB2312"/>
                <w:snapToGrid w:val="0"/>
                <w:kern w:val="0"/>
              </w:rPr>
            </w:pPr>
            <w:r>
              <w:rPr>
                <w:rFonts w:hint="eastAsia" w:asciiTheme="minorEastAsia" w:hAnsiTheme="minorEastAsia" w:eastAsiaTheme="minorEastAsia"/>
                <w:snapToGrid w:val="0"/>
                <w:kern w:val="0"/>
                <w:szCs w:val="21"/>
              </w:rPr>
              <w:t>坝光片区及区外配套项目累计完成投资51.87亿元。</w:t>
            </w:r>
          </w:p>
        </w:tc>
        <w:tc>
          <w:tcPr>
            <w:tcW w:w="1602"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截至11月，坝光核心启动区及区外配套项目累计完成投资为47.6443亿元，占年度计划投资额的91.8%。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9" w:hRule="atLeast"/>
          <w:jc w:val="center"/>
        </w:trPr>
        <w:tc>
          <w:tcPr>
            <w:tcW w:w="1662" w:type="pct"/>
            <w:vAlign w:val="center"/>
          </w:tcPr>
          <w:p>
            <w:pPr>
              <w:widowControl/>
              <w:textAlignment w:val="center"/>
              <w:rPr>
                <w:rFonts w:ascii="宋体" w:hAnsi="宋体" w:cs="仿宋_GB2312"/>
                <w:snapToGrid w:val="0"/>
                <w:kern w:val="0"/>
              </w:rPr>
            </w:pPr>
            <w:r>
              <w:rPr>
                <w:rFonts w:hint="eastAsia" w:ascii="宋体" w:hAnsi="宋体" w:cs="仿宋_GB2312"/>
                <w:snapToGrid w:val="0"/>
                <w:kern w:val="0"/>
              </w:rPr>
              <w:t>深入开展坝光城市设计评估与优化工作，切实保护滨海岸线、河道水系、名木古树等自然资源，提升片区开发品质</w:t>
            </w:r>
          </w:p>
        </w:tc>
        <w:tc>
          <w:tcPr>
            <w:tcW w:w="375" w:type="pct"/>
            <w:vAlign w:val="center"/>
          </w:tcPr>
          <w:p>
            <w:pPr>
              <w:widowControl/>
              <w:jc w:val="center"/>
              <w:textAlignment w:val="center"/>
              <w:rPr>
                <w:rFonts w:ascii="宋体" w:hAnsi="宋体" w:cs="仿宋_GB2312"/>
                <w:snapToGrid w:val="0"/>
                <w:kern w:val="0"/>
              </w:rPr>
            </w:pPr>
            <w:r>
              <w:rPr>
                <w:rFonts w:ascii="宋体" w:hAnsi="宋体" w:cs="仿宋_GB2312"/>
                <w:snapToGrid w:val="0"/>
                <w:kern w:val="0"/>
              </w:rPr>
              <w:t>3</w:t>
            </w:r>
          </w:p>
        </w:tc>
        <w:tc>
          <w:tcPr>
            <w:tcW w:w="1360" w:type="pct"/>
            <w:vAlign w:val="center"/>
          </w:tcPr>
          <w:p>
            <w:pPr>
              <w:adjustRightInd w:val="0"/>
              <w:snapToGrid w:val="0"/>
              <w:rPr>
                <w:rFonts w:ascii="宋体" w:hAnsi="宋体" w:cs="仿宋_GB2312"/>
                <w:snapToGrid w:val="0"/>
                <w:kern w:val="0"/>
              </w:rPr>
            </w:pPr>
            <w:r>
              <w:rPr>
                <w:rFonts w:hint="eastAsia" w:ascii="宋体" w:hAnsi="宋体" w:cs="仿宋_GB2312"/>
                <w:snapToGrid w:val="0"/>
                <w:kern w:val="0"/>
              </w:rPr>
              <w:t>深圳国际生物谷坝光核心启动区生态系统修复提升策略研究。</w:t>
            </w:r>
          </w:p>
        </w:tc>
        <w:tc>
          <w:tcPr>
            <w:tcW w:w="1602"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已完成《深圳国际生物谷坝光核心启动区生态环境基础研究报告》《深圳国际生物谷坝光核心启动区生态修复提升策略研究报告》《深圳国际生物谷坝光核心启动区生态修复提升导则》以及《深圳市国际生物谷坝光核心启动区生态修复提升近远期实施项目计划》，并通过中期评审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4" w:hRule="atLeast"/>
          <w:jc w:val="center"/>
        </w:trPr>
        <w:tc>
          <w:tcPr>
            <w:tcW w:w="1662" w:type="pct"/>
            <w:vAlign w:val="center"/>
          </w:tcPr>
          <w:p>
            <w:pPr>
              <w:widowControl/>
              <w:textAlignment w:val="center"/>
              <w:rPr>
                <w:rFonts w:ascii="宋体" w:hAnsi="宋体" w:cs="仿宋_GB2312"/>
                <w:snapToGrid w:val="0"/>
                <w:kern w:val="0"/>
              </w:rPr>
            </w:pPr>
            <w:r>
              <w:rPr>
                <w:rFonts w:hint="eastAsia" w:asciiTheme="minorEastAsia" w:hAnsiTheme="minorEastAsia" w:eastAsiaTheme="minorEastAsia"/>
                <w:snapToGrid w:val="0"/>
                <w:kern w:val="0"/>
                <w:szCs w:val="21"/>
              </w:rPr>
              <w:t>积极争取设立“中以科技产业创新合作示范区”，着力打造“深港东部科创平台”，强化区域产业合作，共同争取国家生物医药产业政策试点</w:t>
            </w:r>
          </w:p>
        </w:tc>
        <w:tc>
          <w:tcPr>
            <w:tcW w:w="375"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4</w:t>
            </w:r>
          </w:p>
        </w:tc>
        <w:tc>
          <w:tcPr>
            <w:tcW w:w="1360" w:type="pct"/>
            <w:vAlign w:val="center"/>
          </w:tcPr>
          <w:p>
            <w:pPr>
              <w:adjustRightInd w:val="0"/>
              <w:snapToGrid w:val="0"/>
              <w:rPr>
                <w:rFonts w:ascii="宋体" w:hAnsi="宋体" w:cs="仿宋_GB2312"/>
                <w:snapToGrid w:val="0"/>
                <w:kern w:val="0"/>
              </w:rPr>
            </w:pPr>
            <w:r>
              <w:rPr>
                <w:rFonts w:hint="eastAsia" w:ascii="宋体" w:hAnsi="宋体" w:cs="仿宋_GB2312"/>
                <w:snapToGrid w:val="0"/>
                <w:kern w:val="0"/>
              </w:rPr>
              <w:t>积极推动市级层面，积极争取设立“中以科技产业创新合作示范区”。</w:t>
            </w:r>
          </w:p>
        </w:tc>
        <w:tc>
          <w:tcPr>
            <w:tcW w:w="1602"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推进中以项目对接大会中已签约项目落地；加快坝光片区生物家园等产业载体建设，为打造“中以科技产业创新合作示范区”提供产业空间。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5" w:hRule="atLeast"/>
          <w:jc w:val="center"/>
        </w:trPr>
        <w:tc>
          <w:tcPr>
            <w:tcW w:w="1662" w:type="pct"/>
            <w:vAlign w:val="center"/>
          </w:tcPr>
          <w:p>
            <w:pPr>
              <w:widowControl/>
              <w:textAlignment w:val="center"/>
              <w:rPr>
                <w:rFonts w:ascii="宋体" w:hAnsi="宋体" w:cs="仿宋_GB2312"/>
                <w:snapToGrid w:val="0"/>
                <w:kern w:val="0"/>
              </w:rPr>
            </w:pPr>
            <w:r>
              <w:rPr>
                <w:rFonts w:hint="eastAsia" w:ascii="宋体" w:hAnsi="宋体" w:cs="仿宋_GB2312"/>
                <w:snapToGrid w:val="0"/>
                <w:kern w:val="0"/>
              </w:rPr>
              <w:t>争取中以科技产业创新合作示范区落户新区</w:t>
            </w:r>
          </w:p>
        </w:tc>
        <w:tc>
          <w:tcPr>
            <w:tcW w:w="375"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5</w:t>
            </w:r>
          </w:p>
        </w:tc>
        <w:tc>
          <w:tcPr>
            <w:tcW w:w="1360" w:type="pct"/>
            <w:vAlign w:val="center"/>
          </w:tcPr>
          <w:p>
            <w:r>
              <w:rPr>
                <w:rFonts w:hint="eastAsia" w:cs="仿宋_GB2312" w:asciiTheme="minorEastAsia" w:hAnsiTheme="minorEastAsia" w:eastAsiaTheme="minorEastAsia"/>
                <w:snapToGrid w:val="0"/>
                <w:kern w:val="0"/>
                <w:szCs w:val="21"/>
              </w:rPr>
              <w:t>积极推动市级层面，积极争取设立“中以科技产业创新合作示范区”。</w:t>
            </w:r>
          </w:p>
        </w:tc>
        <w:tc>
          <w:tcPr>
            <w:tcW w:w="1602"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推进中以项目对接大会中已签约项目落地；加快坝光片区生物家园等产业载体建设，为打造“中以科技产业创新合作示范区”提供产业空间。</w:t>
            </w:r>
          </w:p>
        </w:tc>
      </w:tr>
    </w:tbl>
    <w:p>
      <w:pPr>
        <w:snapToGrid w:val="0"/>
        <w:spacing w:after="156" w:afterLines="50" w:line="580" w:lineRule="exact"/>
        <w:rPr>
          <w:rFonts w:ascii="黑体" w:hAnsi="黑体" w:eastAsia="黑体" w:cs="仿宋_GB2312"/>
          <w:sz w:val="24"/>
          <w:szCs w:val="32"/>
        </w:rPr>
      </w:pPr>
    </w:p>
    <w:p>
      <w:pPr>
        <w:snapToGrid w:val="0"/>
        <w:spacing w:after="156" w:afterLines="50" w:line="580" w:lineRule="exact"/>
        <w:jc w:val="center"/>
        <w:rPr>
          <w:rFonts w:ascii="仿宋_GB2312" w:hAnsi="仿宋_GB2312" w:eastAsia="仿宋_GB2312"/>
          <w:sz w:val="32"/>
          <w:szCs w:val="32"/>
        </w:rPr>
      </w:pPr>
      <w:r>
        <w:rPr>
          <w:rFonts w:hint="eastAsia" w:ascii="黑体" w:hAnsi="黑体" w:eastAsia="黑体" w:cs="仿宋_GB2312"/>
          <w:sz w:val="24"/>
          <w:szCs w:val="32"/>
        </w:rPr>
        <w:t>表4</w:t>
      </w:r>
      <w:r>
        <w:rPr>
          <w:rFonts w:ascii="黑体" w:hAnsi="黑体" w:eastAsia="黑体" w:cs="仿宋_GB2312"/>
          <w:sz w:val="24"/>
          <w:szCs w:val="32"/>
        </w:rPr>
        <w:t xml:space="preserve"> </w:t>
      </w:r>
      <w:r>
        <w:rPr>
          <w:rFonts w:hint="eastAsia" w:ascii="黑体" w:hAnsi="黑体" w:eastAsia="黑体" w:cs="仿宋_GB2312"/>
          <w:sz w:val="24"/>
          <w:szCs w:val="32"/>
        </w:rPr>
        <w:t>2</w:t>
      </w:r>
      <w:r>
        <w:rPr>
          <w:rFonts w:ascii="黑体" w:hAnsi="黑体" w:eastAsia="黑体" w:cs="仿宋_GB2312"/>
          <w:sz w:val="24"/>
          <w:szCs w:val="32"/>
        </w:rPr>
        <w:t>01</w:t>
      </w:r>
      <w:r>
        <w:rPr>
          <w:rFonts w:hint="eastAsia" w:ascii="黑体" w:hAnsi="黑体" w:eastAsia="黑体" w:cs="仿宋_GB2312"/>
          <w:sz w:val="24"/>
          <w:szCs w:val="32"/>
        </w:rPr>
        <w:t>9</w:t>
      </w:r>
      <w:r>
        <w:rPr>
          <w:rFonts w:ascii="黑体" w:hAnsi="黑体" w:eastAsia="黑体" w:cs="仿宋_GB2312"/>
          <w:sz w:val="24"/>
          <w:szCs w:val="32"/>
        </w:rPr>
        <w:t>年度</w:t>
      </w:r>
      <w:r>
        <w:rPr>
          <w:rFonts w:hint="eastAsia" w:ascii="黑体" w:hAnsi="黑体" w:eastAsia="黑体" w:cs="仿宋_GB2312"/>
          <w:sz w:val="24"/>
          <w:szCs w:val="32"/>
        </w:rPr>
        <w:t>高质量“美丽大鹏”建设重点项目完成情况</w:t>
      </w:r>
      <w:r>
        <w:rPr>
          <w:rFonts w:ascii="黑体" w:hAnsi="黑体" w:eastAsia="黑体" w:cs="仿宋_GB2312"/>
          <w:sz w:val="24"/>
          <w:szCs w:val="32"/>
        </w:rPr>
        <w:t>一览表</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2679"/>
        <w:gridCol w:w="2922"/>
        <w:gridCol w:w="2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blHeader/>
          <w:jc w:val="center"/>
        </w:trPr>
        <w:tc>
          <w:tcPr>
            <w:tcW w:w="295" w:type="pct"/>
            <w:shd w:val="clear" w:color="auto" w:fill="D9D9D9"/>
            <w:vAlign w:val="center"/>
          </w:tcPr>
          <w:p>
            <w:pPr>
              <w:spacing w:line="240" w:lineRule="exact"/>
              <w:jc w:val="center"/>
              <w:rPr>
                <w:rFonts w:ascii="宋体" w:hAnsi="宋体"/>
                <w:b/>
              </w:rPr>
            </w:pPr>
            <w:r>
              <w:rPr>
                <w:rFonts w:hint="eastAsia" w:ascii="宋体" w:hAnsi="宋体"/>
                <w:b/>
              </w:rPr>
              <w:t>序号</w:t>
            </w:r>
          </w:p>
        </w:tc>
        <w:tc>
          <w:tcPr>
            <w:tcW w:w="1478" w:type="pct"/>
            <w:shd w:val="clear" w:color="auto" w:fill="D9D9D9"/>
            <w:vAlign w:val="center"/>
          </w:tcPr>
          <w:p>
            <w:pPr>
              <w:spacing w:line="240" w:lineRule="exact"/>
              <w:jc w:val="center"/>
              <w:rPr>
                <w:rFonts w:ascii="宋体" w:hAnsi="宋体"/>
                <w:b/>
              </w:rPr>
            </w:pPr>
            <w:r>
              <w:rPr>
                <w:rFonts w:hint="eastAsia" w:ascii="宋体" w:hAnsi="宋体"/>
                <w:b/>
              </w:rPr>
              <w:t>项目名称</w:t>
            </w:r>
          </w:p>
        </w:tc>
        <w:tc>
          <w:tcPr>
            <w:tcW w:w="1612" w:type="pct"/>
            <w:shd w:val="clear" w:color="auto" w:fill="D9D9D9"/>
            <w:vAlign w:val="center"/>
          </w:tcPr>
          <w:p>
            <w:pPr>
              <w:spacing w:line="240" w:lineRule="exact"/>
              <w:jc w:val="center"/>
              <w:rPr>
                <w:rFonts w:ascii="宋体" w:hAnsi="宋体"/>
                <w:b/>
              </w:rPr>
            </w:pPr>
            <w:r>
              <w:rPr>
                <w:rFonts w:hint="eastAsia" w:ascii="宋体" w:hAnsi="宋体"/>
                <w:b/>
              </w:rPr>
              <w:t>工作目标</w:t>
            </w:r>
          </w:p>
        </w:tc>
        <w:tc>
          <w:tcPr>
            <w:tcW w:w="1612" w:type="pct"/>
            <w:shd w:val="clear" w:color="auto" w:fill="D9D9D9"/>
            <w:vAlign w:val="center"/>
          </w:tcPr>
          <w:p>
            <w:pPr>
              <w:spacing w:line="240" w:lineRule="exact"/>
              <w:jc w:val="center"/>
              <w:rPr>
                <w:rFonts w:ascii="宋体" w:hAnsi="宋体"/>
                <w:b/>
              </w:rPr>
            </w:pPr>
            <w:r>
              <w:rPr>
                <w:rFonts w:hint="eastAsia" w:ascii="宋体" w:hAnsi="宋体"/>
                <w:b/>
              </w:rPr>
              <w:t>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9" w:hRule="atLeast"/>
          <w:jc w:val="center"/>
        </w:trPr>
        <w:tc>
          <w:tcPr>
            <w:tcW w:w="295" w:type="pct"/>
            <w:vAlign w:val="center"/>
          </w:tcPr>
          <w:p>
            <w:pPr>
              <w:adjustRightInd w:val="0"/>
              <w:snapToGrid w:val="0"/>
              <w:jc w:val="center"/>
              <w:rPr>
                <w:rFonts w:ascii="宋体" w:hAnsi="宋体" w:cs="仿宋_GB2312"/>
                <w:snapToGrid w:val="0"/>
                <w:kern w:val="0"/>
              </w:rPr>
            </w:pPr>
            <w:r>
              <w:rPr>
                <w:rFonts w:ascii="宋体" w:hAnsi="宋体" w:cs="仿宋_GB2312"/>
                <w:snapToGrid w:val="0"/>
                <w:kern w:val="0"/>
              </w:rPr>
              <w:t>1</w:t>
            </w:r>
          </w:p>
        </w:tc>
        <w:tc>
          <w:tcPr>
            <w:tcW w:w="1478" w:type="pct"/>
            <w:vAlign w:val="center"/>
          </w:tcPr>
          <w:p>
            <w:pPr>
              <w:adjustRightInd w:val="0"/>
              <w:snapToGrid w:val="0"/>
              <w:jc w:val="center"/>
              <w:rPr>
                <w:rFonts w:ascii="宋体" w:hAnsi="宋体" w:cs="仿宋_GB2312"/>
                <w:snapToGrid w:val="0"/>
                <w:kern w:val="0"/>
              </w:rPr>
            </w:pPr>
            <w:r>
              <w:rPr>
                <w:rFonts w:hint="eastAsia" w:ascii="宋体" w:hAnsi="宋体" w:cs="仿宋_GB2312"/>
                <w:snapToGrid w:val="0"/>
                <w:kern w:val="0"/>
              </w:rPr>
              <w:t>坝光现代产业先导区建设</w:t>
            </w:r>
          </w:p>
        </w:tc>
        <w:tc>
          <w:tcPr>
            <w:tcW w:w="1612" w:type="pct"/>
            <w:vAlign w:val="center"/>
          </w:tcPr>
          <w:p>
            <w:pPr>
              <w:adjustRightInd w:val="0"/>
              <w:snapToGrid w:val="0"/>
              <w:rPr>
                <w:rFonts w:ascii="宋体" w:hAnsi="宋体" w:cs="仿宋_GB2312"/>
                <w:snapToGrid w:val="0"/>
                <w:kern w:val="0"/>
              </w:rPr>
            </w:pPr>
            <w:r>
              <w:rPr>
                <w:rFonts w:hint="eastAsia" w:ascii="宋体" w:hAnsi="宋体" w:cs="仿宋_GB2312"/>
                <w:snapToGrid w:val="0"/>
                <w:kern w:val="0"/>
              </w:rPr>
              <w:t>创新招商引资引智和园区开发模式，建立健全政企合作项目推进决策机制，引导社会资本参与生物谷开发运营，打造现代产业先导区。</w:t>
            </w:r>
          </w:p>
        </w:tc>
        <w:tc>
          <w:tcPr>
            <w:tcW w:w="1612" w:type="pct"/>
            <w:vAlign w:val="center"/>
          </w:tcPr>
          <w:p>
            <w:pPr>
              <w:adjustRightInd w:val="0"/>
              <w:snapToGrid w:val="0"/>
              <w:rPr>
                <w:rFonts w:ascii="宋体" w:hAnsi="宋体" w:cs="仿宋_GB2312"/>
                <w:snapToGrid w:val="0"/>
                <w:kern w:val="0"/>
              </w:rPr>
            </w:pPr>
            <w:r>
              <w:rPr>
                <w:rFonts w:hint="eastAsia" w:ascii="宋体" w:hAnsi="宋体" w:cs="仿宋_GB2312"/>
                <w:snapToGrid w:val="0"/>
                <w:kern w:val="0"/>
              </w:rPr>
              <w:t>合资公司已积极参与坝光片区运营管理，同时借助平安集团、华夏幸福等资源，对接多家企业来坝光参观考察，加快招商工作推进。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1" w:hRule="atLeast"/>
          <w:jc w:val="center"/>
        </w:trPr>
        <w:tc>
          <w:tcPr>
            <w:tcW w:w="295"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2</w:t>
            </w:r>
          </w:p>
        </w:tc>
        <w:tc>
          <w:tcPr>
            <w:tcW w:w="1478"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坝光CIM数据管理与应用平台</w:t>
            </w:r>
          </w:p>
        </w:tc>
        <w:tc>
          <w:tcPr>
            <w:tcW w:w="1612" w:type="pct"/>
            <w:vAlign w:val="center"/>
          </w:tcPr>
          <w:p>
            <w:pPr>
              <w:adjustRightInd w:val="0"/>
              <w:snapToGrid w:val="0"/>
              <w:rPr>
                <w:rFonts w:ascii="宋体" w:hAnsi="宋体" w:cs="仿宋_GB2312"/>
                <w:snapToGrid w:val="0"/>
                <w:kern w:val="0"/>
              </w:rPr>
            </w:pPr>
            <w:r>
              <w:rPr>
                <w:rFonts w:hint="eastAsia" w:ascii="宋体" w:hAnsi="宋体" w:cs="仿宋_GB2312"/>
                <w:snapToGrid w:val="0"/>
                <w:kern w:val="0"/>
              </w:rPr>
              <w:t>打造坝光CIM数据管理与应用平台，全面推动BIM信息技术在坝光片区公共工程建设和管理中的应用。</w:t>
            </w:r>
          </w:p>
        </w:tc>
        <w:tc>
          <w:tcPr>
            <w:tcW w:w="1612" w:type="pct"/>
            <w:vAlign w:val="center"/>
          </w:tcPr>
          <w:p>
            <w:pPr>
              <w:adjustRightInd w:val="0"/>
              <w:snapToGrid w:val="0"/>
              <w:rPr>
                <w:rFonts w:ascii="宋体" w:hAnsi="宋体" w:cs="仿宋_GB2312"/>
                <w:snapToGrid w:val="0"/>
                <w:kern w:val="0"/>
              </w:rPr>
            </w:pPr>
            <w:r>
              <w:rPr>
                <w:rFonts w:hint="eastAsia" w:ascii="宋体" w:hAnsi="宋体" w:cs="仿宋_GB2312"/>
                <w:snapToGrid w:val="0"/>
                <w:kern w:val="0"/>
              </w:rPr>
              <w:t>上线坝光CIM数据管理平台，以坝光片区建设过程数据和BIM模型数据为基础，打造坝光片区CIM数据大屏，进一步扩展坝光CIM数据管理平台的应用范围，将坝光片区各参建单位管理系统纳入数据管理平台，扩充数据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jc w:val="center"/>
        </w:trPr>
        <w:tc>
          <w:tcPr>
            <w:tcW w:w="295"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3</w:t>
            </w:r>
          </w:p>
        </w:tc>
        <w:tc>
          <w:tcPr>
            <w:tcW w:w="1478"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坝光展示厅</w:t>
            </w:r>
          </w:p>
        </w:tc>
        <w:tc>
          <w:tcPr>
            <w:tcW w:w="1612" w:type="pct"/>
            <w:vAlign w:val="center"/>
          </w:tcPr>
          <w:p>
            <w:pPr>
              <w:adjustRightInd w:val="0"/>
              <w:snapToGrid w:val="0"/>
              <w:rPr>
                <w:rFonts w:ascii="宋体" w:hAnsi="宋体" w:cs="仿宋_GB2312"/>
                <w:snapToGrid w:val="0"/>
                <w:kern w:val="0"/>
              </w:rPr>
            </w:pPr>
            <w:r>
              <w:rPr>
                <w:rFonts w:hint="eastAsia" w:ascii="宋体" w:hAnsi="宋体" w:cs="仿宋_GB2312"/>
                <w:snapToGrid w:val="0"/>
                <w:kern w:val="0"/>
              </w:rPr>
              <w:t>坝光展示厅投入使用。</w:t>
            </w:r>
          </w:p>
        </w:tc>
        <w:tc>
          <w:tcPr>
            <w:tcW w:w="1612" w:type="pct"/>
            <w:vAlign w:val="center"/>
          </w:tcPr>
          <w:p>
            <w:pPr>
              <w:adjustRightInd w:val="0"/>
              <w:snapToGrid w:val="0"/>
              <w:rPr>
                <w:rFonts w:ascii="宋体" w:hAnsi="宋体" w:cs="仿宋_GB2312"/>
                <w:snapToGrid w:val="0"/>
                <w:kern w:val="0"/>
              </w:rPr>
            </w:pPr>
            <w:r>
              <w:rPr>
                <w:rFonts w:hint="eastAsia" w:ascii="宋体" w:hAnsi="宋体" w:cs="仿宋_GB2312"/>
                <w:snapToGrid w:val="0"/>
                <w:kern w:val="0"/>
              </w:rPr>
              <w:t>项目已完工，基本具备运营使用条件，正在进行试运营使用。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295"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4</w:t>
            </w:r>
          </w:p>
        </w:tc>
        <w:tc>
          <w:tcPr>
            <w:tcW w:w="1478" w:type="pct"/>
            <w:vAlign w:val="center"/>
          </w:tcPr>
          <w:p>
            <w:pPr>
              <w:widowControl/>
              <w:jc w:val="center"/>
              <w:textAlignment w:val="center"/>
              <w:rPr>
                <w:rFonts w:ascii="宋体" w:hAnsi="宋体" w:cs="仿宋_GB2312"/>
                <w:snapToGrid w:val="0"/>
                <w:kern w:val="0"/>
              </w:rPr>
            </w:pPr>
            <w:r>
              <w:rPr>
                <w:rFonts w:hint="eastAsia" w:ascii="宋体" w:hAnsi="宋体" w:cs="仿宋_GB2312"/>
                <w:snapToGrid w:val="0"/>
                <w:kern w:val="0"/>
              </w:rPr>
              <w:t>坝光重点开发区内投资建设</w:t>
            </w:r>
          </w:p>
        </w:tc>
        <w:tc>
          <w:tcPr>
            <w:tcW w:w="1612" w:type="pct"/>
            <w:vAlign w:val="center"/>
          </w:tcPr>
          <w:p>
            <w:r>
              <w:rPr>
                <w:rFonts w:hint="eastAsia"/>
              </w:rPr>
              <w:t>2019年完成坝光重点开发区内总投资26亿元。</w:t>
            </w:r>
          </w:p>
        </w:tc>
        <w:tc>
          <w:tcPr>
            <w:tcW w:w="1612" w:type="pct"/>
            <w:vAlign w:val="center"/>
          </w:tcPr>
          <w:p>
            <w:r>
              <w:rPr>
                <w:rFonts w:hint="eastAsia"/>
              </w:rPr>
              <w:t>截至11月，已累计完成坝光重点开发区内投资27.1亿元。</w:t>
            </w:r>
          </w:p>
        </w:tc>
      </w:tr>
    </w:tbl>
    <w:p>
      <w:pPr>
        <w:spacing w:line="580" w:lineRule="exact"/>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019</w:t>
      </w:r>
      <w:r>
        <w:rPr>
          <w:rFonts w:hint="eastAsia" w:ascii="仿宋_GB2312" w:eastAsia="仿宋_GB2312"/>
          <w:sz w:val="32"/>
          <w:szCs w:val="32"/>
        </w:rPr>
        <w:t>年部门预算安排项目17个，全部项目均已按计划如期完成，项目完成及时。</w:t>
      </w:r>
    </w:p>
    <w:p>
      <w:pPr>
        <w:pStyle w:val="5"/>
        <w:rPr>
          <w:color w:val="auto"/>
        </w:rPr>
      </w:pPr>
      <w:r>
        <w:rPr>
          <w:color w:val="auto"/>
        </w:rPr>
        <w:t>3</w:t>
      </w:r>
      <w:r>
        <w:rPr>
          <w:rFonts w:hint="eastAsia"/>
          <w:color w:val="auto"/>
        </w:rPr>
        <w:t>.效果性</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我署2019年度根据单位职责，结合部门整体支出绩效目标，合理设置个性化绩效指标，并通过各部门之间的积极协调开展工作，基本如期完成项目绩效目标。根据单位履职内容和性质，主要从社会效益、可持续影响、服务对象满意度等方面，对工作实效和效益进行评价：</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（1）社会效益</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在一般管理事务方面，我署本年度通过各项工作的开展，实现安全生产事故发生次数降低为0，国际生物谷品牌影响力有效提升，机关办事效率得到有效提升。完成各项社会效益目标。</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在其他城乡社区事务方面，我署本年度通过各项工作的开展，坝光片区安全信息管理水平有所提升，国际生物谷品牌影响力有效提升，坝光片区开发建设水平得到有效提升，完成预期的各项社会效益目标。</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（2）可持续影响</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在一般管理事务方面，我署本年度档案归档制度健全，固定资产管理规范，预算绩效管理规范。完成各项可持续影响目标。</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在其他城乡社区事务方面，我署本年度展示厅管理制度健全，坝光片区开发建设管理规范。完成各项可持续影响目标。</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总体而言，我署通过本年度的工作开展，有效推动坝光开发建设，完成投资任务。工程建设项目进展顺利，品牌宣传再上新台阶，工作开展规范有序高效，高质量完成新区下达的财政预算年度指标，预算执行率达到100%，高质高效保障署内日常工作，智慧坝光建设成绩突显，城市规划项目积极推进，坝光开发建设路径探索初见成效，人才培养工作稳中有进，“一个都不掉队”共联共建活动品牌多渠道引领党建，依法依规践行绿色坝光发展理念持续有效。</w:t>
      </w:r>
    </w:p>
    <w:p>
      <w:pPr>
        <w:pStyle w:val="5"/>
        <w:rPr>
          <w:color w:val="auto"/>
        </w:rPr>
      </w:pPr>
      <w:r>
        <w:rPr>
          <w:rFonts w:hint="eastAsia"/>
          <w:color w:val="auto"/>
        </w:rPr>
        <w:t>4.公平性</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我署已建立群众意见反映渠道和群众意见办理回复机制，记录群众的各项咨询投诉问题，做好信访回复工作。此外，我署已就部门工作情况开展201</w:t>
      </w:r>
      <w:r>
        <w:rPr>
          <w:rFonts w:ascii="仿宋_GB2312" w:eastAsia="仿宋_GB2312"/>
          <w:sz w:val="32"/>
          <w:szCs w:val="32"/>
        </w:rPr>
        <w:t>9</w:t>
      </w:r>
      <w:r>
        <w:rPr>
          <w:rFonts w:hint="eastAsia" w:ascii="仿宋_GB2312" w:eastAsia="仿宋_GB2312"/>
          <w:sz w:val="32"/>
          <w:szCs w:val="32"/>
        </w:rPr>
        <w:t>年社会公众满意度调查工作，公众满意度得分为87.1分。</w:t>
      </w:r>
    </w:p>
    <w:p>
      <w:pPr>
        <w:pStyle w:val="3"/>
      </w:pPr>
      <w:r>
        <w:rPr>
          <w:rFonts w:hint="eastAsia"/>
        </w:rPr>
        <w:t>三、总体评价和整改措施</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我署在新区发财局印发的《部门整体支出绩效评价共性指标体系框架（2019年修订）》基础上，结合我署实际情况，设计了我署绩效评价指标体系，并根据个性化指标体系进行自查评分，整体支出绩效评价得分97.13分，部门整体支出绩效管理良好。</w:t>
      </w:r>
    </w:p>
    <w:p>
      <w:pPr>
        <w:pStyle w:val="4"/>
        <w:rPr>
          <w:color w:val="auto"/>
        </w:rPr>
      </w:pPr>
      <w:r>
        <w:rPr>
          <w:rFonts w:hint="eastAsia"/>
          <w:color w:val="auto"/>
        </w:rPr>
        <w:t>（一）预算绩效管理工作主要经验、做法</w:t>
      </w:r>
    </w:p>
    <w:p>
      <w:pPr>
        <w:spacing w:line="580" w:lineRule="exact"/>
        <w:ind w:firstLine="800" w:firstLineChars="250"/>
        <w:rPr>
          <w:rFonts w:ascii="仿宋_GB2312" w:eastAsia="仿宋_GB2312"/>
          <w:sz w:val="32"/>
          <w:szCs w:val="32"/>
        </w:rPr>
      </w:pPr>
      <w:r>
        <w:rPr>
          <w:rFonts w:hint="eastAsia" w:ascii="仿宋_GB2312" w:eastAsia="仿宋_GB2312"/>
          <w:sz w:val="32"/>
          <w:szCs w:val="32"/>
        </w:rPr>
        <w:t>1.201</w:t>
      </w:r>
      <w:r>
        <w:rPr>
          <w:rFonts w:ascii="仿宋_GB2312" w:eastAsia="仿宋_GB2312"/>
          <w:sz w:val="32"/>
          <w:szCs w:val="32"/>
        </w:rPr>
        <w:t>9</w:t>
      </w:r>
      <w:r>
        <w:rPr>
          <w:rFonts w:hint="eastAsia" w:ascii="仿宋_GB2312" w:eastAsia="仿宋_GB2312"/>
          <w:sz w:val="32"/>
          <w:szCs w:val="32"/>
        </w:rPr>
        <w:t>年度我署各部门在预算编制中做到结合部门主要履职目标，依据文件要求，</w:t>
      </w:r>
      <w:r>
        <w:rPr>
          <w:rFonts w:hint="eastAsia" w:ascii="仿宋_GB2312" w:eastAsia="仿宋_GB2312"/>
          <w:sz w:val="32"/>
          <w:szCs w:val="32"/>
          <w:lang w:eastAsia="zh-CN"/>
        </w:rPr>
        <w:t>详细</w:t>
      </w:r>
      <w:r>
        <w:rPr>
          <w:rFonts w:hint="eastAsia" w:ascii="仿宋_GB2312" w:eastAsia="仿宋_GB2312"/>
          <w:sz w:val="32"/>
          <w:szCs w:val="32"/>
        </w:rPr>
        <w:t>测算标准，预算项目的执行做到按计划支出，跟进序时进度，预算项目实施规范合理，项目完成接受审计监督，反馈结果及时整改，实现预算绩效管理与预算编制、执行、监督的有机结合。</w:t>
      </w:r>
    </w:p>
    <w:p>
      <w:pPr>
        <w:spacing w:line="580" w:lineRule="exact"/>
        <w:ind w:firstLine="800" w:firstLineChars="250"/>
        <w:rPr>
          <w:rFonts w:ascii="仿宋_GB2312" w:eastAsia="仿宋_GB2312"/>
          <w:sz w:val="32"/>
          <w:szCs w:val="32"/>
        </w:rPr>
      </w:pPr>
      <w:r>
        <w:rPr>
          <w:rFonts w:hint="eastAsia" w:ascii="仿宋_GB2312" w:eastAsia="仿宋_GB2312"/>
          <w:sz w:val="32"/>
          <w:szCs w:val="32"/>
        </w:rPr>
        <w:t>2.依法依规做好绩效管理的公开工作。年度整体支出绩效评价做到了执行透明和预算支出监督的完整，进一步配合上级要求对部门整体绩效工作的监督工作的力度，我署按时向社会公开了预决算，保障公民知情权，让财政资金和预算项目置于公众的监督之下，有利于降低行政事业单位廉政风险。</w:t>
      </w:r>
    </w:p>
    <w:p>
      <w:pPr>
        <w:spacing w:line="580" w:lineRule="exact"/>
        <w:ind w:firstLine="800" w:firstLineChars="250"/>
        <w:rPr>
          <w:rFonts w:ascii="仿宋_GB2312" w:eastAsia="仿宋_GB2312"/>
          <w:sz w:val="32"/>
          <w:szCs w:val="32"/>
        </w:rPr>
      </w:pPr>
      <w:r>
        <w:rPr>
          <w:rFonts w:hint="eastAsia" w:ascii="仿宋_GB2312" w:eastAsia="仿宋_GB2312"/>
          <w:sz w:val="32"/>
          <w:szCs w:val="32"/>
        </w:rPr>
        <w:t>3.建立专家咨询机制,积极借助第三方机构力量参与协助我署预算绩效管理,提高预算绩效管理水平，加强预算知识学习，催化我署业务人员牢固树立绩效理念，扎实推动绩效管理工作。</w:t>
      </w:r>
    </w:p>
    <w:p>
      <w:pPr>
        <w:pStyle w:val="4"/>
        <w:rPr>
          <w:color w:val="auto"/>
        </w:rPr>
      </w:pPr>
      <w:r>
        <w:rPr>
          <w:rStyle w:val="21"/>
          <w:rFonts w:hint="eastAsia"/>
          <w:b/>
          <w:bCs/>
          <w:color w:val="auto"/>
        </w:rPr>
        <w:t>（二）部门整体支出绩效存在问题及改进措施</w:t>
      </w:r>
    </w:p>
    <w:p>
      <w:pPr>
        <w:pStyle w:val="5"/>
        <w:rPr>
          <w:color w:val="auto"/>
        </w:rPr>
      </w:pPr>
      <w:r>
        <w:rPr>
          <w:rFonts w:hint="eastAsia"/>
          <w:color w:val="auto"/>
        </w:rPr>
        <w:t>存在问题：</w:t>
      </w:r>
    </w:p>
    <w:p>
      <w:pPr>
        <w:spacing w:line="580" w:lineRule="exact"/>
        <w:ind w:firstLine="800" w:firstLineChars="250"/>
        <w:rPr>
          <w:rFonts w:ascii="仿宋_GB2312" w:eastAsia="仿宋_GB2312"/>
          <w:sz w:val="32"/>
          <w:szCs w:val="32"/>
        </w:rPr>
      </w:pPr>
      <w:r>
        <w:rPr>
          <w:rFonts w:hint="eastAsia" w:ascii="仿宋_GB2312" w:eastAsia="仿宋_GB2312"/>
          <w:sz w:val="32"/>
          <w:szCs w:val="32"/>
        </w:rPr>
        <w:t>预算绩效管理工作尚未全面深入。我署当前预算绩效管理主要按照新区要求开展，绩效管理工作零散不成体系，未打通绩效管理各环节，各环节工作不能衔接形成有效循环，影响绩效管理工作效果。</w:t>
      </w:r>
    </w:p>
    <w:p>
      <w:pPr>
        <w:pStyle w:val="5"/>
        <w:rPr>
          <w:color w:val="auto"/>
        </w:rPr>
      </w:pPr>
      <w:r>
        <w:rPr>
          <w:rFonts w:hint="eastAsia"/>
          <w:color w:val="auto"/>
        </w:rPr>
        <w:t>改进措施：</w:t>
      </w:r>
    </w:p>
    <w:p>
      <w:pPr>
        <w:spacing w:line="580" w:lineRule="exact"/>
        <w:ind w:firstLine="800" w:firstLineChars="250"/>
        <w:rPr>
          <w:rFonts w:ascii="仿宋_GB2312" w:eastAsia="仿宋_GB2312"/>
          <w:sz w:val="32"/>
          <w:szCs w:val="32"/>
        </w:rPr>
      </w:pPr>
      <w:r>
        <w:rPr>
          <w:rFonts w:hint="eastAsia" w:ascii="仿宋_GB2312" w:eastAsia="仿宋_GB2312"/>
          <w:sz w:val="32"/>
          <w:szCs w:val="32"/>
        </w:rPr>
        <w:t>根据上级预算绩效管理的要求，结合我署绩效管理实际，进一步完善预算绩效管理制度体系，明确事前绩效评估、绩效目标编制、预算绩效目标及执行进度双监控、绩效评价、评价结果反馈应用等全过程绩效管理内容，形成绩效管理手册或者实施细则等可操作的指引文件，建立全过程预算绩效管理链条，有效贯彻落实“全面实施绩效管理”精神。</w:t>
      </w:r>
    </w:p>
    <w:p>
      <w:pPr>
        <w:pStyle w:val="4"/>
        <w:rPr>
          <w:color w:val="auto"/>
        </w:rPr>
      </w:pPr>
      <w:r>
        <w:rPr>
          <w:rFonts w:hint="eastAsia"/>
          <w:color w:val="auto"/>
        </w:rPr>
        <w:t>（三）后续工作计划、相关建议等</w:t>
      </w:r>
    </w:p>
    <w:p>
      <w:pPr>
        <w:spacing w:line="580" w:lineRule="exact"/>
        <w:ind w:firstLine="800" w:firstLineChars="250"/>
        <w:rPr>
          <w:rFonts w:ascii="仿宋_GB2312" w:eastAsia="仿宋_GB2312"/>
          <w:sz w:val="32"/>
          <w:szCs w:val="32"/>
        </w:rPr>
      </w:pPr>
      <w:r>
        <w:rPr>
          <w:rFonts w:hint="eastAsia" w:ascii="仿宋_GB2312" w:eastAsia="仿宋_GB2312"/>
          <w:sz w:val="32"/>
          <w:szCs w:val="32"/>
        </w:rPr>
        <w:t>1.加强预算绩效事前管理。一是选取新增重大项目，开展事前绩效评估工作，对项目立项必要性、投入经济性、绩效目标合理性、实施方案可行性、筹资合规性等进行重点论证,评估结果作为申请预算的必备要件，提升预算资金安排的科学性。二是强化审查督导，在年度编制绩效目标时，根据相关的战略方向、政策指引、年度规划等，提取、设置项目绩效目标，分类别建立科学合理、细化量化、可比可测、可动态调整项目预算绩效指标体系，突出结果导向,重点考核实绩。</w:t>
      </w:r>
    </w:p>
    <w:p>
      <w:pPr>
        <w:spacing w:line="580" w:lineRule="exact"/>
        <w:ind w:firstLine="800" w:firstLineChars="250"/>
        <w:rPr>
          <w:rFonts w:ascii="仿宋_GB2312" w:eastAsia="仿宋_GB2312"/>
          <w:sz w:val="32"/>
          <w:szCs w:val="32"/>
        </w:rPr>
      </w:pPr>
      <w:r>
        <w:rPr>
          <w:rFonts w:hint="eastAsia" w:ascii="仿宋_GB2312" w:eastAsia="仿宋_GB2312"/>
          <w:sz w:val="32"/>
          <w:szCs w:val="32"/>
        </w:rPr>
        <w:t>2.明确绩效管理责任约束。明确我署各部门及项目负责人绩效管理责任，部门负责人对本部门预算绩效负责,项目责任人对项目预算绩效负责,切实做到花钱必问效、无效必问责。</w:t>
      </w:r>
    </w:p>
    <w:p>
      <w:pPr>
        <w:spacing w:line="580" w:lineRule="exact"/>
        <w:ind w:firstLine="800" w:firstLineChars="250"/>
        <w:rPr>
          <w:rFonts w:ascii="仿宋_GB2312" w:eastAsia="仿宋_GB2312"/>
          <w:sz w:val="32"/>
          <w:szCs w:val="32"/>
        </w:rPr>
      </w:pPr>
      <w:r>
        <w:rPr>
          <w:rFonts w:hint="eastAsia" w:ascii="仿宋_GB2312" w:eastAsia="仿宋_GB2312"/>
          <w:sz w:val="32"/>
          <w:szCs w:val="32"/>
        </w:rPr>
        <w:t>3.强化绩效管理激励约束。建立绩效评价结果与预算安排挂钩机制,将项目绩效与项目预算安排挂钩,对绩效好的项目原则上优先保障,对绩效一般的项目要督促改进,对交叉重复、碎片化的项目予以调整,对低效无效资金一律削减或取消。</w:t>
      </w:r>
    </w:p>
    <w:p>
      <w:pPr>
        <w:pStyle w:val="3"/>
      </w:pPr>
      <w:r>
        <w:rPr>
          <w:rFonts w:hint="eastAsia"/>
        </w:rPr>
        <w:t>四、部门整体支出绩效评价指标评分情况</w:t>
      </w:r>
    </w:p>
    <w:p>
      <w:pPr>
        <w:spacing w:line="580" w:lineRule="exact"/>
        <w:ind w:firstLine="800" w:firstLineChars="250"/>
        <w:rPr>
          <w:rFonts w:ascii="仿宋_GB2312" w:eastAsia="仿宋_GB2312"/>
          <w:sz w:val="32"/>
          <w:szCs w:val="32"/>
        </w:rPr>
        <w:sectPr>
          <w:footerReference r:id="rId3" w:type="default"/>
          <w:pgSz w:w="11906" w:h="16838"/>
          <w:pgMar w:top="2098" w:right="1474" w:bottom="1984" w:left="1587" w:header="851" w:footer="992" w:gutter="0"/>
          <w:pgNumType w:fmt="numberInDash" w:start="1"/>
          <w:cols w:space="425" w:num="1"/>
          <w:docGrid w:type="lines" w:linePitch="312" w:charSpace="0"/>
        </w:sectPr>
      </w:pPr>
      <w:r>
        <w:rPr>
          <w:rFonts w:hint="eastAsia" w:ascii="仿宋_GB2312" w:eastAsia="仿宋_GB2312"/>
          <w:sz w:val="32"/>
          <w:szCs w:val="32"/>
        </w:rPr>
        <w:t>参照《部门整体支出绩效评价共性指标体系框架（2019修订）》进行自评，我署整体得分97.13分。</w:t>
      </w:r>
    </w:p>
    <w:p>
      <w:pPr>
        <w:tabs>
          <w:tab w:val="center" w:pos="6979"/>
        </w:tabs>
        <w:spacing w:line="620" w:lineRule="exact"/>
        <w:jc w:val="center"/>
        <w:rPr>
          <w:sz w:val="36"/>
          <w:szCs w:val="36"/>
        </w:rPr>
      </w:pPr>
      <w:r>
        <w:rPr>
          <w:rFonts w:hint="eastAsia" w:ascii="方正小标宋简体" w:eastAsia="方正小标宋简体" w:cs="方正小标宋简体"/>
          <w:sz w:val="36"/>
          <w:szCs w:val="36"/>
        </w:rPr>
        <w:t>部门整体支出绩效评价共性指标体系框架（2019年）</w:t>
      </w:r>
    </w:p>
    <w:p>
      <w:pPr>
        <w:tabs>
          <w:tab w:val="left" w:pos="970"/>
        </w:tabs>
        <w:jc w:val="left"/>
      </w:pPr>
      <w:r>
        <w:rPr>
          <w:rFonts w:hint="eastAsia"/>
        </w:rPr>
        <w:tab/>
      </w:r>
    </w:p>
    <w:tbl>
      <w:tblPr>
        <w:tblStyle w:val="12"/>
        <w:tblW w:w="13585" w:type="dxa"/>
        <w:jc w:val="center"/>
        <w:tblLayout w:type="fixed"/>
        <w:tblCellMar>
          <w:top w:w="0" w:type="dxa"/>
          <w:left w:w="108" w:type="dxa"/>
          <w:bottom w:w="0" w:type="dxa"/>
          <w:right w:w="108" w:type="dxa"/>
        </w:tblCellMar>
      </w:tblPr>
      <w:tblGrid>
        <w:gridCol w:w="493"/>
        <w:gridCol w:w="567"/>
        <w:gridCol w:w="550"/>
        <w:gridCol w:w="567"/>
        <w:gridCol w:w="641"/>
        <w:gridCol w:w="683"/>
        <w:gridCol w:w="2826"/>
        <w:gridCol w:w="6475"/>
        <w:gridCol w:w="783"/>
      </w:tblGrid>
      <w:tr>
        <w:tblPrEx>
          <w:tblCellMar>
            <w:top w:w="0" w:type="dxa"/>
            <w:left w:w="108" w:type="dxa"/>
            <w:bottom w:w="0" w:type="dxa"/>
            <w:right w:w="108" w:type="dxa"/>
          </w:tblCellMar>
        </w:tblPrEx>
        <w:trPr>
          <w:trHeight w:val="180" w:hRule="atLeast"/>
          <w:tblHeader/>
          <w:jc w:val="center"/>
        </w:trPr>
        <w:tc>
          <w:tcPr>
            <w:tcW w:w="3501" w:type="dxa"/>
            <w:gridSpan w:val="6"/>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评价指标</w:t>
            </w:r>
          </w:p>
        </w:tc>
        <w:tc>
          <w:tcPr>
            <w:tcW w:w="2826" w:type="dxa"/>
            <w:vMerge w:val="restart"/>
            <w:tcBorders>
              <w:top w:val="single" w:color="auto" w:sz="4" w:space="0"/>
              <w:left w:val="nil"/>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指标说明</w:t>
            </w:r>
          </w:p>
        </w:tc>
        <w:tc>
          <w:tcPr>
            <w:tcW w:w="6475" w:type="dxa"/>
            <w:vMerge w:val="restart"/>
            <w:tcBorders>
              <w:top w:val="single" w:color="auto" w:sz="4" w:space="0"/>
              <w:left w:val="nil"/>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参考评分标准</w:t>
            </w:r>
          </w:p>
        </w:tc>
        <w:tc>
          <w:tcPr>
            <w:tcW w:w="783" w:type="dxa"/>
            <w:vMerge w:val="restart"/>
            <w:tcBorders>
              <w:top w:val="single" w:color="auto" w:sz="4" w:space="0"/>
              <w:left w:val="nil"/>
              <w:right w:val="single" w:color="auto" w:sz="4" w:space="0"/>
            </w:tcBorders>
            <w:vAlign w:val="center"/>
          </w:tcPr>
          <w:p>
            <w:pPr>
              <w:widowControl/>
              <w:spacing w:line="320" w:lineRule="exact"/>
              <w:jc w:val="center"/>
              <w:rPr>
                <w:rFonts w:ascii="黑体" w:hAnsi="黑体" w:eastAsia="黑体" w:cs="黑体"/>
                <w:kern w:val="0"/>
              </w:rPr>
            </w:pPr>
            <w:r>
              <w:rPr>
                <w:rFonts w:hint="eastAsia" w:ascii="黑体" w:hAnsi="黑体" w:eastAsia="黑体" w:cs="黑体"/>
                <w:kern w:val="0"/>
              </w:rPr>
              <w:t>得分情况</w:t>
            </w:r>
          </w:p>
        </w:tc>
      </w:tr>
      <w:tr>
        <w:tblPrEx>
          <w:tblCellMar>
            <w:top w:w="0" w:type="dxa"/>
            <w:left w:w="108" w:type="dxa"/>
            <w:bottom w:w="0" w:type="dxa"/>
            <w:right w:w="108" w:type="dxa"/>
          </w:tblCellMar>
        </w:tblPrEx>
        <w:trPr>
          <w:trHeight w:val="463" w:hRule="atLeast"/>
          <w:tblHeader/>
          <w:jc w:val="center"/>
        </w:trPr>
        <w:tc>
          <w:tcPr>
            <w:tcW w:w="1060" w:type="dxa"/>
            <w:gridSpan w:val="2"/>
            <w:tcBorders>
              <w:top w:val="nil"/>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一级指标</w:t>
            </w:r>
          </w:p>
        </w:tc>
        <w:tc>
          <w:tcPr>
            <w:tcW w:w="1117" w:type="dxa"/>
            <w:gridSpan w:val="2"/>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二级指标</w:t>
            </w:r>
          </w:p>
        </w:tc>
        <w:tc>
          <w:tcPr>
            <w:tcW w:w="1324" w:type="dxa"/>
            <w:gridSpan w:val="2"/>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三级指标</w:t>
            </w:r>
          </w:p>
        </w:tc>
        <w:tc>
          <w:tcPr>
            <w:tcW w:w="2826" w:type="dxa"/>
            <w:vMerge w:val="continue"/>
            <w:tcBorders>
              <w:left w:val="nil"/>
              <w:right w:val="single" w:color="auto" w:sz="4" w:space="0"/>
            </w:tcBorders>
            <w:vAlign w:val="center"/>
          </w:tcPr>
          <w:p>
            <w:pPr>
              <w:spacing w:line="320" w:lineRule="exact"/>
              <w:jc w:val="center"/>
              <w:rPr>
                <w:rFonts w:ascii="黑体" w:hAnsi="黑体" w:eastAsia="黑体"/>
                <w:kern w:val="0"/>
                <w:sz w:val="15"/>
                <w:szCs w:val="15"/>
              </w:rPr>
            </w:pPr>
          </w:p>
        </w:tc>
        <w:tc>
          <w:tcPr>
            <w:tcW w:w="6475" w:type="dxa"/>
            <w:vMerge w:val="continue"/>
            <w:tcBorders>
              <w:left w:val="nil"/>
              <w:right w:val="single" w:color="auto" w:sz="4" w:space="0"/>
            </w:tcBorders>
            <w:vAlign w:val="center"/>
          </w:tcPr>
          <w:p>
            <w:pPr>
              <w:spacing w:line="320" w:lineRule="exact"/>
              <w:jc w:val="center"/>
              <w:rPr>
                <w:rFonts w:ascii="黑体" w:hAnsi="黑体" w:eastAsia="黑体"/>
                <w:kern w:val="0"/>
                <w:sz w:val="15"/>
                <w:szCs w:val="15"/>
              </w:rPr>
            </w:pPr>
          </w:p>
        </w:tc>
        <w:tc>
          <w:tcPr>
            <w:tcW w:w="783" w:type="dxa"/>
            <w:vMerge w:val="continue"/>
            <w:tcBorders>
              <w:left w:val="nil"/>
              <w:right w:val="single" w:color="auto" w:sz="4" w:space="0"/>
            </w:tcBorders>
            <w:vAlign w:val="center"/>
          </w:tcPr>
          <w:p>
            <w:pPr>
              <w:spacing w:line="320" w:lineRule="exact"/>
              <w:jc w:val="center"/>
              <w:rPr>
                <w:rFonts w:ascii="黑体" w:hAnsi="黑体" w:eastAsia="黑体"/>
                <w:kern w:val="0"/>
                <w:sz w:val="15"/>
                <w:szCs w:val="15"/>
              </w:rPr>
            </w:pPr>
          </w:p>
        </w:tc>
      </w:tr>
      <w:tr>
        <w:tblPrEx>
          <w:tblCellMar>
            <w:top w:w="0" w:type="dxa"/>
            <w:left w:w="108" w:type="dxa"/>
            <w:bottom w:w="0" w:type="dxa"/>
            <w:right w:w="108" w:type="dxa"/>
          </w:tblCellMar>
        </w:tblPrEx>
        <w:trPr>
          <w:trHeight w:val="180" w:hRule="atLeast"/>
          <w:tblHeader/>
          <w:jc w:val="center"/>
        </w:trPr>
        <w:tc>
          <w:tcPr>
            <w:tcW w:w="493" w:type="dxa"/>
            <w:tcBorders>
              <w:top w:val="nil"/>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550"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641"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683"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2826" w:type="dxa"/>
            <w:vMerge w:val="continue"/>
            <w:tcBorders>
              <w:left w:val="nil"/>
              <w:bottom w:val="single" w:color="auto" w:sz="4" w:space="0"/>
              <w:right w:val="single" w:color="auto" w:sz="4" w:space="0"/>
            </w:tcBorders>
            <w:vAlign w:val="center"/>
          </w:tcPr>
          <w:p>
            <w:pPr>
              <w:widowControl/>
              <w:spacing w:line="320" w:lineRule="exact"/>
              <w:jc w:val="center"/>
              <w:rPr>
                <w:rFonts w:ascii="黑体" w:hAnsi="黑体" w:eastAsia="黑体"/>
                <w:kern w:val="0"/>
                <w:sz w:val="15"/>
                <w:szCs w:val="15"/>
              </w:rPr>
            </w:pPr>
          </w:p>
        </w:tc>
        <w:tc>
          <w:tcPr>
            <w:tcW w:w="6475" w:type="dxa"/>
            <w:vMerge w:val="continue"/>
            <w:tcBorders>
              <w:left w:val="nil"/>
              <w:bottom w:val="single" w:color="auto" w:sz="4" w:space="0"/>
              <w:right w:val="single" w:color="auto" w:sz="4" w:space="0"/>
            </w:tcBorders>
            <w:vAlign w:val="center"/>
          </w:tcPr>
          <w:p>
            <w:pPr>
              <w:widowControl/>
              <w:spacing w:line="320" w:lineRule="exact"/>
              <w:jc w:val="center"/>
              <w:rPr>
                <w:rFonts w:ascii="黑体" w:hAnsi="黑体" w:eastAsia="黑体"/>
                <w:kern w:val="0"/>
                <w:sz w:val="15"/>
                <w:szCs w:val="15"/>
              </w:rPr>
            </w:pPr>
          </w:p>
        </w:tc>
        <w:tc>
          <w:tcPr>
            <w:tcW w:w="783" w:type="dxa"/>
            <w:vMerge w:val="continue"/>
            <w:tcBorders>
              <w:left w:val="nil"/>
              <w:bottom w:val="single" w:color="auto" w:sz="4" w:space="0"/>
              <w:right w:val="single" w:color="auto" w:sz="4" w:space="0"/>
            </w:tcBorders>
            <w:vAlign w:val="center"/>
          </w:tcPr>
          <w:p>
            <w:pPr>
              <w:widowControl/>
              <w:spacing w:line="320" w:lineRule="exact"/>
              <w:jc w:val="center"/>
              <w:rPr>
                <w:rFonts w:ascii="黑体" w:hAnsi="黑体" w:eastAsia="黑体"/>
                <w:kern w:val="0"/>
                <w:sz w:val="15"/>
                <w:szCs w:val="15"/>
              </w:rPr>
            </w:pPr>
          </w:p>
        </w:tc>
      </w:tr>
      <w:tr>
        <w:tblPrEx>
          <w:tblCellMar>
            <w:top w:w="0" w:type="dxa"/>
            <w:left w:w="108" w:type="dxa"/>
            <w:bottom w:w="0" w:type="dxa"/>
            <w:right w:w="108" w:type="dxa"/>
          </w:tblCellMar>
        </w:tblPrEx>
        <w:trPr>
          <w:trHeight w:val="2643" w:hRule="atLeast"/>
          <w:jc w:val="center"/>
        </w:trPr>
        <w:tc>
          <w:tcPr>
            <w:tcW w:w="493"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部门决策</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r>
              <w:rPr>
                <w:rFonts w:ascii="宋体" w:hAnsi="宋体" w:cs="宋体"/>
                <w:kern w:val="0"/>
              </w:rPr>
              <w:t>2</w:t>
            </w:r>
            <w:r>
              <w:rPr>
                <w:rFonts w:hint="eastAsia" w:ascii="宋体" w:hAnsi="宋体" w:cs="宋体"/>
                <w:kern w:val="0"/>
              </w:rPr>
              <w:t>5</w:t>
            </w:r>
          </w:p>
        </w:tc>
        <w:tc>
          <w:tcPr>
            <w:tcW w:w="550"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预算编制</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kern w:val="0"/>
              </w:rPr>
            </w:pPr>
            <w:r>
              <w:rPr>
                <w:rFonts w:ascii="宋体" w:hAnsi="宋体" w:cs="宋体"/>
                <w:kern w:val="0"/>
              </w:rPr>
              <w:t>10</w:t>
            </w:r>
          </w:p>
        </w:tc>
        <w:tc>
          <w:tcPr>
            <w:tcW w:w="641" w:type="dxa"/>
            <w:tcBorders>
              <w:top w:val="nil"/>
              <w:left w:val="nil"/>
              <w:bottom w:val="single" w:color="auto" w:sz="4" w:space="0"/>
              <w:right w:val="single" w:color="auto" w:sz="4" w:space="0"/>
            </w:tcBorders>
            <w:vAlign w:val="center"/>
          </w:tcPr>
          <w:p>
            <w:pPr>
              <w:widowControl/>
              <w:spacing w:line="300" w:lineRule="exact"/>
              <w:jc w:val="left"/>
              <w:rPr>
                <w:rFonts w:ascii="宋体" w:hAnsi="宋体"/>
                <w:kern w:val="0"/>
              </w:rPr>
            </w:pPr>
            <w:r>
              <w:rPr>
                <w:rFonts w:hint="eastAsia" w:ascii="宋体" w:hAnsi="宋体" w:cs="宋体"/>
                <w:kern w:val="0"/>
              </w:rPr>
              <w:t>预算编制合理性</w:t>
            </w:r>
          </w:p>
        </w:tc>
        <w:tc>
          <w:tcPr>
            <w:tcW w:w="683" w:type="dxa"/>
            <w:tcBorders>
              <w:top w:val="nil"/>
              <w:left w:val="nil"/>
              <w:bottom w:val="single" w:color="auto" w:sz="4" w:space="0"/>
              <w:right w:val="single" w:color="auto" w:sz="4" w:space="0"/>
            </w:tcBorders>
            <w:vAlign w:val="center"/>
          </w:tcPr>
          <w:p>
            <w:pPr>
              <w:widowControl/>
              <w:spacing w:line="300" w:lineRule="exact"/>
              <w:jc w:val="center"/>
              <w:rPr>
                <w:rFonts w:ascii="宋体" w:hAnsi="宋体"/>
                <w:kern w:val="0"/>
              </w:rPr>
            </w:pPr>
            <w:r>
              <w:rPr>
                <w:rFonts w:ascii="宋体" w:hAnsi="宋体" w:cs="宋体"/>
                <w:kern w:val="0"/>
              </w:rPr>
              <w:t>5</w:t>
            </w:r>
          </w:p>
        </w:tc>
        <w:tc>
          <w:tcPr>
            <w:tcW w:w="2826" w:type="dxa"/>
            <w:tcBorders>
              <w:top w:val="nil"/>
              <w:left w:val="nil"/>
              <w:bottom w:val="single" w:color="auto" w:sz="4" w:space="0"/>
              <w:right w:val="single" w:color="auto" w:sz="4" w:space="0"/>
            </w:tcBorders>
            <w:vAlign w:val="center"/>
          </w:tcPr>
          <w:p>
            <w:pPr>
              <w:widowControl/>
              <w:spacing w:line="300" w:lineRule="exact"/>
              <w:rPr>
                <w:rFonts w:ascii="宋体" w:hAnsi="宋体"/>
                <w:kern w:val="0"/>
              </w:rPr>
            </w:pPr>
            <w:r>
              <w:rPr>
                <w:rFonts w:hint="eastAsia" w:ascii="宋体" w:hAnsi="宋体" w:cs="宋体"/>
                <w:kern w:val="0"/>
              </w:rPr>
              <w:t>部门（单位）预算的合理性，即是否符合本部门职责、是否符合新区党工委管委会的方针政策和工作要求，资金有无根据项目的轻重缓急进行分配。</w:t>
            </w:r>
          </w:p>
        </w:tc>
        <w:tc>
          <w:tcPr>
            <w:tcW w:w="6475" w:type="dxa"/>
            <w:tcBorders>
              <w:top w:val="nil"/>
              <w:left w:val="nil"/>
              <w:bottom w:val="single" w:color="auto" w:sz="4" w:space="0"/>
              <w:right w:val="single" w:color="auto" w:sz="4" w:space="0"/>
            </w:tcBorders>
          </w:tcPr>
          <w:p>
            <w:pPr>
              <w:widowControl/>
              <w:spacing w:line="300" w:lineRule="exact"/>
              <w:jc w:val="left"/>
              <w:rPr>
                <w:rFonts w:ascii="宋体" w:hAnsi="宋体"/>
                <w:kern w:val="0"/>
              </w:rPr>
            </w:pPr>
            <w:r>
              <w:rPr>
                <w:rFonts w:ascii="宋体" w:hAnsi="宋体" w:cs="宋体"/>
                <w:kern w:val="0"/>
              </w:rPr>
              <w:t xml:space="preserve">   1.</w:t>
            </w:r>
            <w:r>
              <w:rPr>
                <w:rFonts w:hint="eastAsia" w:ascii="宋体" w:hAnsi="宋体" w:cs="宋体"/>
                <w:kern w:val="0"/>
              </w:rPr>
              <w:t>部门预算编制、分配符合本部门职责、符合新区党工委管委会方针政策和工作要求（</w:t>
            </w:r>
            <w:r>
              <w:rPr>
                <w:rFonts w:ascii="宋体" w:hAnsi="宋体" w:cs="宋体"/>
                <w:kern w:val="0"/>
              </w:rPr>
              <w:t>1</w:t>
            </w:r>
            <w:r>
              <w:rPr>
                <w:rFonts w:hint="eastAsia" w:ascii="宋体" w:hAnsi="宋体" w:cs="宋体"/>
                <w:kern w:val="0"/>
              </w:rPr>
              <w:t>分）；</w:t>
            </w:r>
            <w:r>
              <w:rPr>
                <w:rFonts w:ascii="宋体" w:hAnsi="宋体"/>
                <w:kern w:val="0"/>
              </w:rPr>
              <w:br w:type="textWrapping"/>
            </w:r>
            <w:r>
              <w:rPr>
                <w:rFonts w:ascii="宋体" w:hAnsi="宋体" w:cs="宋体"/>
                <w:kern w:val="0"/>
              </w:rPr>
              <w:t xml:space="preserve">   2.</w:t>
            </w:r>
            <w:r>
              <w:rPr>
                <w:rFonts w:hint="eastAsia" w:ascii="宋体" w:hAnsi="宋体" w:cs="宋体"/>
                <w:kern w:val="0"/>
              </w:rPr>
              <w:t>部门预算资金能根据年度工作重点，在不同项目、不同用途之间合理分配（</w:t>
            </w:r>
            <w:r>
              <w:rPr>
                <w:rFonts w:ascii="宋体" w:hAnsi="宋体" w:cs="宋体"/>
                <w:kern w:val="0"/>
              </w:rPr>
              <w:t>1</w:t>
            </w:r>
            <w:r>
              <w:rPr>
                <w:rFonts w:hint="eastAsia" w:ascii="宋体" w:hAnsi="宋体" w:cs="宋体"/>
                <w:kern w:val="0"/>
              </w:rPr>
              <w:t>分）；</w:t>
            </w:r>
            <w:r>
              <w:rPr>
                <w:rFonts w:ascii="宋体" w:hAnsi="宋体" w:cs="宋体"/>
                <w:kern w:val="0"/>
              </w:rPr>
              <w:t xml:space="preserve">                                                            </w:t>
            </w:r>
            <w:r>
              <w:rPr>
                <w:rFonts w:ascii="宋体" w:hAnsi="宋体" w:cs="宋体"/>
                <w:kern w:val="0"/>
              </w:rPr>
              <w:br w:type="textWrapping"/>
            </w:r>
            <w:r>
              <w:rPr>
                <w:rFonts w:ascii="宋体" w:hAnsi="宋体" w:cs="宋体"/>
                <w:kern w:val="0"/>
              </w:rPr>
              <w:t xml:space="preserve">   3.</w:t>
            </w:r>
            <w:r>
              <w:rPr>
                <w:rFonts w:hint="eastAsia" w:ascii="宋体" w:hAnsi="宋体" w:cs="宋体"/>
                <w:kern w:val="0"/>
              </w:rPr>
              <w:t>专项资金预算编制细化程度合理，未出现因年中调剂导致部门预决算差异过大问题（</w:t>
            </w:r>
            <w:r>
              <w:rPr>
                <w:rFonts w:ascii="宋体" w:hAnsi="宋体" w:cs="宋体"/>
                <w:kern w:val="0"/>
              </w:rPr>
              <w:t>1</w:t>
            </w:r>
            <w:r>
              <w:rPr>
                <w:rFonts w:hint="eastAsia" w:ascii="宋体" w:hAnsi="宋体" w:cs="宋体"/>
                <w:kern w:val="0"/>
              </w:rPr>
              <w:t>分）；</w:t>
            </w:r>
            <w:r>
              <w:rPr>
                <w:rFonts w:ascii="宋体" w:hAnsi="宋体" w:cs="宋体"/>
                <w:kern w:val="0"/>
              </w:rPr>
              <w:t xml:space="preserve">                                                                                       </w:t>
            </w:r>
            <w:r>
              <w:rPr>
                <w:rFonts w:ascii="宋体" w:hAnsi="宋体" w:cs="宋体"/>
                <w:kern w:val="0"/>
              </w:rPr>
              <w:br w:type="textWrapping"/>
            </w:r>
            <w:r>
              <w:rPr>
                <w:rFonts w:ascii="宋体" w:hAnsi="宋体" w:cs="宋体"/>
                <w:kern w:val="0"/>
              </w:rPr>
              <w:t xml:space="preserve">   4.</w:t>
            </w:r>
            <w:r>
              <w:rPr>
                <w:rFonts w:hint="eastAsia" w:ascii="宋体" w:hAnsi="宋体" w:cs="宋体"/>
                <w:kern w:val="0"/>
              </w:rPr>
              <w:t>功能分类和经济分类编制准确，年度中间无大量调剂，未发生项目之间频繁调剂（</w:t>
            </w:r>
            <w:r>
              <w:rPr>
                <w:rFonts w:ascii="宋体" w:hAnsi="宋体" w:cs="宋体"/>
                <w:kern w:val="0"/>
              </w:rPr>
              <w:t>1</w:t>
            </w:r>
            <w:r>
              <w:rPr>
                <w:rFonts w:hint="eastAsia" w:ascii="宋体" w:hAnsi="宋体" w:cs="宋体"/>
                <w:kern w:val="0"/>
              </w:rPr>
              <w:t>分）；</w:t>
            </w:r>
            <w:r>
              <w:rPr>
                <w:rFonts w:ascii="宋体" w:hAnsi="宋体"/>
                <w:kern w:val="0"/>
              </w:rPr>
              <w:br w:type="textWrapping"/>
            </w:r>
            <w:r>
              <w:rPr>
                <w:rFonts w:ascii="宋体" w:hAnsi="宋体" w:cs="宋体"/>
                <w:kern w:val="0"/>
              </w:rPr>
              <w:t xml:space="preserve">   5.</w:t>
            </w:r>
            <w:r>
              <w:rPr>
                <w:rFonts w:hint="eastAsia" w:ascii="宋体" w:hAnsi="宋体" w:cs="宋体"/>
                <w:kern w:val="0"/>
              </w:rPr>
              <w:t>部门预算分配不固化，能根据实际情况合理调整，不存在项目支出进度慢、完成率低、绩效较差，但连年持续安排预算等不合理的情况（</w:t>
            </w:r>
            <w:r>
              <w:rPr>
                <w:rFonts w:ascii="宋体" w:hAnsi="宋体" w:cs="宋体"/>
                <w:kern w:val="0"/>
              </w:rPr>
              <w:t>1</w:t>
            </w:r>
            <w:r>
              <w:rPr>
                <w:rFonts w:hint="eastAsia" w:ascii="宋体" w:hAnsi="宋体" w:cs="宋体"/>
                <w:kern w:val="0"/>
              </w:rPr>
              <w:t>分）。</w:t>
            </w:r>
          </w:p>
        </w:tc>
        <w:tc>
          <w:tcPr>
            <w:tcW w:w="783"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rPr>
            </w:pPr>
            <w:r>
              <w:rPr>
                <w:rFonts w:hint="eastAsia" w:ascii="宋体" w:hAnsi="宋体" w:cs="宋体"/>
                <w:kern w:val="0"/>
              </w:rPr>
              <w:t>5</w:t>
            </w:r>
          </w:p>
        </w:tc>
      </w:tr>
      <w:tr>
        <w:tblPrEx>
          <w:tblCellMar>
            <w:top w:w="0" w:type="dxa"/>
            <w:left w:w="108" w:type="dxa"/>
            <w:bottom w:w="0" w:type="dxa"/>
            <w:right w:w="108" w:type="dxa"/>
          </w:tblCellMar>
        </w:tblPrEx>
        <w:trPr>
          <w:trHeight w:val="1689" w:hRule="atLeast"/>
          <w:jc w:val="center"/>
        </w:trPr>
        <w:tc>
          <w:tcPr>
            <w:tcW w:w="493"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50"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kern w:val="0"/>
              </w:rPr>
            </w:pPr>
          </w:p>
        </w:tc>
        <w:tc>
          <w:tcPr>
            <w:tcW w:w="641" w:type="dxa"/>
            <w:tcBorders>
              <w:top w:val="nil"/>
              <w:left w:val="nil"/>
              <w:bottom w:val="single" w:color="auto" w:sz="4" w:space="0"/>
              <w:right w:val="single" w:color="auto" w:sz="4" w:space="0"/>
            </w:tcBorders>
            <w:vAlign w:val="center"/>
          </w:tcPr>
          <w:p>
            <w:pPr>
              <w:widowControl/>
              <w:spacing w:line="300" w:lineRule="exact"/>
              <w:jc w:val="left"/>
              <w:rPr>
                <w:rFonts w:ascii="宋体" w:hAnsi="宋体"/>
                <w:kern w:val="0"/>
              </w:rPr>
            </w:pPr>
            <w:r>
              <w:rPr>
                <w:rFonts w:hint="eastAsia" w:ascii="宋体" w:hAnsi="宋体" w:cs="宋体"/>
                <w:kern w:val="0"/>
              </w:rPr>
              <w:t>预算编制规范性</w:t>
            </w:r>
          </w:p>
        </w:tc>
        <w:tc>
          <w:tcPr>
            <w:tcW w:w="683" w:type="dxa"/>
            <w:tcBorders>
              <w:top w:val="nil"/>
              <w:left w:val="nil"/>
              <w:bottom w:val="single" w:color="auto" w:sz="4" w:space="0"/>
              <w:right w:val="single" w:color="auto" w:sz="4" w:space="0"/>
            </w:tcBorders>
            <w:vAlign w:val="center"/>
          </w:tcPr>
          <w:p>
            <w:pPr>
              <w:widowControl/>
              <w:spacing w:line="300" w:lineRule="exact"/>
              <w:jc w:val="center"/>
              <w:rPr>
                <w:rFonts w:ascii="宋体" w:hAnsi="宋体"/>
                <w:kern w:val="0"/>
              </w:rPr>
            </w:pPr>
            <w:r>
              <w:rPr>
                <w:rFonts w:ascii="宋体" w:hAnsi="宋体" w:cs="宋体"/>
                <w:kern w:val="0"/>
              </w:rPr>
              <w:t>5</w:t>
            </w:r>
          </w:p>
        </w:tc>
        <w:tc>
          <w:tcPr>
            <w:tcW w:w="2826" w:type="dxa"/>
            <w:tcBorders>
              <w:top w:val="nil"/>
              <w:left w:val="nil"/>
              <w:bottom w:val="single" w:color="auto" w:sz="4" w:space="0"/>
              <w:right w:val="single" w:color="auto" w:sz="4" w:space="0"/>
            </w:tcBorders>
            <w:vAlign w:val="center"/>
          </w:tcPr>
          <w:p>
            <w:pPr>
              <w:widowControl/>
              <w:spacing w:line="300" w:lineRule="exact"/>
              <w:rPr>
                <w:rFonts w:ascii="宋体" w:hAnsi="宋体"/>
                <w:kern w:val="0"/>
              </w:rPr>
            </w:pPr>
            <w:r>
              <w:rPr>
                <w:rFonts w:hint="eastAsia" w:ascii="宋体" w:hAnsi="宋体" w:cs="宋体"/>
                <w:kern w:val="0"/>
              </w:rPr>
              <w:t>部门（单位）预算编制是否符合财政部门当年度关于预算编制在规范性、完整性、细化程度等方面的原则和要求。</w:t>
            </w:r>
          </w:p>
        </w:tc>
        <w:tc>
          <w:tcPr>
            <w:tcW w:w="6475" w:type="dxa"/>
            <w:tcBorders>
              <w:top w:val="nil"/>
              <w:left w:val="nil"/>
              <w:bottom w:val="single" w:color="auto" w:sz="4" w:space="0"/>
              <w:right w:val="single" w:color="auto" w:sz="4" w:space="0"/>
            </w:tcBorders>
          </w:tcPr>
          <w:p>
            <w:pPr>
              <w:widowControl/>
              <w:spacing w:line="300" w:lineRule="exact"/>
              <w:ind w:firstLine="315" w:firstLineChars="150"/>
              <w:jc w:val="left"/>
              <w:rPr>
                <w:rFonts w:ascii="宋体" w:hAnsi="宋体"/>
                <w:kern w:val="0"/>
              </w:rPr>
            </w:pPr>
            <w:r>
              <w:rPr>
                <w:rFonts w:ascii="宋体" w:hAnsi="宋体" w:cs="宋体"/>
                <w:kern w:val="0"/>
              </w:rPr>
              <w:t>1.</w:t>
            </w:r>
            <w:r>
              <w:rPr>
                <w:rFonts w:hint="eastAsia" w:ascii="宋体" w:hAnsi="宋体" w:cs="宋体"/>
                <w:kern w:val="0"/>
              </w:rPr>
              <w:t>部门（单位）预算编制符合财政部门当年度关于预算编制的各项原则和要求，符合专项资金预算编制、项目库管理、新增项目事前绩效评估等要求（</w:t>
            </w:r>
            <w:r>
              <w:rPr>
                <w:rFonts w:ascii="宋体" w:hAnsi="宋体" w:cs="宋体"/>
                <w:kern w:val="0"/>
              </w:rPr>
              <w:t>5</w:t>
            </w:r>
            <w:r>
              <w:rPr>
                <w:rFonts w:hint="eastAsia" w:ascii="宋体" w:hAnsi="宋体" w:cs="宋体"/>
                <w:kern w:val="0"/>
              </w:rPr>
              <w:t>分）；</w:t>
            </w:r>
          </w:p>
          <w:p>
            <w:pPr>
              <w:widowControl/>
              <w:spacing w:line="300" w:lineRule="exact"/>
              <w:ind w:firstLine="315" w:firstLineChars="150"/>
              <w:jc w:val="left"/>
              <w:rPr>
                <w:rFonts w:ascii="宋体" w:hAnsi="宋体"/>
                <w:kern w:val="0"/>
              </w:rPr>
            </w:pPr>
            <w:r>
              <w:rPr>
                <w:rFonts w:ascii="宋体" w:hAnsi="宋体" w:cs="宋体"/>
                <w:kern w:val="0"/>
              </w:rPr>
              <w:t>2.</w:t>
            </w:r>
            <w:r>
              <w:rPr>
                <w:rFonts w:hint="eastAsia" w:ascii="宋体" w:hAnsi="宋体" w:cs="宋体"/>
                <w:kern w:val="0"/>
              </w:rPr>
              <w:t>发现一项不符合的扣</w:t>
            </w:r>
            <w:r>
              <w:rPr>
                <w:rFonts w:ascii="宋体" w:hAnsi="宋体" w:cs="宋体"/>
                <w:kern w:val="0"/>
              </w:rPr>
              <w:t>1</w:t>
            </w:r>
            <w:r>
              <w:rPr>
                <w:rFonts w:hint="eastAsia" w:ascii="宋体" w:hAnsi="宋体" w:cs="宋体"/>
                <w:kern w:val="0"/>
              </w:rPr>
              <w:t>分，扣完为止。</w:t>
            </w:r>
          </w:p>
          <w:p>
            <w:pPr>
              <w:widowControl/>
              <w:spacing w:line="300" w:lineRule="exact"/>
              <w:ind w:firstLine="315" w:firstLineChars="150"/>
              <w:jc w:val="left"/>
              <w:rPr>
                <w:rFonts w:ascii="宋体" w:hAnsi="宋体"/>
                <w:kern w:val="0"/>
              </w:rPr>
            </w:pPr>
            <w:r>
              <w:rPr>
                <w:rFonts w:hint="eastAsia" w:ascii="宋体" w:hAnsi="宋体" w:cs="宋体"/>
                <w:kern w:val="0"/>
              </w:rPr>
              <w:t>本指标需对照相应年度由财政部门印发的部门预算编制工作方案、通知和有关制度文件，根据实际情况评分。</w:t>
            </w:r>
          </w:p>
        </w:tc>
        <w:tc>
          <w:tcPr>
            <w:tcW w:w="783"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rPr>
            </w:pPr>
            <w:r>
              <w:rPr>
                <w:rFonts w:hint="eastAsia" w:ascii="宋体" w:hAnsi="宋体" w:cs="宋体"/>
                <w:kern w:val="0"/>
              </w:rPr>
              <w:t>5</w:t>
            </w:r>
          </w:p>
        </w:tc>
      </w:tr>
      <w:tr>
        <w:tblPrEx>
          <w:tblCellMar>
            <w:top w:w="0" w:type="dxa"/>
            <w:left w:w="108" w:type="dxa"/>
            <w:bottom w:w="0" w:type="dxa"/>
            <w:right w:w="108" w:type="dxa"/>
          </w:tblCellMar>
        </w:tblPrEx>
        <w:trPr>
          <w:trHeight w:val="1621" w:hRule="atLeast"/>
          <w:jc w:val="center"/>
        </w:trPr>
        <w:tc>
          <w:tcPr>
            <w:tcW w:w="493"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50"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目标设置</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hAnsi="宋体"/>
                <w:kern w:val="0"/>
              </w:rPr>
            </w:pPr>
            <w:r>
              <w:rPr>
                <w:rFonts w:ascii="宋体" w:hAnsi="宋体" w:cs="宋体"/>
                <w:kern w:val="0"/>
              </w:rPr>
              <w:t>1</w:t>
            </w:r>
            <w:r>
              <w:rPr>
                <w:rFonts w:hint="eastAsia" w:ascii="宋体" w:hAnsi="宋体" w:cs="宋体"/>
                <w:kern w:val="0"/>
              </w:rPr>
              <w:t>5</w:t>
            </w:r>
          </w:p>
        </w:tc>
        <w:tc>
          <w:tcPr>
            <w:tcW w:w="641" w:type="dxa"/>
            <w:tcBorders>
              <w:top w:val="nil"/>
              <w:left w:val="nil"/>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绩效目标完整性</w:t>
            </w:r>
          </w:p>
        </w:tc>
        <w:tc>
          <w:tcPr>
            <w:tcW w:w="6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kern w:val="0"/>
              </w:rPr>
            </w:pPr>
            <w:r>
              <w:rPr>
                <w:rFonts w:hint="eastAsia" w:ascii="宋体" w:hAnsi="宋体" w:cs="宋体"/>
                <w:kern w:val="0"/>
              </w:rPr>
              <w:t>8</w:t>
            </w:r>
          </w:p>
        </w:tc>
        <w:tc>
          <w:tcPr>
            <w:tcW w:w="2826" w:type="dxa"/>
            <w:tcBorders>
              <w:top w:val="nil"/>
              <w:left w:val="nil"/>
              <w:bottom w:val="single" w:color="auto" w:sz="4" w:space="0"/>
              <w:right w:val="single" w:color="auto" w:sz="4" w:space="0"/>
            </w:tcBorders>
            <w:vAlign w:val="center"/>
          </w:tcPr>
          <w:p>
            <w:pPr>
              <w:widowControl/>
              <w:spacing w:line="320" w:lineRule="exact"/>
              <w:rPr>
                <w:rFonts w:ascii="宋体" w:hAnsi="宋体"/>
                <w:kern w:val="0"/>
              </w:rPr>
            </w:pPr>
            <w:r>
              <w:rPr>
                <w:rFonts w:hint="eastAsia" w:ascii="宋体" w:hAnsi="宋体" w:cs="宋体"/>
                <w:kern w:val="0"/>
              </w:rPr>
              <w:t>部门（单位）是否按要求编报项目绩效目标，是否依据充分、内容完整、覆盖全面、符合实际。</w:t>
            </w:r>
          </w:p>
        </w:tc>
        <w:tc>
          <w:tcPr>
            <w:tcW w:w="6475" w:type="dxa"/>
            <w:tcBorders>
              <w:top w:val="nil"/>
              <w:left w:val="nil"/>
              <w:bottom w:val="single" w:color="auto" w:sz="4" w:space="0"/>
              <w:right w:val="single" w:color="auto" w:sz="4" w:space="0"/>
            </w:tcBorders>
            <w:vAlign w:val="center"/>
          </w:tcPr>
          <w:p>
            <w:pPr>
              <w:widowControl/>
              <w:spacing w:line="320" w:lineRule="exact"/>
              <w:rPr>
                <w:rFonts w:ascii="宋体" w:hAnsi="宋体" w:cs="宋体"/>
                <w:kern w:val="0"/>
              </w:rPr>
            </w:pPr>
            <w:r>
              <w:rPr>
                <w:rFonts w:ascii="宋体" w:hAnsi="宋体" w:cs="宋体"/>
                <w:kern w:val="0"/>
              </w:rPr>
              <w:t xml:space="preserve">   </w:t>
            </w:r>
            <w:r>
              <w:rPr>
                <w:rFonts w:hint="eastAsia" w:ascii="宋体" w:hAnsi="宋体" w:cs="宋体"/>
                <w:kern w:val="0"/>
              </w:rPr>
              <w:t>1.部门（单位）按要求编报部门整体和项目的绩效目标，实现绩效目标全覆盖（8分）；</w:t>
            </w:r>
          </w:p>
          <w:p>
            <w:pPr>
              <w:widowControl/>
              <w:spacing w:line="320" w:lineRule="exact"/>
              <w:ind w:firstLine="315" w:firstLineChars="150"/>
              <w:rPr>
                <w:rFonts w:ascii="宋体" w:hAnsi="宋体"/>
                <w:kern w:val="0"/>
              </w:rPr>
            </w:pPr>
            <w:r>
              <w:rPr>
                <w:rFonts w:hint="eastAsia" w:ascii="宋体" w:hAnsi="宋体" w:cs="宋体"/>
                <w:kern w:val="0"/>
              </w:rPr>
              <w:t>2.没按要求编报绩效目标或绩效目标不符合要求的，一项扣</w:t>
            </w:r>
            <w:r>
              <w:rPr>
                <w:rFonts w:ascii="宋体" w:hAnsi="宋体" w:cs="宋体"/>
                <w:kern w:val="0"/>
              </w:rPr>
              <w:t>1</w:t>
            </w:r>
            <w:r>
              <w:rPr>
                <w:rFonts w:hint="eastAsia" w:ascii="宋体" w:hAnsi="宋体" w:cs="宋体"/>
                <w:kern w:val="0"/>
              </w:rPr>
              <w:t>分，扣完为止。</w:t>
            </w:r>
          </w:p>
        </w:tc>
        <w:tc>
          <w:tcPr>
            <w:tcW w:w="7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rPr>
            </w:pPr>
            <w:r>
              <w:rPr>
                <w:rFonts w:hint="eastAsia" w:ascii="宋体" w:hAnsi="宋体" w:cs="宋体"/>
                <w:kern w:val="0"/>
              </w:rPr>
              <w:t>8</w:t>
            </w:r>
          </w:p>
        </w:tc>
      </w:tr>
      <w:tr>
        <w:tblPrEx>
          <w:tblCellMar>
            <w:top w:w="0" w:type="dxa"/>
            <w:left w:w="108" w:type="dxa"/>
            <w:bottom w:w="0" w:type="dxa"/>
            <w:right w:w="108" w:type="dxa"/>
          </w:tblCellMar>
        </w:tblPrEx>
        <w:trPr>
          <w:trHeight w:val="1419" w:hRule="atLeast"/>
          <w:jc w:val="center"/>
        </w:trPr>
        <w:tc>
          <w:tcPr>
            <w:tcW w:w="493"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50"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hAnsi="宋体"/>
                <w:kern w:val="0"/>
              </w:rPr>
            </w:pPr>
          </w:p>
        </w:tc>
        <w:tc>
          <w:tcPr>
            <w:tcW w:w="641" w:type="dxa"/>
            <w:tcBorders>
              <w:top w:val="nil"/>
              <w:left w:val="nil"/>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绩效指标明确性</w:t>
            </w:r>
          </w:p>
        </w:tc>
        <w:tc>
          <w:tcPr>
            <w:tcW w:w="6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kern w:val="0"/>
              </w:rPr>
            </w:pPr>
            <w:r>
              <w:rPr>
                <w:rFonts w:hint="eastAsia" w:ascii="宋体" w:hAnsi="宋体" w:cs="宋体"/>
                <w:kern w:val="0"/>
              </w:rPr>
              <w:t>7</w:t>
            </w:r>
          </w:p>
        </w:tc>
        <w:tc>
          <w:tcPr>
            <w:tcW w:w="2826" w:type="dxa"/>
            <w:tcBorders>
              <w:top w:val="nil"/>
              <w:left w:val="nil"/>
              <w:bottom w:val="single" w:color="auto" w:sz="4" w:space="0"/>
              <w:right w:val="single" w:color="auto" w:sz="4" w:space="0"/>
            </w:tcBorders>
            <w:vAlign w:val="center"/>
          </w:tcPr>
          <w:p>
            <w:pPr>
              <w:widowControl/>
              <w:spacing w:line="320" w:lineRule="exact"/>
              <w:rPr>
                <w:rFonts w:ascii="宋体" w:hAnsi="宋体"/>
                <w:kern w:val="0"/>
              </w:rPr>
            </w:pPr>
            <w:r>
              <w:rPr>
                <w:rFonts w:hint="eastAsia" w:ascii="宋体" w:hAnsi="宋体" w:cs="宋体"/>
                <w:kern w:val="0"/>
              </w:rPr>
              <w:t>部门（单位）设定的绩效指标是否清晰、细化、可量化，用以反映和考核部门（单位）整体绩效目标的明细化情况。</w:t>
            </w:r>
          </w:p>
        </w:tc>
        <w:tc>
          <w:tcPr>
            <w:tcW w:w="6475"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hAnsi="宋体" w:cs="宋体"/>
                <w:kern w:val="0"/>
              </w:rPr>
            </w:pPr>
            <w:r>
              <w:rPr>
                <w:rFonts w:ascii="宋体" w:hAnsi="宋体" w:cs="宋体"/>
                <w:kern w:val="0"/>
              </w:rPr>
              <w:t>1.</w:t>
            </w:r>
            <w:r>
              <w:rPr>
                <w:rFonts w:hint="eastAsia" w:ascii="宋体" w:hAnsi="宋体" w:cs="宋体"/>
                <w:kern w:val="0"/>
              </w:rPr>
              <w:t>绩效指标将部门整体绩效目标细化分解为具体工作任务，与部门年度任务数或计划数相对应（2分）；</w:t>
            </w:r>
          </w:p>
          <w:p>
            <w:pPr>
              <w:widowControl/>
              <w:spacing w:line="320" w:lineRule="exact"/>
              <w:ind w:firstLine="420" w:firstLineChars="200"/>
              <w:rPr>
                <w:rFonts w:ascii="宋体" w:hAnsi="宋体" w:cs="宋体"/>
                <w:kern w:val="0"/>
              </w:rPr>
            </w:pPr>
            <w:r>
              <w:rPr>
                <w:rFonts w:hint="eastAsia" w:ascii="宋体" w:hAnsi="宋体" w:cs="宋体"/>
                <w:kern w:val="0"/>
              </w:rPr>
              <w:t>2.绩效指标中包含能够明确体现部门（单位）履职效果的社会、经济、生态效益指标（2分）；</w:t>
            </w:r>
            <w:r>
              <w:rPr>
                <w:rFonts w:ascii="宋体" w:hAnsi="宋体"/>
                <w:kern w:val="0"/>
              </w:rPr>
              <w:br w:type="textWrapping"/>
            </w:r>
            <w:r>
              <w:rPr>
                <w:rFonts w:ascii="宋体" w:hAnsi="宋体" w:cs="宋体"/>
                <w:kern w:val="0"/>
              </w:rPr>
              <w:t xml:space="preserve">   </w:t>
            </w:r>
            <w:r>
              <w:rPr>
                <w:rFonts w:hint="eastAsia" w:ascii="宋体" w:hAnsi="宋体" w:cs="宋体"/>
                <w:kern w:val="0"/>
              </w:rPr>
              <w:t xml:space="preserve"> 3.绩效指标具有清晰、可衡量的指标值（</w:t>
            </w:r>
            <w:r>
              <w:rPr>
                <w:rFonts w:ascii="宋体" w:hAnsi="宋体" w:cs="宋体"/>
                <w:kern w:val="0"/>
              </w:rPr>
              <w:t>1</w:t>
            </w:r>
            <w:r>
              <w:rPr>
                <w:rFonts w:hint="eastAsia" w:ascii="宋体" w:hAnsi="宋体" w:cs="宋体"/>
                <w:kern w:val="0"/>
              </w:rPr>
              <w:t>分）；</w:t>
            </w:r>
            <w:r>
              <w:rPr>
                <w:rFonts w:ascii="宋体" w:hAnsi="宋体"/>
                <w:kern w:val="0"/>
              </w:rPr>
              <w:br w:type="textWrapping"/>
            </w:r>
            <w:r>
              <w:rPr>
                <w:rFonts w:ascii="宋体" w:hAnsi="宋体" w:cs="宋体"/>
                <w:kern w:val="0"/>
              </w:rPr>
              <w:t xml:space="preserve">    </w:t>
            </w:r>
            <w:r>
              <w:rPr>
                <w:rFonts w:hint="eastAsia" w:ascii="宋体" w:hAnsi="宋体" w:cs="宋体"/>
                <w:kern w:val="0"/>
              </w:rPr>
              <w:t>4</w:t>
            </w:r>
            <w:r>
              <w:rPr>
                <w:rFonts w:ascii="宋体" w:hAnsi="宋体" w:cs="宋体"/>
                <w:kern w:val="0"/>
              </w:rPr>
              <w:t>.</w:t>
            </w:r>
            <w:r>
              <w:rPr>
                <w:rFonts w:hint="eastAsia" w:ascii="宋体" w:hAnsi="宋体" w:cs="宋体"/>
                <w:kern w:val="0"/>
              </w:rPr>
              <w:t>绩效指标包含可量化的指标（</w:t>
            </w:r>
            <w:r>
              <w:rPr>
                <w:rFonts w:ascii="宋体" w:hAnsi="宋体" w:cs="宋体"/>
                <w:kern w:val="0"/>
              </w:rPr>
              <w:t>1</w:t>
            </w:r>
            <w:r>
              <w:rPr>
                <w:rFonts w:hint="eastAsia" w:ascii="宋体" w:hAnsi="宋体" w:cs="宋体"/>
                <w:kern w:val="0"/>
              </w:rPr>
              <w:t>分）；</w:t>
            </w:r>
          </w:p>
          <w:p>
            <w:pPr>
              <w:widowControl/>
              <w:spacing w:line="320" w:lineRule="exact"/>
              <w:rPr>
                <w:rFonts w:ascii="宋体" w:hAnsi="宋体"/>
                <w:kern w:val="0"/>
              </w:rPr>
            </w:pPr>
            <w:r>
              <w:rPr>
                <w:rFonts w:ascii="宋体" w:hAnsi="宋体" w:cs="宋体"/>
                <w:kern w:val="0"/>
              </w:rPr>
              <w:t xml:space="preserve">    </w:t>
            </w:r>
            <w:r>
              <w:rPr>
                <w:rFonts w:hint="eastAsia" w:ascii="宋体" w:hAnsi="宋体" w:cs="宋体"/>
                <w:kern w:val="0"/>
              </w:rPr>
              <w:t>5</w:t>
            </w:r>
            <w:r>
              <w:rPr>
                <w:rFonts w:ascii="宋体" w:hAnsi="宋体" w:cs="宋体"/>
                <w:kern w:val="0"/>
              </w:rPr>
              <w:t>.</w:t>
            </w:r>
            <w:r>
              <w:rPr>
                <w:rFonts w:hint="eastAsia" w:ascii="宋体" w:hAnsi="宋体" w:cs="宋体"/>
                <w:kern w:val="0"/>
              </w:rPr>
              <w:t>绩效目标的目标值测算能提供相关依据或符合客观实际情况（</w:t>
            </w:r>
            <w:r>
              <w:rPr>
                <w:rFonts w:ascii="宋体" w:hAnsi="宋体" w:cs="宋体"/>
                <w:kern w:val="0"/>
              </w:rPr>
              <w:t>1</w:t>
            </w:r>
            <w:r>
              <w:rPr>
                <w:rFonts w:hint="eastAsia" w:ascii="宋体" w:hAnsi="宋体" w:cs="宋体"/>
                <w:kern w:val="0"/>
              </w:rPr>
              <w:t>分）。</w:t>
            </w:r>
          </w:p>
        </w:tc>
        <w:tc>
          <w:tcPr>
            <w:tcW w:w="7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rPr>
            </w:pPr>
            <w:r>
              <w:rPr>
                <w:rFonts w:hint="eastAsia" w:ascii="宋体" w:hAnsi="宋体" w:cs="宋体"/>
                <w:kern w:val="0"/>
              </w:rPr>
              <w:t>7</w:t>
            </w:r>
          </w:p>
        </w:tc>
      </w:tr>
      <w:tr>
        <w:tblPrEx>
          <w:tblCellMar>
            <w:top w:w="0" w:type="dxa"/>
            <w:left w:w="108" w:type="dxa"/>
            <w:bottom w:w="0" w:type="dxa"/>
            <w:right w:w="108" w:type="dxa"/>
          </w:tblCellMar>
        </w:tblPrEx>
        <w:trPr>
          <w:trHeight w:val="1359" w:hRule="atLeast"/>
          <w:jc w:val="center"/>
        </w:trPr>
        <w:tc>
          <w:tcPr>
            <w:tcW w:w="493"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部门管理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20</w:t>
            </w:r>
          </w:p>
        </w:tc>
        <w:tc>
          <w:tcPr>
            <w:tcW w:w="550"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资金管理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hAnsi="宋体"/>
                <w:kern w:val="0"/>
              </w:rPr>
            </w:pPr>
            <w:r>
              <w:rPr>
                <w:rFonts w:hint="eastAsia" w:ascii="宋体" w:hAnsi="宋体" w:cs="宋体"/>
                <w:kern w:val="0"/>
              </w:rPr>
              <w:t>8</w:t>
            </w:r>
          </w:p>
        </w:tc>
        <w:tc>
          <w:tcPr>
            <w:tcW w:w="641"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政府采购执行情况</w:t>
            </w:r>
          </w:p>
        </w:tc>
        <w:tc>
          <w:tcPr>
            <w:tcW w:w="683"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kern w:val="0"/>
              </w:rPr>
            </w:pPr>
            <w:r>
              <w:rPr>
                <w:rFonts w:ascii="宋体" w:hAnsi="宋体" w:cs="宋体"/>
                <w:kern w:val="0"/>
              </w:rPr>
              <w:t>2</w:t>
            </w:r>
          </w:p>
        </w:tc>
        <w:tc>
          <w:tcPr>
            <w:tcW w:w="2826" w:type="dxa"/>
            <w:tcBorders>
              <w:top w:val="single" w:color="auto" w:sz="4" w:space="0"/>
              <w:left w:val="nil"/>
              <w:bottom w:val="single" w:color="auto" w:sz="4" w:space="0"/>
              <w:right w:val="single" w:color="auto" w:sz="4" w:space="0"/>
            </w:tcBorders>
            <w:vAlign w:val="center"/>
          </w:tcPr>
          <w:p>
            <w:pPr>
              <w:widowControl/>
              <w:spacing w:line="320" w:lineRule="exact"/>
              <w:rPr>
                <w:rFonts w:ascii="宋体" w:hAnsi="宋体"/>
                <w:kern w:val="0"/>
              </w:rPr>
            </w:pPr>
            <w:r>
              <w:rPr>
                <w:rFonts w:hint="eastAsia" w:ascii="宋体" w:hAnsi="宋体" w:cs="宋体"/>
                <w:kern w:val="0"/>
              </w:rPr>
              <w:t>部门（单位）本年度实际政府采购金额与年度政府采购预算的比率，用以反映和考核部门（单位）政府采购预算执行情况；政府采购政策功能的执行和落实情况。</w:t>
            </w:r>
          </w:p>
        </w:tc>
        <w:tc>
          <w:tcPr>
            <w:tcW w:w="6475" w:type="dxa"/>
            <w:tcBorders>
              <w:top w:val="single" w:color="auto" w:sz="4" w:space="0"/>
              <w:left w:val="nil"/>
              <w:bottom w:val="single" w:color="auto" w:sz="4" w:space="0"/>
              <w:right w:val="single" w:color="auto" w:sz="4" w:space="0"/>
            </w:tcBorders>
            <w:vAlign w:val="center"/>
          </w:tcPr>
          <w:p>
            <w:pPr>
              <w:widowControl/>
              <w:spacing w:line="320" w:lineRule="exact"/>
              <w:ind w:firstLine="405"/>
              <w:rPr>
                <w:rFonts w:ascii="宋体" w:hAnsi="宋体" w:cs="宋体"/>
                <w:kern w:val="0"/>
              </w:rPr>
            </w:pPr>
            <w:r>
              <w:rPr>
                <w:rFonts w:hint="eastAsia" w:ascii="宋体" w:hAnsi="宋体" w:cs="宋体"/>
                <w:kern w:val="0"/>
              </w:rPr>
              <w:t>1.政府采购执行率得分</w:t>
            </w:r>
            <w:r>
              <w:rPr>
                <w:rFonts w:ascii="宋体" w:hAnsi="宋体" w:cs="宋体"/>
                <w:kern w:val="0"/>
              </w:rPr>
              <w:t>=</w:t>
            </w:r>
            <w:r>
              <w:rPr>
                <w:rFonts w:hint="eastAsia" w:ascii="宋体" w:hAnsi="宋体" w:cs="宋体"/>
                <w:kern w:val="0"/>
              </w:rPr>
              <w:t>政府采购执行率×1分</w:t>
            </w:r>
            <w:r>
              <w:rPr>
                <w:rFonts w:ascii="宋体" w:hAnsi="宋体"/>
                <w:kern w:val="0"/>
              </w:rPr>
              <w:br w:type="textWrapping"/>
            </w:r>
            <w:r>
              <w:rPr>
                <w:rFonts w:ascii="宋体" w:hAnsi="宋体" w:cs="宋体"/>
                <w:kern w:val="0"/>
              </w:rPr>
              <w:t xml:space="preserve">    </w:t>
            </w:r>
            <w:r>
              <w:rPr>
                <w:rFonts w:hint="eastAsia" w:ascii="宋体" w:hAnsi="宋体" w:cs="宋体"/>
                <w:kern w:val="0"/>
              </w:rPr>
              <w:t>政府采购执行率</w:t>
            </w:r>
            <w:r>
              <w:rPr>
                <w:rFonts w:ascii="宋体" w:hAnsi="宋体" w:cs="宋体"/>
                <w:kern w:val="0"/>
              </w:rPr>
              <w:t>=</w:t>
            </w:r>
            <w:r>
              <w:rPr>
                <w:rFonts w:hint="eastAsia" w:ascii="宋体" w:hAnsi="宋体" w:cs="宋体"/>
                <w:kern w:val="0"/>
              </w:rPr>
              <w:t>（实际采购金额合计数</w:t>
            </w:r>
            <w:r>
              <w:rPr>
                <w:rFonts w:ascii="宋体" w:hAnsi="宋体" w:cs="宋体"/>
                <w:kern w:val="0"/>
              </w:rPr>
              <w:t>/</w:t>
            </w:r>
            <w:r>
              <w:rPr>
                <w:rFonts w:hint="eastAsia" w:ascii="宋体" w:hAnsi="宋体" w:cs="宋体"/>
                <w:kern w:val="0"/>
              </w:rPr>
              <w:t>采购计划金额合计数）×</w:t>
            </w:r>
            <w:r>
              <w:rPr>
                <w:rFonts w:ascii="宋体" w:hAnsi="宋体" w:cs="宋体"/>
                <w:kern w:val="0"/>
              </w:rPr>
              <w:t>100%</w:t>
            </w:r>
            <w:r>
              <w:rPr>
                <w:rFonts w:ascii="宋体" w:hAnsi="宋体" w:cs="宋体"/>
                <w:kern w:val="0"/>
              </w:rPr>
              <w:br w:type="textWrapping"/>
            </w:r>
            <w:r>
              <w:rPr>
                <w:rFonts w:ascii="宋体" w:hAnsi="宋体" w:cs="宋体"/>
                <w:kern w:val="0"/>
              </w:rPr>
              <w:t xml:space="preserve">    </w:t>
            </w:r>
            <w:r>
              <w:rPr>
                <w:rFonts w:hint="eastAsia" w:ascii="宋体" w:hAnsi="宋体" w:cs="宋体"/>
                <w:kern w:val="0"/>
              </w:rPr>
              <w:t>如实际采购金额大于采购计划金额，本项得0分。</w:t>
            </w:r>
            <w:r>
              <w:rPr>
                <w:rFonts w:ascii="宋体" w:hAnsi="宋体"/>
                <w:kern w:val="0"/>
              </w:rPr>
              <w:br w:type="textWrapping"/>
            </w:r>
            <w:r>
              <w:rPr>
                <w:rFonts w:ascii="宋体" w:hAnsi="宋体" w:cs="宋体"/>
                <w:kern w:val="0"/>
              </w:rPr>
              <w:t xml:space="preserve">    </w:t>
            </w:r>
            <w:r>
              <w:rPr>
                <w:rFonts w:hint="eastAsia" w:ascii="宋体" w:hAnsi="宋体" w:cs="宋体"/>
                <w:kern w:val="0"/>
              </w:rPr>
              <w:t>政府采购预算是指采购机关根据事业发展计划和行政任务编制的、并经过规定程序批准的年度政府采购计划。</w:t>
            </w:r>
          </w:p>
          <w:p>
            <w:pPr>
              <w:widowControl/>
              <w:spacing w:line="320" w:lineRule="exact"/>
              <w:ind w:firstLine="405"/>
              <w:rPr>
                <w:rFonts w:ascii="宋体" w:hAnsi="宋体" w:cs="宋体"/>
                <w:kern w:val="0"/>
              </w:rPr>
            </w:pPr>
            <w:r>
              <w:rPr>
                <w:rFonts w:hint="eastAsia" w:ascii="宋体" w:hAnsi="宋体" w:cs="宋体"/>
                <w:kern w:val="0"/>
              </w:rPr>
              <w:t>2.政府采购政策功能的执行和落实情况（1分），落实不到位的酌情扣分。</w:t>
            </w:r>
          </w:p>
        </w:tc>
        <w:tc>
          <w:tcPr>
            <w:tcW w:w="783"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kern w:val="0"/>
              </w:rPr>
            </w:pPr>
            <w:r>
              <w:rPr>
                <w:rFonts w:hint="eastAsia" w:ascii="宋体" w:hAnsi="宋体" w:cs="宋体"/>
                <w:kern w:val="0"/>
              </w:rPr>
              <w:t>2</w:t>
            </w:r>
          </w:p>
        </w:tc>
      </w:tr>
      <w:tr>
        <w:tblPrEx>
          <w:tblCellMar>
            <w:top w:w="0" w:type="dxa"/>
            <w:left w:w="108" w:type="dxa"/>
            <w:bottom w:w="0" w:type="dxa"/>
            <w:right w:w="108" w:type="dxa"/>
          </w:tblCellMar>
        </w:tblPrEx>
        <w:trPr>
          <w:trHeight w:val="1819" w:hRule="atLeast"/>
          <w:jc w:val="center"/>
        </w:trPr>
        <w:tc>
          <w:tcPr>
            <w:tcW w:w="493"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50"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hAnsi="宋体"/>
                <w:kern w:val="0"/>
              </w:rPr>
            </w:pPr>
          </w:p>
        </w:tc>
        <w:tc>
          <w:tcPr>
            <w:tcW w:w="641"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财务合规性</w:t>
            </w:r>
          </w:p>
        </w:tc>
        <w:tc>
          <w:tcPr>
            <w:tcW w:w="683"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kern w:val="0"/>
              </w:rPr>
            </w:pPr>
            <w:r>
              <w:rPr>
                <w:rFonts w:hint="eastAsia" w:ascii="宋体" w:hAnsi="宋体" w:cs="宋体"/>
                <w:kern w:val="0"/>
              </w:rPr>
              <w:t>3</w:t>
            </w:r>
          </w:p>
        </w:tc>
        <w:tc>
          <w:tcPr>
            <w:tcW w:w="2826" w:type="dxa"/>
            <w:tcBorders>
              <w:top w:val="single" w:color="auto" w:sz="4" w:space="0"/>
              <w:left w:val="nil"/>
              <w:bottom w:val="single" w:color="auto" w:sz="4" w:space="0"/>
              <w:right w:val="single" w:color="auto" w:sz="4" w:space="0"/>
            </w:tcBorders>
            <w:vAlign w:val="center"/>
          </w:tcPr>
          <w:p>
            <w:pPr>
              <w:widowControl/>
              <w:spacing w:line="320" w:lineRule="exact"/>
              <w:rPr>
                <w:rFonts w:ascii="宋体" w:hAnsi="宋体" w:cs="宋体"/>
                <w:kern w:val="0"/>
              </w:rPr>
            </w:pPr>
            <w:r>
              <w:rPr>
                <w:rFonts w:hint="eastAsia" w:ascii="宋体" w:hAnsi="宋体" w:cs="宋体"/>
                <w:kern w:val="0"/>
              </w:rPr>
              <w:t>部门（单位）资金支出规范性，包括资金管理、费用支出等制度是否严格执行；资金调整、调剂是否规范；会计核算是否规范、是否存在支出依据不合规、虚列项目支出的情况；是否存在截留、挤占、挪用项目资金情况。</w:t>
            </w:r>
          </w:p>
        </w:tc>
        <w:tc>
          <w:tcPr>
            <w:tcW w:w="6475" w:type="dxa"/>
            <w:tcBorders>
              <w:top w:val="single" w:color="auto" w:sz="4" w:space="0"/>
              <w:left w:val="nil"/>
              <w:bottom w:val="single" w:color="auto" w:sz="4" w:space="0"/>
              <w:right w:val="single" w:color="auto" w:sz="4" w:space="0"/>
            </w:tcBorders>
            <w:vAlign w:val="center"/>
          </w:tcPr>
          <w:p>
            <w:pPr>
              <w:widowControl/>
              <w:spacing w:line="320" w:lineRule="exact"/>
              <w:ind w:firstLine="420"/>
              <w:rPr>
                <w:rFonts w:ascii="宋体" w:hAnsi="宋体" w:cs="宋体"/>
                <w:kern w:val="0"/>
              </w:rPr>
            </w:pPr>
            <w:r>
              <w:rPr>
                <w:rFonts w:ascii="宋体" w:hAnsi="宋体" w:cs="宋体"/>
                <w:kern w:val="0"/>
              </w:rPr>
              <w:t>1.</w:t>
            </w:r>
            <w:r>
              <w:rPr>
                <w:rFonts w:hint="eastAsia" w:ascii="宋体" w:hAnsi="宋体" w:cs="宋体"/>
                <w:kern w:val="0"/>
              </w:rPr>
              <w:t>资金支出规范性（1分）。资金管理、费用标准、支付符合有关制度规定，按事项完成进度支付资金的，得1分，否则酌情扣分。</w:t>
            </w:r>
            <w:r>
              <w:rPr>
                <w:rFonts w:ascii="宋体" w:hAnsi="宋体"/>
                <w:kern w:val="0"/>
              </w:rPr>
              <w:br w:type="textWrapping"/>
            </w:r>
            <w:r>
              <w:rPr>
                <w:rFonts w:ascii="宋体" w:hAnsi="宋体" w:cs="宋体"/>
                <w:kern w:val="0"/>
              </w:rPr>
              <w:t xml:space="preserve">    </w:t>
            </w:r>
            <w:r>
              <w:rPr>
                <w:rFonts w:hint="eastAsia" w:ascii="宋体" w:hAnsi="宋体" w:cs="宋体"/>
                <w:kern w:val="0"/>
              </w:rPr>
              <w:t>2.资金调整、调剂规范性（1分）。调整、调剂资金累计在本单位部门预算总规模10%以内的，得1分；超出10%的，超出一个百分点扣0.1分，直至1分扣完为止。</w:t>
            </w:r>
          </w:p>
          <w:p>
            <w:pPr>
              <w:widowControl/>
              <w:spacing w:line="320" w:lineRule="exact"/>
              <w:ind w:firstLine="420" w:firstLineChars="200"/>
              <w:rPr>
                <w:rFonts w:ascii="宋体" w:hAnsi="宋体" w:cs="宋体"/>
                <w:kern w:val="0"/>
              </w:rPr>
            </w:pPr>
            <w:r>
              <w:rPr>
                <w:rFonts w:hint="eastAsia" w:ascii="宋体" w:hAnsi="宋体" w:cs="宋体"/>
                <w:kern w:val="0"/>
              </w:rPr>
              <w:t>3.会计核算规范性（1分）。规范执行会计核算制度得1分，未按规定设专账核算、支出凭证不符合规定或其他核算不规范，酌情扣分。</w:t>
            </w:r>
          </w:p>
          <w:p>
            <w:pPr>
              <w:widowControl/>
              <w:spacing w:line="320" w:lineRule="exact"/>
              <w:ind w:firstLine="420"/>
              <w:rPr>
                <w:rFonts w:ascii="宋体" w:hAnsi="宋体"/>
                <w:kern w:val="0"/>
              </w:rPr>
            </w:pPr>
            <w:r>
              <w:rPr>
                <w:rFonts w:hint="eastAsia" w:ascii="宋体" w:hAnsi="宋体" w:cs="宋体"/>
                <w:kern w:val="0"/>
              </w:rPr>
              <w:t>4.发生超范围、超标准支出，虚列支出，截留、挤占、挪用资金的，以及其他不符合制度规</w:t>
            </w:r>
            <w:r>
              <w:rPr>
                <w:rFonts w:hint="eastAsia" w:ascii="宋体" w:hAnsi="宋体" w:cs="宋体"/>
                <w:kern w:val="0"/>
                <w:lang w:eastAsia="zh-CN"/>
              </w:rPr>
              <w:t>定的</w:t>
            </w:r>
            <w:bookmarkStart w:id="0" w:name="_GoBack"/>
            <w:bookmarkEnd w:id="0"/>
            <w:r>
              <w:rPr>
                <w:rFonts w:hint="eastAsia" w:ascii="宋体" w:hAnsi="宋体" w:cs="宋体"/>
                <w:kern w:val="0"/>
              </w:rPr>
              <w:t>支出，本项指标得0分。</w:t>
            </w:r>
          </w:p>
        </w:tc>
        <w:tc>
          <w:tcPr>
            <w:tcW w:w="783"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kern w:val="0"/>
              </w:rPr>
            </w:pPr>
            <w:r>
              <w:rPr>
                <w:rFonts w:hint="eastAsia" w:ascii="宋体" w:hAnsi="宋体" w:cs="宋体"/>
                <w:kern w:val="0"/>
              </w:rPr>
              <w:t>3</w:t>
            </w:r>
          </w:p>
        </w:tc>
      </w:tr>
      <w:tr>
        <w:tblPrEx>
          <w:tblCellMar>
            <w:top w:w="0" w:type="dxa"/>
            <w:left w:w="108" w:type="dxa"/>
            <w:bottom w:w="0" w:type="dxa"/>
            <w:right w:w="108" w:type="dxa"/>
          </w:tblCellMar>
        </w:tblPrEx>
        <w:trPr>
          <w:trHeight w:val="2254" w:hRule="atLeast"/>
          <w:jc w:val="center"/>
        </w:trPr>
        <w:tc>
          <w:tcPr>
            <w:tcW w:w="493"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50"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hAnsi="宋体"/>
                <w:kern w:val="0"/>
              </w:rPr>
            </w:pPr>
          </w:p>
        </w:tc>
        <w:tc>
          <w:tcPr>
            <w:tcW w:w="641" w:type="dxa"/>
            <w:tcBorders>
              <w:top w:val="nil"/>
              <w:left w:val="nil"/>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预决算信息公开</w:t>
            </w:r>
          </w:p>
        </w:tc>
        <w:tc>
          <w:tcPr>
            <w:tcW w:w="6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kern w:val="0"/>
              </w:rPr>
            </w:pPr>
            <w:r>
              <w:rPr>
                <w:rFonts w:hint="eastAsia" w:ascii="宋体" w:hAnsi="宋体" w:cs="宋体"/>
                <w:kern w:val="0"/>
              </w:rPr>
              <w:t>3</w:t>
            </w:r>
          </w:p>
        </w:tc>
        <w:tc>
          <w:tcPr>
            <w:tcW w:w="2826" w:type="dxa"/>
            <w:tcBorders>
              <w:top w:val="nil"/>
              <w:left w:val="nil"/>
              <w:bottom w:val="single" w:color="auto" w:sz="4" w:space="0"/>
              <w:right w:val="single" w:color="auto" w:sz="4" w:space="0"/>
            </w:tcBorders>
            <w:vAlign w:val="center"/>
          </w:tcPr>
          <w:p>
            <w:pPr>
              <w:widowControl/>
              <w:spacing w:line="320" w:lineRule="exact"/>
              <w:rPr>
                <w:rFonts w:ascii="宋体" w:hAnsi="宋体"/>
                <w:kern w:val="0"/>
              </w:rPr>
            </w:pPr>
            <w:r>
              <w:rPr>
                <w:rFonts w:hint="eastAsia" w:ascii="宋体" w:hAnsi="宋体" w:cs="宋体"/>
                <w:kern w:val="0"/>
              </w:rPr>
              <w:t>部门（单位）在被评价年度是否按照政府信息公开有关规定公开相关预决算信息，用以反映部门（单位）预决算管理的公开透明情况。</w:t>
            </w:r>
          </w:p>
        </w:tc>
        <w:tc>
          <w:tcPr>
            <w:tcW w:w="6475" w:type="dxa"/>
            <w:tcBorders>
              <w:top w:val="nil"/>
              <w:left w:val="nil"/>
              <w:bottom w:val="single" w:color="auto" w:sz="4" w:space="0"/>
              <w:right w:val="single" w:color="auto" w:sz="4" w:space="0"/>
            </w:tcBorders>
            <w:vAlign w:val="center"/>
          </w:tcPr>
          <w:p>
            <w:pPr>
              <w:widowControl/>
              <w:spacing w:line="320" w:lineRule="exact"/>
              <w:ind w:firstLine="405"/>
              <w:rPr>
                <w:rFonts w:ascii="宋体" w:hAnsi="宋体" w:cs="宋体"/>
                <w:kern w:val="0"/>
              </w:rPr>
            </w:pPr>
            <w:r>
              <w:rPr>
                <w:rFonts w:ascii="宋体" w:hAnsi="宋体" w:cs="宋体"/>
                <w:kern w:val="0"/>
              </w:rPr>
              <w:t>1.</w:t>
            </w:r>
            <w:r>
              <w:rPr>
                <w:rFonts w:hint="eastAsia" w:ascii="宋体" w:hAnsi="宋体" w:cs="宋体"/>
                <w:kern w:val="0"/>
              </w:rPr>
              <w:t>部门预算公开（1.5分），按以下标准分档计分：</w:t>
            </w:r>
            <w:r>
              <w:rPr>
                <w:rFonts w:ascii="宋体" w:hAnsi="宋体"/>
                <w:kern w:val="0"/>
              </w:rPr>
              <w:br w:type="textWrapping"/>
            </w:r>
            <w:r>
              <w:rPr>
                <w:rFonts w:ascii="宋体" w:hAnsi="宋体" w:cs="宋体"/>
                <w:kern w:val="0"/>
              </w:rPr>
              <w:t xml:space="preserve">    </w:t>
            </w:r>
            <w:r>
              <w:rPr>
                <w:rFonts w:hint="eastAsia" w:ascii="宋体" w:hAnsi="宋体" w:cs="宋体"/>
                <w:kern w:val="0"/>
              </w:rPr>
              <w:t>（</w:t>
            </w:r>
            <w:r>
              <w:rPr>
                <w:rFonts w:ascii="宋体" w:hAnsi="宋体" w:cs="宋体"/>
                <w:kern w:val="0"/>
              </w:rPr>
              <w:t>1</w:t>
            </w:r>
            <w:r>
              <w:rPr>
                <w:rFonts w:hint="eastAsia" w:ascii="宋体" w:hAnsi="宋体" w:cs="宋体"/>
                <w:kern w:val="0"/>
              </w:rPr>
              <w:t>）按规定内容、时限、范围等各项要求进行公开的，得1.5分。</w:t>
            </w:r>
            <w:r>
              <w:rPr>
                <w:rFonts w:ascii="宋体" w:hAnsi="宋体"/>
                <w:kern w:val="0"/>
              </w:rPr>
              <w:br w:type="textWrapping"/>
            </w:r>
            <w:r>
              <w:rPr>
                <w:rFonts w:ascii="宋体" w:hAnsi="宋体" w:cs="宋体"/>
                <w:kern w:val="0"/>
              </w:rPr>
              <w:t xml:space="preserve">    </w:t>
            </w:r>
            <w:r>
              <w:rPr>
                <w:rFonts w:hint="eastAsia" w:ascii="宋体" w:hAnsi="宋体" w:cs="宋体"/>
                <w:kern w:val="0"/>
              </w:rPr>
              <w:t>（</w:t>
            </w:r>
            <w:r>
              <w:rPr>
                <w:rFonts w:ascii="宋体" w:hAnsi="宋体" w:cs="宋体"/>
                <w:kern w:val="0"/>
              </w:rPr>
              <w:t>2</w:t>
            </w:r>
            <w:r>
              <w:rPr>
                <w:rFonts w:hint="eastAsia" w:ascii="宋体" w:hAnsi="宋体" w:cs="宋体"/>
                <w:kern w:val="0"/>
              </w:rPr>
              <w:t>）进行了公开，存在不符合时限、内容、范围等要求的，得</w:t>
            </w:r>
            <w:r>
              <w:rPr>
                <w:rFonts w:ascii="宋体" w:hAnsi="宋体" w:cs="宋体"/>
                <w:kern w:val="0"/>
              </w:rPr>
              <w:t>1</w:t>
            </w:r>
            <w:r>
              <w:rPr>
                <w:rFonts w:hint="eastAsia" w:ascii="宋体" w:hAnsi="宋体" w:cs="宋体"/>
                <w:kern w:val="0"/>
              </w:rPr>
              <w:t>分。</w:t>
            </w:r>
            <w:r>
              <w:rPr>
                <w:rFonts w:ascii="宋体" w:hAnsi="宋体"/>
                <w:kern w:val="0"/>
              </w:rPr>
              <w:br w:type="textWrapping"/>
            </w:r>
            <w:r>
              <w:rPr>
                <w:rFonts w:ascii="宋体" w:hAnsi="宋体" w:cs="宋体"/>
                <w:kern w:val="0"/>
              </w:rPr>
              <w:t xml:space="preserve">    </w:t>
            </w:r>
            <w:r>
              <w:rPr>
                <w:rFonts w:hint="eastAsia" w:ascii="宋体" w:hAnsi="宋体" w:cs="宋体"/>
                <w:kern w:val="0"/>
              </w:rPr>
              <w:t>（</w:t>
            </w:r>
            <w:r>
              <w:rPr>
                <w:rFonts w:ascii="宋体" w:hAnsi="宋体" w:cs="宋体"/>
                <w:kern w:val="0"/>
              </w:rPr>
              <w:t>3</w:t>
            </w:r>
            <w:r>
              <w:rPr>
                <w:rFonts w:hint="eastAsia" w:ascii="宋体" w:hAnsi="宋体" w:cs="宋体"/>
                <w:kern w:val="0"/>
              </w:rPr>
              <w:t>）没有进行公开的，得</w:t>
            </w:r>
            <w:r>
              <w:rPr>
                <w:rFonts w:ascii="宋体" w:hAnsi="宋体" w:cs="宋体"/>
                <w:kern w:val="0"/>
              </w:rPr>
              <w:t>0</w:t>
            </w:r>
            <w:r>
              <w:rPr>
                <w:rFonts w:hint="eastAsia" w:ascii="宋体" w:hAnsi="宋体" w:cs="宋体"/>
                <w:kern w:val="0"/>
              </w:rPr>
              <w:t>分。</w:t>
            </w:r>
            <w:r>
              <w:rPr>
                <w:rFonts w:ascii="宋体" w:hAnsi="宋体"/>
                <w:kern w:val="0"/>
              </w:rPr>
              <w:br w:type="textWrapping"/>
            </w:r>
            <w:r>
              <w:rPr>
                <w:rFonts w:ascii="宋体" w:hAnsi="宋体" w:cs="宋体"/>
                <w:kern w:val="0"/>
              </w:rPr>
              <w:t xml:space="preserve">    2.</w:t>
            </w:r>
            <w:r>
              <w:rPr>
                <w:rFonts w:hint="eastAsia" w:ascii="宋体" w:hAnsi="宋体" w:cs="宋体"/>
                <w:kern w:val="0"/>
              </w:rPr>
              <w:t>部门决算公开（1.5分），按以下标准分档计分：</w:t>
            </w:r>
            <w:r>
              <w:rPr>
                <w:rFonts w:ascii="宋体" w:hAnsi="宋体"/>
                <w:kern w:val="0"/>
              </w:rPr>
              <w:br w:type="textWrapping"/>
            </w:r>
            <w:r>
              <w:rPr>
                <w:rFonts w:ascii="宋体" w:hAnsi="宋体" w:cs="宋体"/>
                <w:kern w:val="0"/>
              </w:rPr>
              <w:t xml:space="preserve">    </w:t>
            </w:r>
            <w:r>
              <w:rPr>
                <w:rFonts w:hint="eastAsia" w:ascii="宋体" w:hAnsi="宋体" w:cs="宋体"/>
                <w:kern w:val="0"/>
              </w:rPr>
              <w:t>（</w:t>
            </w:r>
            <w:r>
              <w:rPr>
                <w:rFonts w:ascii="宋体" w:hAnsi="宋体" w:cs="宋体"/>
                <w:kern w:val="0"/>
              </w:rPr>
              <w:t>1</w:t>
            </w:r>
            <w:r>
              <w:rPr>
                <w:rFonts w:hint="eastAsia" w:ascii="宋体" w:hAnsi="宋体" w:cs="宋体"/>
                <w:kern w:val="0"/>
              </w:rPr>
              <w:t>）按规定内容、时限、范围等各项要求进行公开的，得1.5分。</w:t>
            </w:r>
            <w:r>
              <w:rPr>
                <w:rFonts w:ascii="宋体" w:hAnsi="宋体"/>
                <w:kern w:val="0"/>
              </w:rPr>
              <w:br w:type="textWrapping"/>
            </w:r>
            <w:r>
              <w:rPr>
                <w:rFonts w:ascii="宋体" w:hAnsi="宋体" w:cs="宋体"/>
                <w:kern w:val="0"/>
              </w:rPr>
              <w:t xml:space="preserve">    </w:t>
            </w:r>
            <w:r>
              <w:rPr>
                <w:rFonts w:hint="eastAsia" w:ascii="宋体" w:hAnsi="宋体" w:cs="宋体"/>
                <w:kern w:val="0"/>
              </w:rPr>
              <w:t>（</w:t>
            </w:r>
            <w:r>
              <w:rPr>
                <w:rFonts w:ascii="宋体" w:hAnsi="宋体" w:cs="宋体"/>
                <w:kern w:val="0"/>
              </w:rPr>
              <w:t>2</w:t>
            </w:r>
            <w:r>
              <w:rPr>
                <w:rFonts w:hint="eastAsia" w:ascii="宋体" w:hAnsi="宋体" w:cs="宋体"/>
                <w:kern w:val="0"/>
              </w:rPr>
              <w:t>）进行了公开，存在不符合时限、内容、范围等要求的，得</w:t>
            </w:r>
            <w:r>
              <w:rPr>
                <w:rFonts w:ascii="宋体" w:hAnsi="宋体" w:cs="宋体"/>
                <w:kern w:val="0"/>
              </w:rPr>
              <w:t>1</w:t>
            </w:r>
            <w:r>
              <w:rPr>
                <w:rFonts w:hint="eastAsia" w:ascii="宋体" w:hAnsi="宋体" w:cs="宋体"/>
                <w:kern w:val="0"/>
              </w:rPr>
              <w:t>分。</w:t>
            </w:r>
            <w:r>
              <w:rPr>
                <w:rFonts w:ascii="宋体" w:hAnsi="宋体"/>
                <w:kern w:val="0"/>
              </w:rPr>
              <w:br w:type="textWrapping"/>
            </w:r>
            <w:r>
              <w:rPr>
                <w:rFonts w:ascii="宋体" w:hAnsi="宋体" w:cs="宋体"/>
                <w:kern w:val="0"/>
              </w:rPr>
              <w:t xml:space="preserve">    </w:t>
            </w:r>
            <w:r>
              <w:rPr>
                <w:rFonts w:hint="eastAsia" w:ascii="宋体" w:hAnsi="宋体" w:cs="宋体"/>
                <w:kern w:val="0"/>
              </w:rPr>
              <w:t>（</w:t>
            </w:r>
            <w:r>
              <w:rPr>
                <w:rFonts w:ascii="宋体" w:hAnsi="宋体" w:cs="宋体"/>
                <w:kern w:val="0"/>
              </w:rPr>
              <w:t>3</w:t>
            </w:r>
            <w:r>
              <w:rPr>
                <w:rFonts w:hint="eastAsia" w:ascii="宋体" w:hAnsi="宋体" w:cs="宋体"/>
                <w:kern w:val="0"/>
              </w:rPr>
              <w:t>）没有进行公开的，得</w:t>
            </w:r>
            <w:r>
              <w:rPr>
                <w:rFonts w:ascii="宋体" w:hAnsi="宋体" w:cs="宋体"/>
                <w:kern w:val="0"/>
              </w:rPr>
              <w:t>0</w:t>
            </w:r>
            <w:r>
              <w:rPr>
                <w:rFonts w:hint="eastAsia" w:ascii="宋体" w:hAnsi="宋体" w:cs="宋体"/>
                <w:kern w:val="0"/>
              </w:rPr>
              <w:t>分。</w:t>
            </w:r>
          </w:p>
          <w:p>
            <w:pPr>
              <w:widowControl/>
              <w:spacing w:line="320" w:lineRule="exact"/>
              <w:rPr>
                <w:rFonts w:ascii="宋体" w:hAnsi="宋体"/>
                <w:kern w:val="0"/>
              </w:rPr>
            </w:pPr>
            <w:r>
              <w:rPr>
                <w:rFonts w:ascii="宋体" w:hAnsi="宋体" w:cs="宋体"/>
                <w:kern w:val="0"/>
              </w:rPr>
              <w:t xml:space="preserve">    </w:t>
            </w:r>
            <w:r>
              <w:rPr>
                <w:rFonts w:hint="eastAsia" w:ascii="宋体" w:hAnsi="宋体" w:cs="宋体"/>
                <w:kern w:val="0"/>
              </w:rPr>
              <w:t>3.涉密部门（单位）按规定不需要公开相关预决算信息的直接得分。</w:t>
            </w:r>
          </w:p>
        </w:tc>
        <w:tc>
          <w:tcPr>
            <w:tcW w:w="7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rPr>
            </w:pPr>
            <w:r>
              <w:rPr>
                <w:rFonts w:hint="eastAsia" w:ascii="宋体" w:hAnsi="宋体" w:cs="宋体"/>
                <w:kern w:val="0"/>
              </w:rPr>
              <w:t>3</w:t>
            </w:r>
          </w:p>
        </w:tc>
      </w:tr>
      <w:tr>
        <w:tblPrEx>
          <w:tblCellMar>
            <w:top w:w="0" w:type="dxa"/>
            <w:left w:w="108" w:type="dxa"/>
            <w:bottom w:w="0" w:type="dxa"/>
            <w:right w:w="108" w:type="dxa"/>
          </w:tblCellMar>
        </w:tblPrEx>
        <w:trPr>
          <w:trHeight w:val="1491" w:hRule="atLeast"/>
          <w:jc w:val="center"/>
        </w:trPr>
        <w:tc>
          <w:tcPr>
            <w:tcW w:w="493"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50"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项目管理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hAnsi="宋体"/>
                <w:kern w:val="0"/>
              </w:rPr>
            </w:pPr>
            <w:r>
              <w:rPr>
                <w:rFonts w:hint="eastAsia" w:ascii="宋体" w:hAnsi="宋体" w:cs="宋体"/>
                <w:kern w:val="0"/>
              </w:rPr>
              <w:t>4</w:t>
            </w:r>
          </w:p>
        </w:tc>
        <w:tc>
          <w:tcPr>
            <w:tcW w:w="641" w:type="dxa"/>
            <w:tcBorders>
              <w:top w:val="nil"/>
              <w:left w:val="nil"/>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项目实施程序</w:t>
            </w:r>
          </w:p>
        </w:tc>
        <w:tc>
          <w:tcPr>
            <w:tcW w:w="6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kern w:val="0"/>
              </w:rPr>
            </w:pPr>
            <w:r>
              <w:rPr>
                <w:rFonts w:ascii="宋体" w:hAnsi="宋体" w:cs="宋体"/>
                <w:kern w:val="0"/>
              </w:rPr>
              <w:t>2</w:t>
            </w:r>
          </w:p>
        </w:tc>
        <w:tc>
          <w:tcPr>
            <w:tcW w:w="2826" w:type="dxa"/>
            <w:tcBorders>
              <w:top w:val="nil"/>
              <w:left w:val="nil"/>
              <w:bottom w:val="single" w:color="auto" w:sz="4" w:space="0"/>
              <w:right w:val="single" w:color="auto" w:sz="4" w:space="0"/>
            </w:tcBorders>
            <w:vAlign w:val="center"/>
          </w:tcPr>
          <w:p>
            <w:pPr>
              <w:widowControl/>
              <w:spacing w:line="320" w:lineRule="exact"/>
              <w:rPr>
                <w:rFonts w:ascii="宋体" w:hAnsi="宋体"/>
                <w:kern w:val="0"/>
              </w:rPr>
            </w:pPr>
            <w:r>
              <w:rPr>
                <w:rFonts w:hint="eastAsia" w:ascii="宋体" w:hAnsi="宋体" w:cs="宋体"/>
                <w:kern w:val="0"/>
              </w:rPr>
              <w:t>部门（单位）所有项目支出实施过程是否规范</w:t>
            </w:r>
            <w:r>
              <w:rPr>
                <w:rFonts w:ascii="宋体" w:hAnsi="宋体" w:cs="宋体"/>
                <w:kern w:val="0"/>
              </w:rPr>
              <w:t>,</w:t>
            </w:r>
            <w:r>
              <w:rPr>
                <w:rFonts w:hint="eastAsia" w:ascii="宋体" w:hAnsi="宋体" w:cs="宋体"/>
                <w:kern w:val="0"/>
              </w:rPr>
              <w:t>包括是否符合申报条件；申报、批复程序是否符合相关管理办法；项目招投标、调整、完成验收等是否履行相应手续等。</w:t>
            </w:r>
          </w:p>
        </w:tc>
        <w:tc>
          <w:tcPr>
            <w:tcW w:w="6475" w:type="dxa"/>
            <w:tcBorders>
              <w:top w:val="nil"/>
              <w:left w:val="nil"/>
              <w:bottom w:val="single" w:color="auto" w:sz="4" w:space="0"/>
              <w:right w:val="single" w:color="auto" w:sz="4" w:space="0"/>
            </w:tcBorders>
            <w:vAlign w:val="center"/>
          </w:tcPr>
          <w:p>
            <w:pPr>
              <w:widowControl/>
              <w:spacing w:line="320" w:lineRule="exact"/>
              <w:rPr>
                <w:rFonts w:ascii="宋体" w:hAnsi="宋体"/>
                <w:kern w:val="0"/>
              </w:rPr>
            </w:pPr>
            <w:r>
              <w:rPr>
                <w:rFonts w:ascii="宋体" w:hAnsi="宋体" w:cs="宋体"/>
                <w:kern w:val="0"/>
              </w:rPr>
              <w:t xml:space="preserve">    1.</w:t>
            </w:r>
            <w:r>
              <w:rPr>
                <w:rFonts w:hint="eastAsia" w:ascii="宋体" w:hAnsi="宋体" w:cs="宋体"/>
                <w:kern w:val="0"/>
              </w:rPr>
              <w:t>项目的设立、调整按规定履行报批程序（</w:t>
            </w:r>
            <w:r>
              <w:rPr>
                <w:rFonts w:ascii="宋体" w:hAnsi="宋体" w:cs="宋体"/>
                <w:kern w:val="0"/>
              </w:rPr>
              <w:t>1</w:t>
            </w:r>
            <w:r>
              <w:rPr>
                <w:rFonts w:hint="eastAsia" w:ascii="宋体" w:hAnsi="宋体" w:cs="宋体"/>
                <w:kern w:val="0"/>
              </w:rPr>
              <w:t>分）；</w:t>
            </w:r>
            <w:r>
              <w:rPr>
                <w:rFonts w:ascii="宋体" w:hAnsi="宋体"/>
                <w:kern w:val="0"/>
              </w:rPr>
              <w:br w:type="textWrapping"/>
            </w:r>
            <w:r>
              <w:rPr>
                <w:rFonts w:ascii="宋体" w:hAnsi="宋体" w:cs="宋体"/>
                <w:kern w:val="0"/>
              </w:rPr>
              <w:t xml:space="preserve">    2.</w:t>
            </w:r>
            <w:r>
              <w:rPr>
                <w:rFonts w:hint="eastAsia" w:ascii="宋体" w:hAnsi="宋体" w:cs="宋体"/>
                <w:kern w:val="0"/>
              </w:rPr>
              <w:t>项目招投标、建设、验收以及方案实施均严格执行相关制度规定（</w:t>
            </w:r>
            <w:r>
              <w:rPr>
                <w:rFonts w:ascii="宋体" w:hAnsi="宋体" w:cs="宋体"/>
                <w:kern w:val="0"/>
              </w:rPr>
              <w:t>1</w:t>
            </w:r>
            <w:r>
              <w:rPr>
                <w:rFonts w:hint="eastAsia" w:ascii="宋体" w:hAnsi="宋体" w:cs="宋体"/>
                <w:kern w:val="0"/>
              </w:rPr>
              <w:t>分）。</w:t>
            </w:r>
          </w:p>
        </w:tc>
        <w:tc>
          <w:tcPr>
            <w:tcW w:w="7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rPr>
            </w:pPr>
            <w:r>
              <w:rPr>
                <w:rFonts w:hint="eastAsia" w:ascii="宋体" w:hAnsi="宋体" w:cs="宋体"/>
                <w:kern w:val="0"/>
              </w:rPr>
              <w:t>2</w:t>
            </w:r>
          </w:p>
        </w:tc>
      </w:tr>
      <w:tr>
        <w:tblPrEx>
          <w:tblCellMar>
            <w:top w:w="0" w:type="dxa"/>
            <w:left w:w="108" w:type="dxa"/>
            <w:bottom w:w="0" w:type="dxa"/>
            <w:right w:w="108" w:type="dxa"/>
          </w:tblCellMar>
        </w:tblPrEx>
        <w:trPr>
          <w:trHeight w:val="1527" w:hRule="atLeast"/>
          <w:jc w:val="center"/>
        </w:trPr>
        <w:tc>
          <w:tcPr>
            <w:tcW w:w="493"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50"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hAnsi="宋体"/>
                <w:kern w:val="0"/>
              </w:rPr>
            </w:pPr>
          </w:p>
        </w:tc>
        <w:tc>
          <w:tcPr>
            <w:tcW w:w="641"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项目</w:t>
            </w:r>
          </w:p>
          <w:p>
            <w:pPr>
              <w:widowControl/>
              <w:spacing w:line="320" w:lineRule="exact"/>
              <w:jc w:val="left"/>
              <w:rPr>
                <w:rFonts w:ascii="宋体" w:hAnsi="宋体"/>
                <w:kern w:val="0"/>
              </w:rPr>
            </w:pPr>
            <w:r>
              <w:rPr>
                <w:rFonts w:hint="eastAsia" w:ascii="宋体" w:hAnsi="宋体" w:cs="宋体"/>
                <w:kern w:val="0"/>
              </w:rPr>
              <w:t>监管</w:t>
            </w:r>
          </w:p>
        </w:tc>
        <w:tc>
          <w:tcPr>
            <w:tcW w:w="6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kern w:val="0"/>
              </w:rPr>
            </w:pPr>
            <w:r>
              <w:rPr>
                <w:rFonts w:hint="eastAsia" w:ascii="宋体" w:hAnsi="宋体" w:cs="宋体"/>
                <w:kern w:val="0"/>
              </w:rPr>
              <w:t>2</w:t>
            </w:r>
          </w:p>
        </w:tc>
        <w:tc>
          <w:tcPr>
            <w:tcW w:w="2826" w:type="dxa"/>
            <w:tcBorders>
              <w:top w:val="nil"/>
              <w:left w:val="nil"/>
              <w:bottom w:val="single" w:color="auto" w:sz="4" w:space="0"/>
              <w:right w:val="single" w:color="auto" w:sz="4" w:space="0"/>
            </w:tcBorders>
            <w:vAlign w:val="center"/>
          </w:tcPr>
          <w:p>
            <w:pPr>
              <w:widowControl/>
              <w:spacing w:line="320" w:lineRule="exact"/>
              <w:rPr>
                <w:rFonts w:ascii="宋体" w:hAnsi="宋体"/>
                <w:kern w:val="0"/>
              </w:rPr>
            </w:pPr>
            <w:r>
              <w:rPr>
                <w:rFonts w:hint="eastAsia" w:ascii="宋体" w:hAnsi="宋体" w:cs="宋体"/>
                <w:kern w:val="0"/>
              </w:rPr>
              <w:t>部门（单位）对所实施项目（包括部门主管的专项资金和专项经费分配给新区实施的项目）的检查、监控、督促整改等管理情况。</w:t>
            </w:r>
          </w:p>
        </w:tc>
        <w:tc>
          <w:tcPr>
            <w:tcW w:w="6475" w:type="dxa"/>
            <w:tcBorders>
              <w:top w:val="nil"/>
              <w:left w:val="nil"/>
              <w:bottom w:val="single" w:color="auto" w:sz="4" w:space="0"/>
              <w:right w:val="single" w:color="auto" w:sz="4" w:space="0"/>
            </w:tcBorders>
            <w:vAlign w:val="center"/>
          </w:tcPr>
          <w:p>
            <w:pPr>
              <w:widowControl/>
              <w:spacing w:line="320" w:lineRule="exact"/>
              <w:ind w:firstLine="420"/>
              <w:rPr>
                <w:rFonts w:ascii="宋体" w:hAnsi="宋体"/>
                <w:kern w:val="0"/>
              </w:rPr>
            </w:pPr>
            <w:r>
              <w:rPr>
                <w:rFonts w:ascii="宋体" w:hAnsi="宋体" w:cs="宋体"/>
                <w:kern w:val="0"/>
              </w:rPr>
              <w:t>1.</w:t>
            </w:r>
            <w:r>
              <w:rPr>
                <w:rFonts w:hint="eastAsia" w:ascii="宋体" w:hAnsi="宋体" w:cs="宋体"/>
                <w:kern w:val="0"/>
              </w:rPr>
              <w:t>资金使用单位、基层资金管理单位建立有效资金管理和绩效运行监控机制，且执行情况良好（1分）；</w:t>
            </w:r>
            <w:r>
              <w:rPr>
                <w:rFonts w:ascii="宋体" w:hAnsi="宋体"/>
                <w:kern w:val="0"/>
              </w:rPr>
              <w:br w:type="textWrapping"/>
            </w:r>
            <w:r>
              <w:rPr>
                <w:rFonts w:ascii="宋体" w:hAnsi="宋体" w:cs="宋体"/>
                <w:kern w:val="0"/>
              </w:rPr>
              <w:t xml:space="preserve">    2.</w:t>
            </w:r>
            <w:r>
              <w:rPr>
                <w:rFonts w:hint="eastAsia" w:ascii="宋体" w:hAnsi="宋体" w:cs="宋体"/>
                <w:kern w:val="0"/>
              </w:rPr>
              <w:t>各主管部门按规定对主管的财政资金（含专项资金和专项经费）开展有效的检查、监控、督促整改（1分），如无法提供开展检查监督相关证明材料，或被评价年度部门主管的专项资金绩效评价结果为差的，得0分。</w:t>
            </w:r>
          </w:p>
        </w:tc>
        <w:tc>
          <w:tcPr>
            <w:tcW w:w="7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rPr>
            </w:pPr>
            <w:r>
              <w:rPr>
                <w:rFonts w:hint="eastAsia" w:ascii="宋体" w:hAnsi="宋体" w:cs="宋体"/>
                <w:kern w:val="0"/>
              </w:rPr>
              <w:t>2</w:t>
            </w:r>
          </w:p>
        </w:tc>
      </w:tr>
      <w:tr>
        <w:tblPrEx>
          <w:tblCellMar>
            <w:top w:w="0" w:type="dxa"/>
            <w:left w:w="108" w:type="dxa"/>
            <w:bottom w:w="0" w:type="dxa"/>
            <w:right w:w="108" w:type="dxa"/>
          </w:tblCellMar>
        </w:tblPrEx>
        <w:trPr>
          <w:trHeight w:val="1369" w:hRule="atLeast"/>
          <w:jc w:val="center"/>
        </w:trPr>
        <w:tc>
          <w:tcPr>
            <w:tcW w:w="493"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50"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资产管理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hAnsi="宋体"/>
                <w:kern w:val="0"/>
              </w:rPr>
            </w:pPr>
            <w:r>
              <w:rPr>
                <w:rFonts w:hint="eastAsia" w:ascii="宋体" w:hAnsi="宋体" w:cs="宋体"/>
                <w:kern w:val="0"/>
              </w:rPr>
              <w:t>3</w:t>
            </w:r>
          </w:p>
        </w:tc>
        <w:tc>
          <w:tcPr>
            <w:tcW w:w="641" w:type="dxa"/>
            <w:tcBorders>
              <w:top w:val="nil"/>
              <w:left w:val="nil"/>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资产管理安全性</w:t>
            </w:r>
          </w:p>
        </w:tc>
        <w:tc>
          <w:tcPr>
            <w:tcW w:w="6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kern w:val="0"/>
              </w:rPr>
            </w:pPr>
            <w:r>
              <w:rPr>
                <w:rFonts w:ascii="宋体" w:hAnsi="宋体" w:cs="宋体"/>
                <w:kern w:val="0"/>
              </w:rPr>
              <w:t>2</w:t>
            </w:r>
          </w:p>
        </w:tc>
        <w:tc>
          <w:tcPr>
            <w:tcW w:w="2826" w:type="dxa"/>
            <w:tcBorders>
              <w:top w:val="nil"/>
              <w:left w:val="nil"/>
              <w:bottom w:val="single" w:color="auto" w:sz="4" w:space="0"/>
              <w:right w:val="single" w:color="auto" w:sz="4" w:space="0"/>
            </w:tcBorders>
            <w:vAlign w:val="center"/>
          </w:tcPr>
          <w:p>
            <w:pPr>
              <w:widowControl/>
              <w:spacing w:line="320" w:lineRule="exact"/>
              <w:rPr>
                <w:rFonts w:ascii="宋体" w:hAnsi="宋体"/>
                <w:kern w:val="0"/>
              </w:rPr>
            </w:pPr>
            <w:r>
              <w:rPr>
                <w:rFonts w:hint="eastAsia" w:ascii="宋体" w:hAnsi="宋体" w:cs="宋体"/>
                <w:kern w:val="0"/>
              </w:rPr>
              <w:t>部门（单位）的资产是否保存完整、使用合规、配置合理、处置规范、收入及时足额上缴，用于反映和考核部门（单位）资产安全运行情况。</w:t>
            </w:r>
          </w:p>
        </w:tc>
        <w:tc>
          <w:tcPr>
            <w:tcW w:w="6475" w:type="dxa"/>
            <w:tcBorders>
              <w:top w:val="nil"/>
              <w:left w:val="nil"/>
              <w:bottom w:val="single" w:color="auto" w:sz="4" w:space="0"/>
              <w:right w:val="single" w:color="auto" w:sz="4" w:space="0"/>
            </w:tcBorders>
            <w:vAlign w:val="center"/>
          </w:tcPr>
          <w:p>
            <w:pPr>
              <w:widowControl/>
              <w:spacing w:line="320" w:lineRule="exact"/>
              <w:rPr>
                <w:rFonts w:ascii="宋体" w:hAnsi="宋体"/>
                <w:kern w:val="0"/>
              </w:rPr>
            </w:pPr>
            <w:r>
              <w:rPr>
                <w:rFonts w:ascii="宋体" w:hAnsi="宋体" w:cs="宋体"/>
                <w:kern w:val="0"/>
              </w:rPr>
              <w:t xml:space="preserve">    1.</w:t>
            </w:r>
            <w:r>
              <w:rPr>
                <w:rFonts w:hint="eastAsia" w:ascii="宋体" w:hAnsi="宋体" w:cs="宋体"/>
                <w:kern w:val="0"/>
              </w:rPr>
              <w:t>资产配置合理、保管完整，账实相符（</w:t>
            </w:r>
            <w:r>
              <w:rPr>
                <w:rFonts w:ascii="宋体" w:hAnsi="宋体" w:cs="宋体"/>
                <w:kern w:val="0"/>
              </w:rPr>
              <w:t>1</w:t>
            </w:r>
            <w:r>
              <w:rPr>
                <w:rFonts w:hint="eastAsia" w:ascii="宋体" w:hAnsi="宋体" w:cs="宋体"/>
                <w:kern w:val="0"/>
              </w:rPr>
              <w:t>分）；</w:t>
            </w:r>
            <w:r>
              <w:rPr>
                <w:rFonts w:ascii="宋体" w:hAnsi="宋体"/>
                <w:kern w:val="0"/>
              </w:rPr>
              <w:br w:type="textWrapping"/>
            </w:r>
            <w:r>
              <w:rPr>
                <w:rFonts w:ascii="宋体" w:hAnsi="宋体" w:cs="宋体"/>
                <w:kern w:val="0"/>
              </w:rPr>
              <w:t xml:space="preserve">    2.</w:t>
            </w:r>
            <w:r>
              <w:rPr>
                <w:rFonts w:hint="eastAsia" w:ascii="宋体" w:hAnsi="宋体" w:cs="宋体"/>
                <w:kern w:val="0"/>
              </w:rPr>
              <w:t>资产处置规范，有偿使用及处置收入及时足额上缴（</w:t>
            </w:r>
            <w:r>
              <w:rPr>
                <w:rFonts w:ascii="宋体" w:hAnsi="宋体" w:cs="宋体"/>
                <w:kern w:val="0"/>
              </w:rPr>
              <w:t>1</w:t>
            </w:r>
            <w:r>
              <w:rPr>
                <w:rFonts w:hint="eastAsia" w:ascii="宋体" w:hAnsi="宋体" w:cs="宋体"/>
                <w:kern w:val="0"/>
              </w:rPr>
              <w:t>分）。</w:t>
            </w:r>
          </w:p>
        </w:tc>
        <w:tc>
          <w:tcPr>
            <w:tcW w:w="7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rPr>
            </w:pPr>
            <w:r>
              <w:rPr>
                <w:rFonts w:hint="eastAsia" w:ascii="宋体" w:hAnsi="宋体" w:cs="宋体"/>
                <w:kern w:val="0"/>
              </w:rPr>
              <w:t>2</w:t>
            </w:r>
          </w:p>
        </w:tc>
      </w:tr>
      <w:tr>
        <w:tblPrEx>
          <w:tblCellMar>
            <w:top w:w="0" w:type="dxa"/>
            <w:left w:w="108" w:type="dxa"/>
            <w:bottom w:w="0" w:type="dxa"/>
            <w:right w:w="108" w:type="dxa"/>
          </w:tblCellMar>
        </w:tblPrEx>
        <w:trPr>
          <w:trHeight w:val="1314" w:hRule="atLeast"/>
          <w:jc w:val="center"/>
        </w:trPr>
        <w:tc>
          <w:tcPr>
            <w:tcW w:w="493"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50"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hAnsi="宋体"/>
                <w:kern w:val="0"/>
              </w:rPr>
            </w:pPr>
          </w:p>
        </w:tc>
        <w:tc>
          <w:tcPr>
            <w:tcW w:w="641" w:type="dxa"/>
            <w:tcBorders>
              <w:top w:val="nil"/>
              <w:left w:val="nil"/>
              <w:bottom w:val="single" w:color="auto" w:sz="4" w:space="0"/>
              <w:right w:val="single" w:color="auto" w:sz="4" w:space="0"/>
            </w:tcBorders>
            <w:vAlign w:val="center"/>
          </w:tcPr>
          <w:p>
            <w:pPr>
              <w:widowControl/>
              <w:spacing w:line="300" w:lineRule="exact"/>
              <w:jc w:val="left"/>
              <w:rPr>
                <w:rFonts w:ascii="宋体" w:hAnsi="宋体"/>
                <w:kern w:val="0"/>
              </w:rPr>
            </w:pPr>
            <w:r>
              <w:rPr>
                <w:rFonts w:hint="eastAsia" w:ascii="宋体" w:hAnsi="宋体" w:cs="宋体"/>
                <w:kern w:val="0"/>
              </w:rPr>
              <w:t>固定资产利用率</w:t>
            </w:r>
          </w:p>
        </w:tc>
        <w:tc>
          <w:tcPr>
            <w:tcW w:w="683" w:type="dxa"/>
            <w:tcBorders>
              <w:top w:val="nil"/>
              <w:left w:val="nil"/>
              <w:bottom w:val="single" w:color="auto" w:sz="4" w:space="0"/>
              <w:right w:val="single" w:color="auto" w:sz="4" w:space="0"/>
            </w:tcBorders>
            <w:vAlign w:val="center"/>
          </w:tcPr>
          <w:p>
            <w:pPr>
              <w:widowControl/>
              <w:spacing w:line="300" w:lineRule="exact"/>
              <w:jc w:val="center"/>
              <w:rPr>
                <w:rFonts w:ascii="宋体" w:hAnsi="宋体"/>
                <w:kern w:val="0"/>
              </w:rPr>
            </w:pPr>
            <w:r>
              <w:rPr>
                <w:rFonts w:hint="eastAsia" w:ascii="宋体" w:hAnsi="宋体" w:cs="宋体"/>
                <w:kern w:val="0"/>
              </w:rPr>
              <w:t>1</w:t>
            </w:r>
          </w:p>
        </w:tc>
        <w:tc>
          <w:tcPr>
            <w:tcW w:w="2826" w:type="dxa"/>
            <w:tcBorders>
              <w:top w:val="nil"/>
              <w:left w:val="nil"/>
              <w:bottom w:val="single" w:color="auto" w:sz="4" w:space="0"/>
              <w:right w:val="single" w:color="auto" w:sz="4" w:space="0"/>
            </w:tcBorders>
            <w:vAlign w:val="center"/>
          </w:tcPr>
          <w:p>
            <w:pPr>
              <w:widowControl/>
              <w:spacing w:line="300" w:lineRule="exact"/>
              <w:rPr>
                <w:rFonts w:ascii="宋体" w:hAnsi="宋体"/>
                <w:kern w:val="0"/>
              </w:rPr>
            </w:pPr>
            <w:r>
              <w:rPr>
                <w:rFonts w:hint="eastAsia" w:ascii="宋体" w:hAnsi="宋体" w:cs="宋体"/>
                <w:kern w:val="0"/>
              </w:rPr>
              <w:t>部门（单位）实际在用固定资产总额与所有固定资产总额的比例，用以反映和考核部门（单位）固定资产使用效率程度。</w:t>
            </w:r>
          </w:p>
        </w:tc>
        <w:tc>
          <w:tcPr>
            <w:tcW w:w="6475" w:type="dxa"/>
            <w:tcBorders>
              <w:top w:val="nil"/>
              <w:left w:val="nil"/>
              <w:bottom w:val="single" w:color="auto" w:sz="4" w:space="0"/>
              <w:right w:val="single" w:color="auto" w:sz="4" w:space="0"/>
            </w:tcBorders>
            <w:vAlign w:val="center"/>
          </w:tcPr>
          <w:p>
            <w:pPr>
              <w:widowControl/>
              <w:spacing w:line="300" w:lineRule="exact"/>
              <w:ind w:firstLine="420" w:firstLineChars="200"/>
              <w:rPr>
                <w:rFonts w:ascii="宋体" w:hAnsi="宋体" w:cs="宋体"/>
                <w:kern w:val="0"/>
              </w:rPr>
            </w:pPr>
            <w:r>
              <w:rPr>
                <w:rFonts w:hint="eastAsia" w:ascii="宋体" w:hAnsi="宋体" w:cs="宋体"/>
                <w:kern w:val="0"/>
              </w:rPr>
              <w:t>固定资产利用率=（实际在用固定资产总额/所有固定资产总额）×</w:t>
            </w:r>
            <w:r>
              <w:rPr>
                <w:rFonts w:ascii="宋体" w:hAnsi="宋体" w:cs="宋体"/>
                <w:kern w:val="0"/>
              </w:rPr>
              <w:t xml:space="preserve">100%    </w:t>
            </w:r>
          </w:p>
          <w:p>
            <w:pPr>
              <w:widowControl/>
              <w:spacing w:line="300" w:lineRule="exact"/>
              <w:ind w:firstLine="420" w:firstLineChars="200"/>
              <w:rPr>
                <w:rFonts w:ascii="宋体" w:hAnsi="宋体"/>
                <w:kern w:val="0"/>
              </w:rPr>
            </w:pPr>
            <w:r>
              <w:rPr>
                <w:rFonts w:ascii="宋体" w:hAnsi="宋体" w:cs="宋体"/>
                <w:kern w:val="0"/>
              </w:rPr>
              <w:t>1.</w:t>
            </w:r>
            <w:r>
              <w:rPr>
                <w:rFonts w:hint="eastAsia" w:ascii="宋体" w:hAnsi="宋体" w:cs="宋体"/>
                <w:kern w:val="0"/>
              </w:rPr>
              <w:t>固定资产利用率≥</w:t>
            </w:r>
            <w:r>
              <w:rPr>
                <w:rFonts w:ascii="宋体" w:hAnsi="宋体" w:cs="宋体"/>
                <w:kern w:val="0"/>
              </w:rPr>
              <w:t>90%</w:t>
            </w:r>
            <w:r>
              <w:rPr>
                <w:rFonts w:hint="eastAsia" w:ascii="宋体" w:hAnsi="宋体" w:cs="宋体"/>
                <w:kern w:val="0"/>
              </w:rPr>
              <w:t>的，得1分；</w:t>
            </w:r>
            <w:r>
              <w:rPr>
                <w:rFonts w:ascii="宋体" w:hAnsi="宋体"/>
                <w:kern w:val="0"/>
              </w:rPr>
              <w:br w:type="textWrapping"/>
            </w:r>
            <w:r>
              <w:rPr>
                <w:rFonts w:ascii="宋体" w:hAnsi="宋体" w:cs="宋体"/>
                <w:kern w:val="0"/>
              </w:rPr>
              <w:t xml:space="preserve">    2.90%</w:t>
            </w:r>
            <w:r>
              <w:rPr>
                <w:rFonts w:hint="eastAsia" w:ascii="宋体" w:hAnsi="宋体" w:cs="宋体"/>
                <w:kern w:val="0"/>
              </w:rPr>
              <w:t>＞固定资产利用率≥</w:t>
            </w:r>
            <w:r>
              <w:rPr>
                <w:rFonts w:ascii="宋体" w:hAnsi="宋体" w:cs="宋体"/>
                <w:kern w:val="0"/>
              </w:rPr>
              <w:t>75%</w:t>
            </w:r>
            <w:r>
              <w:rPr>
                <w:rFonts w:hint="eastAsia" w:ascii="宋体" w:hAnsi="宋体" w:cs="宋体"/>
                <w:kern w:val="0"/>
              </w:rPr>
              <w:t>的，得0.7分；</w:t>
            </w:r>
            <w:r>
              <w:rPr>
                <w:rFonts w:ascii="宋体" w:hAnsi="宋体"/>
                <w:kern w:val="0"/>
              </w:rPr>
              <w:br w:type="textWrapping"/>
            </w:r>
            <w:r>
              <w:rPr>
                <w:rFonts w:ascii="宋体" w:hAnsi="宋体" w:cs="宋体"/>
                <w:kern w:val="0"/>
              </w:rPr>
              <w:t xml:space="preserve">    3.75%</w:t>
            </w:r>
            <w:r>
              <w:rPr>
                <w:rFonts w:hint="eastAsia" w:ascii="宋体" w:hAnsi="宋体" w:cs="宋体"/>
                <w:kern w:val="0"/>
              </w:rPr>
              <w:t>＞固定资产利用率≥</w:t>
            </w:r>
            <w:r>
              <w:rPr>
                <w:rFonts w:ascii="宋体" w:hAnsi="宋体" w:cs="宋体"/>
                <w:kern w:val="0"/>
              </w:rPr>
              <w:t>60%</w:t>
            </w:r>
            <w:r>
              <w:rPr>
                <w:rFonts w:hint="eastAsia" w:ascii="宋体" w:hAnsi="宋体" w:cs="宋体"/>
                <w:kern w:val="0"/>
              </w:rPr>
              <w:t>的，得</w:t>
            </w:r>
            <w:r>
              <w:rPr>
                <w:rFonts w:ascii="宋体" w:hAnsi="宋体" w:cs="宋体"/>
                <w:kern w:val="0"/>
              </w:rPr>
              <w:t>0.</w:t>
            </w:r>
            <w:r>
              <w:rPr>
                <w:rFonts w:hint="eastAsia" w:ascii="宋体" w:hAnsi="宋体" w:cs="宋体"/>
                <w:kern w:val="0"/>
              </w:rPr>
              <w:t>4分；</w:t>
            </w:r>
            <w:r>
              <w:rPr>
                <w:rFonts w:ascii="宋体" w:hAnsi="宋体"/>
                <w:kern w:val="0"/>
              </w:rPr>
              <w:br w:type="textWrapping"/>
            </w:r>
            <w:r>
              <w:rPr>
                <w:rFonts w:ascii="宋体" w:hAnsi="宋体" w:cs="宋体"/>
                <w:kern w:val="0"/>
              </w:rPr>
              <w:t xml:space="preserve">    4.</w:t>
            </w:r>
            <w:r>
              <w:rPr>
                <w:rFonts w:hint="eastAsia" w:ascii="宋体" w:hAnsi="宋体" w:cs="宋体"/>
                <w:kern w:val="0"/>
              </w:rPr>
              <w:t>固定资产利用率＜</w:t>
            </w:r>
            <w:r>
              <w:rPr>
                <w:rFonts w:ascii="宋体" w:hAnsi="宋体" w:cs="宋体"/>
                <w:kern w:val="0"/>
              </w:rPr>
              <w:t>60%</w:t>
            </w:r>
            <w:r>
              <w:rPr>
                <w:rFonts w:hint="eastAsia" w:ascii="宋体" w:hAnsi="宋体" w:cs="宋体"/>
                <w:kern w:val="0"/>
              </w:rPr>
              <w:t>的，得</w:t>
            </w:r>
            <w:r>
              <w:rPr>
                <w:rFonts w:ascii="宋体" w:hAnsi="宋体" w:cs="宋体"/>
                <w:kern w:val="0"/>
              </w:rPr>
              <w:t>0</w:t>
            </w:r>
            <w:r>
              <w:rPr>
                <w:rFonts w:hint="eastAsia" w:ascii="宋体" w:hAnsi="宋体" w:cs="宋体"/>
                <w:kern w:val="0"/>
              </w:rPr>
              <w:t>分。</w:t>
            </w:r>
          </w:p>
        </w:tc>
        <w:tc>
          <w:tcPr>
            <w:tcW w:w="783"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rPr>
            </w:pPr>
            <w:r>
              <w:rPr>
                <w:rFonts w:hint="eastAsia" w:ascii="宋体" w:hAnsi="宋体" w:cs="宋体"/>
                <w:kern w:val="0"/>
              </w:rPr>
              <w:t>1</w:t>
            </w:r>
          </w:p>
        </w:tc>
      </w:tr>
      <w:tr>
        <w:tblPrEx>
          <w:tblCellMar>
            <w:top w:w="0" w:type="dxa"/>
            <w:left w:w="108" w:type="dxa"/>
            <w:bottom w:w="0" w:type="dxa"/>
            <w:right w:w="108" w:type="dxa"/>
          </w:tblCellMar>
        </w:tblPrEx>
        <w:trPr>
          <w:trHeight w:val="1559" w:hRule="atLeast"/>
          <w:jc w:val="center"/>
        </w:trPr>
        <w:tc>
          <w:tcPr>
            <w:tcW w:w="493"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50" w:type="dxa"/>
            <w:vMerge w:val="restart"/>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人员管理</w:t>
            </w:r>
          </w:p>
        </w:tc>
        <w:tc>
          <w:tcPr>
            <w:tcW w:w="567" w:type="dxa"/>
            <w:vMerge w:val="restart"/>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kern w:val="0"/>
              </w:rPr>
            </w:pPr>
            <w:r>
              <w:rPr>
                <w:rFonts w:hint="eastAsia" w:ascii="宋体" w:hAnsi="宋体" w:cs="宋体"/>
                <w:kern w:val="0"/>
              </w:rPr>
              <w:t>2</w:t>
            </w:r>
          </w:p>
        </w:tc>
        <w:tc>
          <w:tcPr>
            <w:tcW w:w="64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hAnsi="宋体"/>
                <w:kern w:val="0"/>
              </w:rPr>
            </w:pPr>
            <w:r>
              <w:rPr>
                <w:rFonts w:hint="eastAsia" w:ascii="宋体" w:hAnsi="宋体" w:cs="宋体"/>
                <w:kern w:val="0"/>
              </w:rPr>
              <w:t>财政供养人员控制率</w:t>
            </w:r>
          </w:p>
        </w:tc>
        <w:tc>
          <w:tcPr>
            <w:tcW w:w="683"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hAnsi="宋体"/>
                <w:kern w:val="0"/>
              </w:rPr>
            </w:pPr>
            <w:r>
              <w:rPr>
                <w:rFonts w:ascii="宋体" w:hAnsi="宋体" w:cs="宋体"/>
                <w:kern w:val="0"/>
              </w:rPr>
              <w:t>1</w:t>
            </w:r>
          </w:p>
        </w:tc>
        <w:tc>
          <w:tcPr>
            <w:tcW w:w="2826" w:type="dxa"/>
            <w:tcBorders>
              <w:top w:val="single" w:color="auto" w:sz="4" w:space="0"/>
              <w:left w:val="nil"/>
              <w:bottom w:val="single" w:color="auto" w:sz="4" w:space="0"/>
              <w:right w:val="single" w:color="auto" w:sz="4" w:space="0"/>
            </w:tcBorders>
            <w:vAlign w:val="center"/>
          </w:tcPr>
          <w:p>
            <w:pPr>
              <w:widowControl/>
              <w:spacing w:line="300" w:lineRule="exact"/>
              <w:rPr>
                <w:rFonts w:ascii="宋体" w:hAnsi="宋体"/>
                <w:kern w:val="0"/>
              </w:rPr>
            </w:pPr>
            <w:r>
              <w:rPr>
                <w:rFonts w:hint="eastAsia" w:ascii="宋体" w:hAnsi="宋体" w:cs="宋体"/>
                <w:kern w:val="0"/>
              </w:rPr>
              <w:t>部门（单位）本年度在编人数（含工勤人员）与核定编制数（含工勤人员）的比率。</w:t>
            </w:r>
          </w:p>
        </w:tc>
        <w:tc>
          <w:tcPr>
            <w:tcW w:w="6475" w:type="dxa"/>
            <w:tcBorders>
              <w:top w:val="single" w:color="auto" w:sz="4" w:space="0"/>
              <w:left w:val="nil"/>
              <w:bottom w:val="single" w:color="auto" w:sz="4" w:space="0"/>
              <w:right w:val="single" w:color="auto" w:sz="4" w:space="0"/>
            </w:tcBorders>
            <w:vAlign w:val="center"/>
          </w:tcPr>
          <w:p>
            <w:pPr>
              <w:widowControl/>
              <w:spacing w:line="300" w:lineRule="exact"/>
              <w:ind w:firstLine="420" w:firstLineChars="200"/>
              <w:rPr>
                <w:rFonts w:ascii="宋体" w:hAnsi="宋体" w:cs="宋体"/>
                <w:kern w:val="0"/>
              </w:rPr>
            </w:pPr>
            <w:r>
              <w:rPr>
                <w:rFonts w:hint="eastAsia" w:ascii="宋体" w:hAnsi="宋体" w:cs="宋体"/>
                <w:kern w:val="0"/>
              </w:rPr>
              <w:t>财政供养人员控制率=本年度在编人数（含工勤人员）/核定编制数（含工勤人员）</w:t>
            </w:r>
          </w:p>
          <w:p>
            <w:pPr>
              <w:widowControl/>
              <w:spacing w:line="300" w:lineRule="exact"/>
              <w:rPr>
                <w:rFonts w:ascii="宋体" w:hAnsi="宋体" w:cs="宋体"/>
                <w:kern w:val="0"/>
              </w:rPr>
            </w:pPr>
            <w:r>
              <w:rPr>
                <w:rFonts w:ascii="宋体" w:hAnsi="宋体" w:cs="宋体"/>
                <w:kern w:val="0"/>
              </w:rPr>
              <w:t xml:space="preserve">  </w:t>
            </w:r>
            <w:r>
              <w:rPr>
                <w:rFonts w:hint="eastAsia" w:ascii="宋体" w:hAnsi="宋体" w:cs="宋体"/>
                <w:kern w:val="0"/>
              </w:rPr>
              <w:t xml:space="preserve"> 1.财政供养人员控制率≤</w:t>
            </w:r>
            <w:r>
              <w:rPr>
                <w:rFonts w:ascii="宋体" w:hAnsi="宋体" w:cs="宋体"/>
                <w:kern w:val="0"/>
              </w:rPr>
              <w:t>100%</w:t>
            </w:r>
            <w:r>
              <w:rPr>
                <w:rFonts w:hint="eastAsia" w:ascii="宋体" w:hAnsi="宋体" w:cs="宋体"/>
                <w:kern w:val="0"/>
              </w:rPr>
              <w:t>的，得1分；</w:t>
            </w:r>
          </w:p>
          <w:p>
            <w:pPr>
              <w:widowControl/>
              <w:spacing w:line="300" w:lineRule="exact"/>
              <w:rPr>
                <w:rFonts w:ascii="宋体" w:hAnsi="宋体"/>
                <w:kern w:val="0"/>
              </w:rPr>
            </w:pPr>
            <w:r>
              <w:rPr>
                <w:rFonts w:hint="eastAsia" w:ascii="宋体" w:hAnsi="宋体"/>
                <w:kern w:val="0"/>
              </w:rPr>
              <w:t xml:space="preserve">   2.</w:t>
            </w:r>
            <w:r>
              <w:rPr>
                <w:rFonts w:hint="eastAsia" w:ascii="宋体" w:hAnsi="宋体" w:cs="宋体"/>
                <w:kern w:val="0"/>
              </w:rPr>
              <w:t>财政供养人员控制率＞</w:t>
            </w:r>
            <w:r>
              <w:rPr>
                <w:rFonts w:ascii="宋体" w:hAnsi="宋体" w:cs="宋体"/>
                <w:kern w:val="0"/>
              </w:rPr>
              <w:t>100%</w:t>
            </w:r>
            <w:r>
              <w:rPr>
                <w:rFonts w:hint="eastAsia" w:ascii="宋体" w:hAnsi="宋体" w:cs="宋体"/>
                <w:kern w:val="0"/>
              </w:rPr>
              <w:t>的，得0分。</w:t>
            </w:r>
          </w:p>
        </w:tc>
        <w:tc>
          <w:tcPr>
            <w:tcW w:w="783"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hAnsi="宋体"/>
                <w:kern w:val="0"/>
              </w:rPr>
            </w:pPr>
            <w:r>
              <w:rPr>
                <w:rFonts w:hint="eastAsia" w:ascii="宋体" w:hAnsi="宋体" w:cs="宋体"/>
                <w:kern w:val="0"/>
              </w:rPr>
              <w:t>1</w:t>
            </w:r>
          </w:p>
        </w:tc>
      </w:tr>
      <w:tr>
        <w:tblPrEx>
          <w:tblCellMar>
            <w:top w:w="0" w:type="dxa"/>
            <w:left w:w="108" w:type="dxa"/>
            <w:bottom w:w="0" w:type="dxa"/>
            <w:right w:w="108" w:type="dxa"/>
          </w:tblCellMar>
        </w:tblPrEx>
        <w:trPr>
          <w:trHeight w:val="1267" w:hRule="atLeast"/>
          <w:jc w:val="center"/>
        </w:trPr>
        <w:tc>
          <w:tcPr>
            <w:tcW w:w="493"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50" w:type="dxa"/>
            <w:vMerge w:val="continue"/>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kern w:val="0"/>
              </w:rPr>
            </w:pPr>
          </w:p>
        </w:tc>
        <w:tc>
          <w:tcPr>
            <w:tcW w:w="64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hAnsi="宋体"/>
                <w:kern w:val="0"/>
              </w:rPr>
            </w:pPr>
            <w:r>
              <w:rPr>
                <w:rFonts w:hint="eastAsia" w:ascii="宋体" w:hAnsi="宋体" w:cs="宋体"/>
                <w:kern w:val="0"/>
              </w:rPr>
              <w:t>编外人员控制率</w:t>
            </w:r>
          </w:p>
        </w:tc>
        <w:tc>
          <w:tcPr>
            <w:tcW w:w="683"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hAnsi="宋体"/>
                <w:kern w:val="0"/>
              </w:rPr>
            </w:pPr>
            <w:r>
              <w:rPr>
                <w:rFonts w:hint="eastAsia" w:ascii="宋体" w:hAnsi="宋体" w:cs="宋体"/>
                <w:kern w:val="0"/>
              </w:rPr>
              <w:t>1</w:t>
            </w:r>
          </w:p>
        </w:tc>
        <w:tc>
          <w:tcPr>
            <w:tcW w:w="2826" w:type="dxa"/>
            <w:tcBorders>
              <w:top w:val="single" w:color="auto" w:sz="4" w:space="0"/>
              <w:left w:val="nil"/>
              <w:bottom w:val="single" w:color="auto" w:sz="4" w:space="0"/>
              <w:right w:val="single" w:color="auto" w:sz="4" w:space="0"/>
            </w:tcBorders>
            <w:vAlign w:val="center"/>
          </w:tcPr>
          <w:p>
            <w:pPr>
              <w:widowControl/>
              <w:spacing w:line="300" w:lineRule="exact"/>
              <w:rPr>
                <w:rFonts w:ascii="宋体" w:hAnsi="宋体"/>
                <w:kern w:val="0"/>
              </w:rPr>
            </w:pPr>
            <w:r>
              <w:rPr>
                <w:rFonts w:hint="eastAsia" w:ascii="宋体" w:hAnsi="宋体" w:cs="宋体"/>
                <w:kern w:val="0"/>
              </w:rPr>
              <w:t>部门（单位）本年度使用劳务派遣人员数量（含直接聘用的编外人员）与在职人员总数（在编</w:t>
            </w:r>
            <w:r>
              <w:rPr>
                <w:rFonts w:ascii="宋体" w:hAnsi="宋体" w:cs="宋体"/>
                <w:kern w:val="0"/>
              </w:rPr>
              <w:t>+</w:t>
            </w:r>
            <w:r>
              <w:rPr>
                <w:rFonts w:hint="eastAsia" w:ascii="宋体" w:hAnsi="宋体" w:cs="宋体"/>
                <w:kern w:val="0"/>
              </w:rPr>
              <w:t>编外）的比率。</w:t>
            </w:r>
          </w:p>
        </w:tc>
        <w:tc>
          <w:tcPr>
            <w:tcW w:w="6475" w:type="dxa"/>
            <w:tcBorders>
              <w:top w:val="single" w:color="auto" w:sz="4" w:space="0"/>
              <w:left w:val="nil"/>
              <w:bottom w:val="single" w:color="auto" w:sz="4" w:space="0"/>
              <w:right w:val="single" w:color="auto" w:sz="4" w:space="0"/>
            </w:tcBorders>
            <w:vAlign w:val="center"/>
          </w:tcPr>
          <w:p>
            <w:pPr>
              <w:widowControl/>
              <w:spacing w:line="300" w:lineRule="exact"/>
              <w:ind w:firstLine="420" w:firstLineChars="200"/>
              <w:rPr>
                <w:rFonts w:ascii="宋体" w:hAnsi="宋体"/>
                <w:kern w:val="0"/>
              </w:rPr>
            </w:pPr>
            <w:r>
              <w:rPr>
                <w:rFonts w:ascii="宋体" w:hAnsi="宋体" w:cs="宋体"/>
                <w:kern w:val="0"/>
              </w:rPr>
              <w:t>1.</w:t>
            </w:r>
            <w:r>
              <w:rPr>
                <w:rFonts w:hint="eastAsia" w:ascii="宋体" w:hAnsi="宋体" w:cs="宋体"/>
                <w:kern w:val="0"/>
              </w:rPr>
              <w:t>比率＜</w:t>
            </w:r>
            <w:r>
              <w:rPr>
                <w:rFonts w:ascii="宋体" w:hAnsi="宋体" w:cs="宋体"/>
                <w:kern w:val="0"/>
              </w:rPr>
              <w:t>5%</w:t>
            </w:r>
            <w:r>
              <w:rPr>
                <w:rFonts w:hint="eastAsia" w:ascii="宋体" w:hAnsi="宋体" w:cs="宋体"/>
                <w:kern w:val="0"/>
              </w:rPr>
              <w:t>的，得1分；</w:t>
            </w:r>
          </w:p>
          <w:p>
            <w:pPr>
              <w:widowControl/>
              <w:spacing w:line="300" w:lineRule="exact"/>
              <w:ind w:firstLine="420" w:firstLineChars="200"/>
              <w:rPr>
                <w:rFonts w:ascii="宋体" w:hAnsi="宋体"/>
                <w:kern w:val="0"/>
              </w:rPr>
            </w:pPr>
            <w:r>
              <w:rPr>
                <w:rFonts w:ascii="宋体" w:hAnsi="宋体" w:cs="宋体"/>
                <w:kern w:val="0"/>
              </w:rPr>
              <w:t>2.5%</w:t>
            </w:r>
            <w:r>
              <w:rPr>
                <w:rFonts w:hint="eastAsia" w:ascii="宋体" w:hAnsi="宋体" w:cs="宋体"/>
                <w:kern w:val="0"/>
              </w:rPr>
              <w:t>≤比率≤</w:t>
            </w:r>
            <w:r>
              <w:rPr>
                <w:rFonts w:ascii="宋体" w:hAnsi="宋体" w:cs="宋体"/>
                <w:kern w:val="0"/>
              </w:rPr>
              <w:t>10%</w:t>
            </w:r>
            <w:r>
              <w:rPr>
                <w:rFonts w:hint="eastAsia" w:ascii="宋体" w:hAnsi="宋体" w:cs="宋体"/>
                <w:kern w:val="0"/>
              </w:rPr>
              <w:t>的，得0.5分；</w:t>
            </w:r>
            <w:r>
              <w:rPr>
                <w:rFonts w:ascii="宋体" w:hAnsi="宋体"/>
                <w:kern w:val="0"/>
              </w:rPr>
              <w:br w:type="textWrapping"/>
            </w:r>
            <w:r>
              <w:rPr>
                <w:rFonts w:ascii="宋体" w:hAnsi="宋体" w:cs="宋体"/>
                <w:kern w:val="0"/>
              </w:rPr>
              <w:t xml:space="preserve">    3.</w:t>
            </w:r>
            <w:r>
              <w:rPr>
                <w:rFonts w:hint="eastAsia" w:ascii="宋体" w:hAnsi="宋体" w:cs="宋体"/>
                <w:kern w:val="0"/>
              </w:rPr>
              <w:t>比率＞</w:t>
            </w:r>
            <w:r>
              <w:rPr>
                <w:rFonts w:ascii="宋体" w:hAnsi="宋体" w:cs="宋体"/>
                <w:kern w:val="0"/>
              </w:rPr>
              <w:t>10%</w:t>
            </w:r>
            <w:r>
              <w:rPr>
                <w:rFonts w:hint="eastAsia" w:ascii="宋体" w:hAnsi="宋体" w:cs="宋体"/>
                <w:kern w:val="0"/>
              </w:rPr>
              <w:t>的，得</w:t>
            </w:r>
            <w:r>
              <w:rPr>
                <w:rFonts w:ascii="宋体" w:hAnsi="宋体" w:cs="宋体"/>
                <w:kern w:val="0"/>
              </w:rPr>
              <w:t>0</w:t>
            </w:r>
            <w:r>
              <w:rPr>
                <w:rFonts w:hint="eastAsia" w:ascii="宋体" w:hAnsi="宋体" w:cs="宋体"/>
                <w:kern w:val="0"/>
              </w:rPr>
              <w:t>分。</w:t>
            </w:r>
          </w:p>
        </w:tc>
        <w:tc>
          <w:tcPr>
            <w:tcW w:w="783"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hAnsi="宋体" w:cs="宋体"/>
                <w:kern w:val="0"/>
              </w:rPr>
            </w:pPr>
            <w:r>
              <w:rPr>
                <w:rFonts w:hint="eastAsia" w:ascii="宋体" w:hAnsi="宋体" w:cs="宋体"/>
                <w:kern w:val="0"/>
              </w:rPr>
              <w:t>0</w:t>
            </w:r>
          </w:p>
        </w:tc>
      </w:tr>
      <w:tr>
        <w:tblPrEx>
          <w:tblCellMar>
            <w:top w:w="0" w:type="dxa"/>
            <w:left w:w="108" w:type="dxa"/>
            <w:bottom w:w="0" w:type="dxa"/>
            <w:right w:w="108" w:type="dxa"/>
          </w:tblCellMar>
        </w:tblPrEx>
        <w:trPr>
          <w:trHeight w:val="1521" w:hRule="atLeast"/>
          <w:jc w:val="center"/>
        </w:trPr>
        <w:tc>
          <w:tcPr>
            <w:tcW w:w="493"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50" w:type="dxa"/>
            <w:tcBorders>
              <w:top w:val="nil"/>
              <w:left w:val="nil"/>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制度管理</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hAnsi="宋体"/>
                <w:kern w:val="0"/>
              </w:rPr>
            </w:pPr>
            <w:r>
              <w:rPr>
                <w:rFonts w:hint="eastAsia" w:ascii="宋体" w:hAnsi="宋体" w:cs="宋体"/>
                <w:kern w:val="0"/>
              </w:rPr>
              <w:t>3</w:t>
            </w:r>
          </w:p>
        </w:tc>
        <w:tc>
          <w:tcPr>
            <w:tcW w:w="641" w:type="dxa"/>
            <w:tcBorders>
              <w:top w:val="nil"/>
              <w:left w:val="nil"/>
              <w:bottom w:val="single" w:color="auto" w:sz="4" w:space="0"/>
              <w:right w:val="single" w:color="auto" w:sz="4" w:space="0"/>
            </w:tcBorders>
            <w:vAlign w:val="center"/>
          </w:tcPr>
          <w:p>
            <w:pPr>
              <w:widowControl/>
              <w:spacing w:line="300" w:lineRule="exact"/>
              <w:jc w:val="left"/>
              <w:rPr>
                <w:rFonts w:ascii="宋体" w:hAnsi="宋体"/>
                <w:kern w:val="0"/>
              </w:rPr>
            </w:pPr>
            <w:r>
              <w:rPr>
                <w:rFonts w:hint="eastAsia" w:ascii="宋体" w:hAnsi="宋体" w:cs="宋体"/>
                <w:kern w:val="0"/>
              </w:rPr>
              <w:t>管理制度健全性</w:t>
            </w:r>
          </w:p>
        </w:tc>
        <w:tc>
          <w:tcPr>
            <w:tcW w:w="683" w:type="dxa"/>
            <w:tcBorders>
              <w:top w:val="nil"/>
              <w:left w:val="nil"/>
              <w:bottom w:val="single" w:color="auto" w:sz="4" w:space="0"/>
              <w:right w:val="single" w:color="auto" w:sz="4" w:space="0"/>
            </w:tcBorders>
            <w:vAlign w:val="center"/>
          </w:tcPr>
          <w:p>
            <w:pPr>
              <w:widowControl/>
              <w:spacing w:line="300" w:lineRule="exact"/>
              <w:jc w:val="center"/>
              <w:rPr>
                <w:rFonts w:ascii="宋体" w:hAnsi="宋体"/>
                <w:kern w:val="0"/>
              </w:rPr>
            </w:pPr>
            <w:r>
              <w:rPr>
                <w:rFonts w:hint="eastAsia" w:ascii="宋体" w:hAnsi="宋体" w:cs="宋体"/>
                <w:kern w:val="0"/>
              </w:rPr>
              <w:t>3</w:t>
            </w:r>
          </w:p>
        </w:tc>
        <w:tc>
          <w:tcPr>
            <w:tcW w:w="2826" w:type="dxa"/>
            <w:tcBorders>
              <w:top w:val="nil"/>
              <w:left w:val="nil"/>
              <w:bottom w:val="single" w:color="auto" w:sz="4" w:space="0"/>
              <w:right w:val="single" w:color="auto" w:sz="4" w:space="0"/>
            </w:tcBorders>
            <w:vAlign w:val="center"/>
          </w:tcPr>
          <w:p>
            <w:pPr>
              <w:widowControl/>
              <w:spacing w:line="300" w:lineRule="exact"/>
              <w:rPr>
                <w:rFonts w:ascii="宋体" w:hAnsi="宋体"/>
                <w:kern w:val="0"/>
              </w:rPr>
            </w:pPr>
            <w:r>
              <w:rPr>
                <w:rFonts w:hint="eastAsia" w:ascii="宋体" w:hAnsi="宋体" w:cs="宋体"/>
                <w:kern w:val="0"/>
              </w:rPr>
              <w:t>部门（单位）制定了相应的预算资金、财务管理和预算绩效管理等制度并严格执行，用以反映部门（单位）的管理制度对其完成主要职责和促进事业发展的保障情况。</w:t>
            </w:r>
          </w:p>
        </w:tc>
        <w:tc>
          <w:tcPr>
            <w:tcW w:w="6475" w:type="dxa"/>
            <w:tcBorders>
              <w:top w:val="nil"/>
              <w:left w:val="nil"/>
              <w:bottom w:val="single" w:color="auto" w:sz="4" w:space="0"/>
              <w:right w:val="single" w:color="auto" w:sz="4" w:space="0"/>
            </w:tcBorders>
          </w:tcPr>
          <w:p>
            <w:pPr>
              <w:widowControl/>
              <w:spacing w:line="300" w:lineRule="exact"/>
              <w:jc w:val="left"/>
              <w:rPr>
                <w:rFonts w:ascii="宋体" w:hAnsi="宋体"/>
                <w:kern w:val="0"/>
              </w:rPr>
            </w:pPr>
            <w:r>
              <w:rPr>
                <w:rFonts w:ascii="宋体" w:hAnsi="宋体" w:cs="宋体"/>
                <w:kern w:val="0"/>
              </w:rPr>
              <w:t xml:space="preserve">    1.</w:t>
            </w:r>
            <w:r>
              <w:rPr>
                <w:rFonts w:hint="eastAsia" w:ascii="宋体" w:hAnsi="宋体" w:cs="宋体"/>
                <w:kern w:val="0"/>
              </w:rPr>
              <w:t>部门制定了财政资金管理、财务管理、内部控制等制度（0.5分）；</w:t>
            </w:r>
            <w:r>
              <w:rPr>
                <w:rFonts w:ascii="宋体" w:hAnsi="宋体"/>
                <w:kern w:val="0"/>
              </w:rPr>
              <w:br w:type="textWrapping"/>
            </w:r>
            <w:r>
              <w:rPr>
                <w:rFonts w:ascii="宋体" w:hAnsi="宋体" w:cs="宋体"/>
                <w:kern w:val="0"/>
              </w:rPr>
              <w:t xml:space="preserve">   </w:t>
            </w:r>
            <w:r>
              <w:rPr>
                <w:rFonts w:hint="eastAsia" w:ascii="宋体" w:hAnsi="宋体" w:cs="宋体"/>
                <w:kern w:val="0"/>
              </w:rPr>
              <w:t xml:space="preserve"> </w:t>
            </w:r>
            <w:r>
              <w:rPr>
                <w:rFonts w:ascii="宋体" w:hAnsi="宋体" w:cs="宋体"/>
                <w:kern w:val="0"/>
              </w:rPr>
              <w:t>2.</w:t>
            </w:r>
            <w:r>
              <w:rPr>
                <w:rFonts w:hint="eastAsia" w:ascii="宋体" w:hAnsi="宋体" w:cs="宋体"/>
                <w:kern w:val="0"/>
              </w:rPr>
              <w:t>上述财政资金管理、财务管理、内部控制等制度得到有效执行（1.5分）；</w:t>
            </w:r>
            <w:r>
              <w:rPr>
                <w:rFonts w:ascii="宋体" w:hAnsi="宋体"/>
                <w:kern w:val="0"/>
              </w:rPr>
              <w:br w:type="textWrapping"/>
            </w:r>
            <w:r>
              <w:rPr>
                <w:rFonts w:ascii="宋体" w:hAnsi="宋体" w:cs="宋体"/>
                <w:kern w:val="0"/>
              </w:rPr>
              <w:t xml:space="preserve">    3.</w:t>
            </w:r>
            <w:r>
              <w:rPr>
                <w:rFonts w:hint="eastAsia" w:ascii="宋体" w:hAnsi="宋体" w:cs="宋体"/>
                <w:kern w:val="0"/>
              </w:rPr>
              <w:t>部门按照预算和绩效管理一体化的要求制定本部门全面实施预算绩效管理的制度或工作方案，组织指导本级及下属单位开展事前评估、绩效目标编报、绩效监控、绩效评价和评价结果应用等工作（</w:t>
            </w:r>
            <w:r>
              <w:rPr>
                <w:rFonts w:ascii="宋体" w:hAnsi="宋体" w:cs="宋体"/>
                <w:kern w:val="0"/>
              </w:rPr>
              <w:t>1</w:t>
            </w:r>
            <w:r>
              <w:rPr>
                <w:rFonts w:hint="eastAsia" w:ascii="宋体" w:hAnsi="宋体" w:cs="宋体"/>
                <w:kern w:val="0"/>
              </w:rPr>
              <w:t>分）。</w:t>
            </w:r>
          </w:p>
        </w:tc>
        <w:tc>
          <w:tcPr>
            <w:tcW w:w="783"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rPr>
            </w:pPr>
            <w:r>
              <w:rPr>
                <w:rFonts w:hint="eastAsia" w:ascii="宋体" w:hAnsi="宋体" w:cs="宋体"/>
                <w:kern w:val="0"/>
              </w:rPr>
              <w:t>3</w:t>
            </w:r>
          </w:p>
        </w:tc>
      </w:tr>
      <w:tr>
        <w:tblPrEx>
          <w:tblCellMar>
            <w:top w:w="0" w:type="dxa"/>
            <w:left w:w="108" w:type="dxa"/>
            <w:bottom w:w="0" w:type="dxa"/>
            <w:right w:w="108" w:type="dxa"/>
          </w:tblCellMar>
        </w:tblPrEx>
        <w:trPr>
          <w:trHeight w:val="360" w:hRule="atLeast"/>
          <w:jc w:val="center"/>
        </w:trPr>
        <w:tc>
          <w:tcPr>
            <w:tcW w:w="49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部门绩效</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r>
              <w:rPr>
                <w:rFonts w:ascii="宋体" w:hAnsi="宋体" w:cs="宋体"/>
                <w:kern w:val="0"/>
              </w:rPr>
              <w:t>5</w:t>
            </w:r>
            <w:r>
              <w:rPr>
                <w:rFonts w:hint="eastAsia" w:ascii="宋体" w:hAnsi="宋体" w:cs="宋体"/>
                <w:kern w:val="0"/>
              </w:rPr>
              <w:t>5</w:t>
            </w:r>
          </w:p>
        </w:tc>
        <w:tc>
          <w:tcPr>
            <w:tcW w:w="550" w:type="dxa"/>
            <w:tcBorders>
              <w:top w:val="nil"/>
              <w:left w:val="nil"/>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经济性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hAnsi="宋体"/>
                <w:kern w:val="0"/>
              </w:rPr>
            </w:pPr>
            <w:r>
              <w:rPr>
                <w:rFonts w:ascii="宋体" w:hAnsi="宋体" w:cs="宋体"/>
                <w:kern w:val="0"/>
              </w:rPr>
              <w:t>6</w:t>
            </w:r>
          </w:p>
        </w:tc>
        <w:tc>
          <w:tcPr>
            <w:tcW w:w="641" w:type="dxa"/>
            <w:tcBorders>
              <w:top w:val="nil"/>
              <w:left w:val="nil"/>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公用经费控制率</w:t>
            </w:r>
          </w:p>
        </w:tc>
        <w:tc>
          <w:tcPr>
            <w:tcW w:w="6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kern w:val="0"/>
              </w:rPr>
            </w:pPr>
            <w:r>
              <w:rPr>
                <w:rFonts w:ascii="宋体" w:hAnsi="宋体" w:cs="宋体"/>
                <w:kern w:val="0"/>
              </w:rPr>
              <w:t>6</w:t>
            </w:r>
          </w:p>
        </w:tc>
        <w:tc>
          <w:tcPr>
            <w:tcW w:w="2826" w:type="dxa"/>
            <w:tcBorders>
              <w:top w:val="nil"/>
              <w:left w:val="nil"/>
              <w:bottom w:val="single" w:color="auto" w:sz="4" w:space="0"/>
              <w:right w:val="single" w:color="auto" w:sz="4" w:space="0"/>
            </w:tcBorders>
            <w:vAlign w:val="center"/>
          </w:tcPr>
          <w:p>
            <w:pPr>
              <w:widowControl/>
              <w:spacing w:line="320" w:lineRule="exact"/>
              <w:rPr>
                <w:rFonts w:ascii="宋体" w:hAnsi="宋体"/>
                <w:kern w:val="0"/>
              </w:rPr>
            </w:pPr>
            <w:r>
              <w:rPr>
                <w:rFonts w:hint="eastAsia" w:ascii="宋体" w:hAnsi="宋体" w:cs="宋体"/>
                <w:kern w:val="0"/>
              </w:rPr>
              <w:t>部门（单位）本年度实际支出的公用经费总额与预算安排的公用经费总额的比率，用以反映和考核部门（单位）对机构运转成本的实际控制程度。</w:t>
            </w:r>
          </w:p>
        </w:tc>
        <w:tc>
          <w:tcPr>
            <w:tcW w:w="6475" w:type="dxa"/>
            <w:tcBorders>
              <w:top w:val="nil"/>
              <w:left w:val="nil"/>
              <w:bottom w:val="single" w:color="auto" w:sz="4" w:space="0"/>
              <w:right w:val="single" w:color="auto" w:sz="4" w:space="0"/>
            </w:tcBorders>
            <w:vAlign w:val="center"/>
          </w:tcPr>
          <w:p>
            <w:pPr>
              <w:widowControl/>
              <w:spacing w:line="320" w:lineRule="exact"/>
              <w:ind w:firstLine="420"/>
              <w:rPr>
                <w:rFonts w:ascii="宋体" w:hAnsi="宋体" w:cs="宋体"/>
                <w:kern w:val="0"/>
              </w:rPr>
            </w:pPr>
            <w:r>
              <w:rPr>
                <w:rFonts w:ascii="宋体" w:hAnsi="宋体" w:cs="宋体"/>
                <w:kern w:val="0"/>
              </w:rPr>
              <w:t>1.</w:t>
            </w:r>
            <w:r>
              <w:rPr>
                <w:rFonts w:hint="eastAsia" w:ascii="宋体" w:hAnsi="宋体" w:cs="宋体"/>
                <w:kern w:val="0"/>
              </w:rPr>
              <w:t>“三公”经费控制率=“三公”经费实际支出数/“三公”经费预算安排数×</w:t>
            </w:r>
            <w:r>
              <w:rPr>
                <w:rFonts w:ascii="宋体" w:hAnsi="宋体" w:cs="宋体"/>
                <w:kern w:val="0"/>
              </w:rPr>
              <w:t>100%</w:t>
            </w:r>
          </w:p>
          <w:p>
            <w:pPr>
              <w:widowControl/>
              <w:spacing w:line="320" w:lineRule="exact"/>
              <w:ind w:firstLine="315" w:firstLineChars="150"/>
              <w:rPr>
                <w:rFonts w:ascii="宋体" w:hAnsi="宋体" w:cs="宋体"/>
                <w:kern w:val="0"/>
              </w:rPr>
            </w:pPr>
            <w:r>
              <w:rPr>
                <w:rFonts w:hint="eastAsia" w:ascii="宋体" w:hAnsi="宋体" w:cs="宋体"/>
                <w:kern w:val="0"/>
              </w:rPr>
              <w:t>（1）“三公”经费控制率＜90%的，得3分；</w:t>
            </w:r>
          </w:p>
          <w:p>
            <w:pPr>
              <w:widowControl/>
              <w:spacing w:line="320" w:lineRule="exact"/>
              <w:ind w:firstLine="315" w:firstLineChars="150"/>
              <w:rPr>
                <w:rFonts w:ascii="宋体" w:hAnsi="宋体" w:cs="宋体"/>
                <w:kern w:val="0"/>
              </w:rPr>
            </w:pPr>
            <w:r>
              <w:rPr>
                <w:rFonts w:hint="eastAsia" w:ascii="宋体" w:hAnsi="宋体" w:cs="宋体"/>
                <w:kern w:val="0"/>
              </w:rPr>
              <w:t>（2）90%≤“三公”经费控制率≤100%的，得2分；</w:t>
            </w:r>
          </w:p>
          <w:p>
            <w:pPr>
              <w:widowControl/>
              <w:spacing w:line="320" w:lineRule="exact"/>
              <w:ind w:firstLine="315" w:firstLineChars="150"/>
              <w:rPr>
                <w:rFonts w:ascii="宋体" w:hAnsi="宋体" w:cs="宋体"/>
                <w:kern w:val="0"/>
              </w:rPr>
            </w:pPr>
            <w:r>
              <w:rPr>
                <w:rFonts w:hint="eastAsia" w:ascii="宋体" w:hAnsi="宋体"/>
                <w:kern w:val="0"/>
              </w:rPr>
              <w:t>（3）</w:t>
            </w:r>
            <w:r>
              <w:rPr>
                <w:rFonts w:hint="eastAsia" w:ascii="宋体" w:hAnsi="宋体" w:cs="宋体"/>
                <w:kern w:val="0"/>
              </w:rPr>
              <w:t>“三公”经费控制率＞100%的，得0分。</w:t>
            </w:r>
            <w:r>
              <w:rPr>
                <w:rFonts w:ascii="宋体" w:hAnsi="宋体"/>
                <w:kern w:val="0"/>
              </w:rPr>
              <w:br w:type="textWrapping"/>
            </w:r>
            <w:r>
              <w:rPr>
                <w:rFonts w:ascii="宋体" w:hAnsi="宋体" w:cs="宋体"/>
                <w:kern w:val="0"/>
              </w:rPr>
              <w:t xml:space="preserve">    2.</w:t>
            </w:r>
            <w:r>
              <w:rPr>
                <w:rFonts w:hint="eastAsia" w:ascii="宋体" w:hAnsi="宋体" w:cs="宋体"/>
                <w:kern w:val="0"/>
              </w:rPr>
              <w:t xml:space="preserve"> 日常公用经费控制率=日常公用经费决算数/日常公用经费调整预算数×</w:t>
            </w:r>
            <w:r>
              <w:rPr>
                <w:rFonts w:ascii="宋体" w:hAnsi="宋体" w:cs="宋体"/>
                <w:kern w:val="0"/>
              </w:rPr>
              <w:t>100%</w:t>
            </w:r>
          </w:p>
          <w:p>
            <w:pPr>
              <w:widowControl/>
              <w:spacing w:line="320" w:lineRule="exact"/>
              <w:ind w:firstLine="315" w:firstLineChars="150"/>
              <w:rPr>
                <w:rFonts w:ascii="宋体" w:hAnsi="宋体" w:cs="宋体"/>
                <w:kern w:val="0"/>
              </w:rPr>
            </w:pPr>
            <w:r>
              <w:rPr>
                <w:rFonts w:hint="eastAsia" w:ascii="宋体" w:hAnsi="宋体" w:cs="宋体"/>
                <w:kern w:val="0"/>
              </w:rPr>
              <w:t>（1）日常公用经费控制率＜90%的，得3分；</w:t>
            </w:r>
          </w:p>
          <w:p>
            <w:pPr>
              <w:widowControl/>
              <w:spacing w:line="320" w:lineRule="exact"/>
              <w:ind w:firstLine="315" w:firstLineChars="150"/>
              <w:rPr>
                <w:rFonts w:ascii="宋体" w:hAnsi="宋体" w:cs="宋体"/>
                <w:kern w:val="0"/>
              </w:rPr>
            </w:pPr>
            <w:r>
              <w:rPr>
                <w:rFonts w:hint="eastAsia" w:ascii="宋体" w:hAnsi="宋体" w:cs="宋体"/>
                <w:kern w:val="0"/>
              </w:rPr>
              <w:t>（2）90%≤日常公用经费控制率≤100%的，得2分；</w:t>
            </w:r>
          </w:p>
          <w:p>
            <w:pPr>
              <w:widowControl/>
              <w:spacing w:line="320" w:lineRule="exact"/>
              <w:ind w:firstLine="315" w:firstLineChars="150"/>
              <w:rPr>
                <w:rFonts w:ascii="宋体" w:hAnsi="宋体" w:cs="宋体"/>
                <w:kern w:val="0"/>
              </w:rPr>
            </w:pPr>
            <w:r>
              <w:rPr>
                <w:rFonts w:hint="eastAsia" w:ascii="宋体" w:hAnsi="宋体"/>
                <w:kern w:val="0"/>
              </w:rPr>
              <w:t>（3）</w:t>
            </w:r>
            <w:r>
              <w:rPr>
                <w:rFonts w:hint="eastAsia" w:ascii="宋体" w:hAnsi="宋体" w:cs="宋体"/>
                <w:kern w:val="0"/>
              </w:rPr>
              <w:t>日常公用经费控制率＞100%的，得0分。</w:t>
            </w:r>
          </w:p>
        </w:tc>
        <w:tc>
          <w:tcPr>
            <w:tcW w:w="7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kern w:val="0"/>
              </w:rPr>
            </w:pPr>
            <w:r>
              <w:rPr>
                <w:rFonts w:hint="eastAsia" w:ascii="宋体" w:hAnsi="宋体" w:cs="宋体"/>
                <w:kern w:val="0"/>
              </w:rPr>
              <w:t>5</w:t>
            </w:r>
          </w:p>
        </w:tc>
      </w:tr>
      <w:tr>
        <w:tblPrEx>
          <w:tblCellMar>
            <w:top w:w="0" w:type="dxa"/>
            <w:left w:w="108" w:type="dxa"/>
            <w:bottom w:w="0" w:type="dxa"/>
            <w:right w:w="108" w:type="dxa"/>
          </w:tblCellMar>
        </w:tblPrEx>
        <w:trPr>
          <w:trHeight w:val="2502" w:hRule="atLeast"/>
          <w:jc w:val="center"/>
        </w:trPr>
        <w:tc>
          <w:tcPr>
            <w:tcW w:w="49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50"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宋体" w:hAnsi="宋体"/>
                <w:kern w:val="0"/>
              </w:rPr>
            </w:pPr>
            <w:r>
              <w:rPr>
                <w:rFonts w:hint="eastAsia" w:ascii="宋体" w:hAnsi="宋体" w:cs="宋体"/>
                <w:kern w:val="0"/>
              </w:rPr>
              <w:t>效率性</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kern w:val="0"/>
              </w:rPr>
            </w:pPr>
            <w:r>
              <w:rPr>
                <w:rFonts w:hint="eastAsia" w:ascii="宋体" w:hAnsi="宋体" w:cs="宋体"/>
                <w:kern w:val="0"/>
              </w:rPr>
              <w:t>20</w:t>
            </w:r>
          </w:p>
        </w:tc>
        <w:tc>
          <w:tcPr>
            <w:tcW w:w="641" w:type="dxa"/>
            <w:tcBorders>
              <w:top w:val="nil"/>
              <w:left w:val="nil"/>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预算执行率</w:t>
            </w:r>
          </w:p>
        </w:tc>
        <w:tc>
          <w:tcPr>
            <w:tcW w:w="6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kern w:val="0"/>
              </w:rPr>
            </w:pPr>
            <w:r>
              <w:rPr>
                <w:rFonts w:ascii="宋体" w:hAnsi="宋体" w:cs="宋体"/>
                <w:kern w:val="0"/>
              </w:rPr>
              <w:t>6</w:t>
            </w:r>
          </w:p>
        </w:tc>
        <w:tc>
          <w:tcPr>
            <w:tcW w:w="2826" w:type="dxa"/>
            <w:tcBorders>
              <w:top w:val="nil"/>
              <w:left w:val="nil"/>
              <w:bottom w:val="single" w:color="auto" w:sz="4" w:space="0"/>
              <w:right w:val="single" w:color="auto" w:sz="4" w:space="0"/>
            </w:tcBorders>
            <w:vAlign w:val="center"/>
          </w:tcPr>
          <w:p>
            <w:pPr>
              <w:widowControl/>
              <w:spacing w:line="320" w:lineRule="exact"/>
              <w:rPr>
                <w:rFonts w:ascii="宋体" w:hAnsi="宋体"/>
                <w:kern w:val="0"/>
              </w:rPr>
            </w:pPr>
            <w:r>
              <w:rPr>
                <w:rFonts w:hint="eastAsia" w:ascii="宋体" w:hAnsi="宋体" w:cs="宋体"/>
                <w:kern w:val="0"/>
              </w:rPr>
              <w:t>部门（单位）部门预算实际支付进度和既定支付进度的匹配情况，反映和考核部门（单位）预算执行的及时性和均衡性。</w:t>
            </w:r>
          </w:p>
        </w:tc>
        <w:tc>
          <w:tcPr>
            <w:tcW w:w="6475" w:type="dxa"/>
            <w:tcBorders>
              <w:top w:val="nil"/>
              <w:left w:val="nil"/>
              <w:bottom w:val="single" w:color="auto" w:sz="4" w:space="0"/>
              <w:right w:val="single" w:color="auto" w:sz="4" w:space="0"/>
            </w:tcBorders>
            <w:vAlign w:val="center"/>
          </w:tcPr>
          <w:p>
            <w:pPr>
              <w:widowControl/>
              <w:spacing w:line="320" w:lineRule="exact"/>
              <w:rPr>
                <w:rFonts w:ascii="宋体" w:hAnsi="宋体" w:cs="宋体"/>
                <w:kern w:val="0"/>
              </w:rPr>
            </w:pPr>
            <w:r>
              <w:rPr>
                <w:rFonts w:hint="eastAsia" w:ascii="宋体" w:hAnsi="宋体" w:cs="宋体"/>
                <w:kern w:val="0"/>
              </w:rPr>
              <w:t>1.一季度预算执行率得分=（一季度部门预算支出进度/序时进度25%）×1分</w:t>
            </w:r>
          </w:p>
          <w:p>
            <w:pPr>
              <w:widowControl/>
              <w:spacing w:line="320" w:lineRule="exact"/>
              <w:rPr>
                <w:rFonts w:ascii="宋体" w:hAnsi="宋体" w:cs="宋体"/>
                <w:kern w:val="0"/>
              </w:rPr>
            </w:pPr>
            <w:r>
              <w:rPr>
                <w:rFonts w:hint="eastAsia" w:ascii="宋体" w:hAnsi="宋体" w:cs="宋体"/>
                <w:kern w:val="0"/>
              </w:rPr>
              <w:t>2.二季度预算执行率得分=（二季度部门预算支出进度/序时进度50%）×1分</w:t>
            </w:r>
          </w:p>
          <w:p>
            <w:pPr>
              <w:widowControl/>
              <w:spacing w:line="320" w:lineRule="exact"/>
              <w:rPr>
                <w:rFonts w:ascii="宋体" w:hAnsi="宋体" w:cs="宋体"/>
                <w:kern w:val="0"/>
              </w:rPr>
            </w:pPr>
            <w:r>
              <w:rPr>
                <w:rFonts w:hint="eastAsia" w:ascii="宋体" w:hAnsi="宋体" w:cs="宋体"/>
                <w:kern w:val="0"/>
              </w:rPr>
              <w:t>3.三季度预算执行率得分=（三季度部门预算支出进度/序时进度75%）×1分</w:t>
            </w:r>
          </w:p>
          <w:p>
            <w:pPr>
              <w:widowControl/>
              <w:spacing w:line="320" w:lineRule="exact"/>
              <w:rPr>
                <w:rFonts w:ascii="宋体" w:hAnsi="宋体" w:cs="宋体"/>
                <w:kern w:val="0"/>
              </w:rPr>
            </w:pPr>
            <w:r>
              <w:rPr>
                <w:rFonts w:hint="eastAsia" w:ascii="宋体" w:hAnsi="宋体" w:cs="宋体"/>
                <w:kern w:val="0"/>
              </w:rPr>
              <w:t>4.四季度预算执行率得分=（四季度部门预算支出进度/序时进度100%）×1分</w:t>
            </w:r>
          </w:p>
          <w:p>
            <w:pPr>
              <w:widowControl/>
              <w:spacing w:line="320" w:lineRule="exact"/>
              <w:rPr>
                <w:rFonts w:ascii="宋体" w:hAnsi="宋体" w:cs="宋体"/>
                <w:kern w:val="0"/>
              </w:rPr>
            </w:pPr>
            <w:r>
              <w:rPr>
                <w:rFonts w:hint="eastAsia" w:ascii="宋体" w:hAnsi="宋体" w:cs="宋体"/>
                <w:kern w:val="0"/>
              </w:rPr>
              <w:t>5.全年平均支出进度得分</w:t>
            </w:r>
            <w:r>
              <w:rPr>
                <w:rFonts w:ascii="宋体" w:hAnsi="宋体" w:cs="宋体"/>
                <w:kern w:val="0"/>
              </w:rPr>
              <w:t>=</w:t>
            </w:r>
            <w:r>
              <w:rPr>
                <w:rFonts w:hint="eastAsia" w:ascii="宋体" w:hAnsi="宋体" w:cs="宋体"/>
                <w:kern w:val="0"/>
              </w:rPr>
              <w:t>全年平均执行率×2分</w:t>
            </w:r>
          </w:p>
          <w:p>
            <w:pPr>
              <w:widowControl/>
              <w:spacing w:line="320" w:lineRule="exact"/>
              <w:ind w:firstLine="405"/>
              <w:rPr>
                <w:rFonts w:ascii="宋体" w:hAnsi="宋体" w:cs="宋体"/>
                <w:kern w:val="0"/>
              </w:rPr>
            </w:pPr>
            <w:r>
              <w:rPr>
                <w:rFonts w:hint="eastAsia" w:ascii="宋体" w:hAnsi="宋体" w:cs="宋体"/>
                <w:kern w:val="0"/>
              </w:rPr>
              <w:t>其中：全年平均执行率</w:t>
            </w:r>
            <w:r>
              <w:rPr>
                <w:rFonts w:ascii="宋体" w:hAnsi="宋体" w:cs="宋体"/>
                <w:kern w:val="0"/>
              </w:rPr>
              <w:t>=</w:t>
            </w:r>
            <w:r>
              <w:rPr>
                <w:rFonts w:hint="eastAsia" w:ascii="宋体" w:hAnsi="宋体" w:cs="宋体"/>
                <w:kern w:val="0"/>
              </w:rPr>
              <w:t>∑（每个季度的执行率）÷</w:t>
            </w:r>
            <w:r>
              <w:rPr>
                <w:rFonts w:ascii="宋体" w:hAnsi="宋体" w:cs="宋体"/>
                <w:kern w:val="0"/>
              </w:rPr>
              <w:t>4</w:t>
            </w:r>
          </w:p>
          <w:p>
            <w:pPr>
              <w:widowControl/>
              <w:spacing w:line="320" w:lineRule="exact"/>
              <w:rPr>
                <w:rFonts w:ascii="宋体" w:hAnsi="宋体" w:cs="宋体"/>
                <w:kern w:val="0"/>
              </w:rPr>
            </w:pPr>
            <w:r>
              <w:rPr>
                <w:rFonts w:hint="eastAsia" w:ascii="宋体" w:hAnsi="宋体" w:cs="宋体"/>
                <w:kern w:val="0"/>
              </w:rPr>
              <w:t>季度支出进度=季度末月份累计支出进度（即3、6、9、12月月末支出进度）</w:t>
            </w:r>
          </w:p>
        </w:tc>
        <w:tc>
          <w:tcPr>
            <w:tcW w:w="7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rPr>
            </w:pPr>
            <w:r>
              <w:rPr>
                <w:rFonts w:hint="eastAsia" w:ascii="宋体" w:hAnsi="宋体" w:cs="宋体"/>
                <w:kern w:val="0"/>
              </w:rPr>
              <w:t>5.9</w:t>
            </w:r>
          </w:p>
        </w:tc>
      </w:tr>
      <w:tr>
        <w:tblPrEx>
          <w:tblCellMar>
            <w:top w:w="0" w:type="dxa"/>
            <w:left w:w="108" w:type="dxa"/>
            <w:bottom w:w="0" w:type="dxa"/>
            <w:right w:w="108" w:type="dxa"/>
          </w:tblCellMar>
        </w:tblPrEx>
        <w:trPr>
          <w:trHeight w:val="1404" w:hRule="atLeast"/>
          <w:jc w:val="center"/>
        </w:trPr>
        <w:tc>
          <w:tcPr>
            <w:tcW w:w="49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5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kern w:val="0"/>
              </w:rPr>
            </w:pPr>
          </w:p>
        </w:tc>
        <w:tc>
          <w:tcPr>
            <w:tcW w:w="641" w:type="dxa"/>
            <w:tcBorders>
              <w:top w:val="nil"/>
              <w:left w:val="nil"/>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重点工作完成情况</w:t>
            </w:r>
          </w:p>
        </w:tc>
        <w:tc>
          <w:tcPr>
            <w:tcW w:w="6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kern w:val="0"/>
              </w:rPr>
            </w:pPr>
            <w:r>
              <w:rPr>
                <w:rFonts w:hint="eastAsia" w:ascii="宋体" w:hAnsi="宋体" w:cs="宋体"/>
                <w:kern w:val="0"/>
              </w:rPr>
              <w:t>8</w:t>
            </w:r>
          </w:p>
        </w:tc>
        <w:tc>
          <w:tcPr>
            <w:tcW w:w="2826" w:type="dxa"/>
            <w:tcBorders>
              <w:top w:val="nil"/>
              <w:left w:val="nil"/>
              <w:bottom w:val="single" w:color="auto" w:sz="4" w:space="0"/>
              <w:right w:val="single" w:color="auto" w:sz="4" w:space="0"/>
            </w:tcBorders>
            <w:vAlign w:val="center"/>
          </w:tcPr>
          <w:p>
            <w:pPr>
              <w:widowControl/>
              <w:spacing w:line="320" w:lineRule="exact"/>
              <w:rPr>
                <w:rFonts w:ascii="宋体" w:hAnsi="宋体"/>
                <w:color w:val="000000"/>
                <w:kern w:val="0"/>
              </w:rPr>
            </w:pPr>
            <w:r>
              <w:rPr>
                <w:rFonts w:hint="eastAsia" w:ascii="宋体" w:hAnsi="宋体" w:cs="宋体"/>
                <w:color w:val="000000"/>
                <w:kern w:val="0"/>
              </w:rPr>
              <w:t>部门（单位）完成党委、政府、人大和上级部门下达或交办的重要事项或工作的完成情况，反映部门对重点工作的办理落实程度。</w:t>
            </w:r>
          </w:p>
        </w:tc>
        <w:tc>
          <w:tcPr>
            <w:tcW w:w="6475"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hAnsi="宋体" w:cs="宋体"/>
                <w:kern w:val="0"/>
              </w:rPr>
            </w:pPr>
            <w:r>
              <w:rPr>
                <w:rFonts w:hint="eastAsia" w:ascii="宋体" w:hAnsi="宋体" w:cs="宋体"/>
                <w:kern w:val="0"/>
              </w:rPr>
              <w:t>重点工作是指中央和省市相关部门、新区党工委管委会交办或下达的工作任务。全部按期保质保量完成得8分；一项重点工作没有完成扣4分，扣完为止。</w:t>
            </w:r>
          </w:p>
          <w:p>
            <w:pPr>
              <w:widowControl/>
              <w:spacing w:line="320" w:lineRule="exact"/>
              <w:rPr>
                <w:rFonts w:ascii="宋体" w:hAnsi="宋体"/>
                <w:kern w:val="0"/>
              </w:rPr>
            </w:pPr>
            <w:r>
              <w:rPr>
                <w:rFonts w:hint="eastAsia" w:ascii="宋体" w:hAnsi="宋体" w:cs="宋体"/>
                <w:kern w:val="0"/>
              </w:rPr>
              <w:t>注：重点工作完成情况可以参考新区党工委管委会督查部门或其他权威部门的统计数据（如有）。</w:t>
            </w:r>
          </w:p>
        </w:tc>
        <w:tc>
          <w:tcPr>
            <w:tcW w:w="7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rPr>
            </w:pPr>
            <w:r>
              <w:rPr>
                <w:rFonts w:hint="eastAsia" w:ascii="宋体" w:hAnsi="宋体" w:cs="宋体"/>
                <w:kern w:val="0"/>
              </w:rPr>
              <w:t>8</w:t>
            </w:r>
          </w:p>
        </w:tc>
      </w:tr>
      <w:tr>
        <w:tblPrEx>
          <w:tblCellMar>
            <w:top w:w="0" w:type="dxa"/>
            <w:left w:w="108" w:type="dxa"/>
            <w:bottom w:w="0" w:type="dxa"/>
            <w:right w:w="108" w:type="dxa"/>
          </w:tblCellMar>
        </w:tblPrEx>
        <w:trPr>
          <w:trHeight w:val="1157" w:hRule="atLeast"/>
          <w:jc w:val="center"/>
        </w:trPr>
        <w:tc>
          <w:tcPr>
            <w:tcW w:w="49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5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kern w:val="0"/>
              </w:rPr>
            </w:pPr>
          </w:p>
        </w:tc>
        <w:tc>
          <w:tcPr>
            <w:tcW w:w="641" w:type="dxa"/>
            <w:tcBorders>
              <w:top w:val="nil"/>
              <w:left w:val="nil"/>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项目完成及时性</w:t>
            </w:r>
          </w:p>
        </w:tc>
        <w:tc>
          <w:tcPr>
            <w:tcW w:w="6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kern w:val="0"/>
              </w:rPr>
            </w:pPr>
            <w:r>
              <w:rPr>
                <w:rFonts w:ascii="宋体" w:hAnsi="宋体" w:cs="宋体"/>
                <w:kern w:val="0"/>
              </w:rPr>
              <w:t>6</w:t>
            </w:r>
          </w:p>
        </w:tc>
        <w:tc>
          <w:tcPr>
            <w:tcW w:w="2826" w:type="dxa"/>
            <w:tcBorders>
              <w:top w:val="nil"/>
              <w:left w:val="nil"/>
              <w:bottom w:val="single" w:color="auto" w:sz="4" w:space="0"/>
              <w:right w:val="single" w:color="auto" w:sz="4" w:space="0"/>
            </w:tcBorders>
            <w:vAlign w:val="center"/>
          </w:tcPr>
          <w:p>
            <w:pPr>
              <w:widowControl/>
              <w:spacing w:line="320" w:lineRule="exact"/>
              <w:rPr>
                <w:rFonts w:ascii="宋体" w:hAnsi="宋体"/>
                <w:kern w:val="0"/>
              </w:rPr>
            </w:pPr>
            <w:r>
              <w:rPr>
                <w:rFonts w:hint="eastAsia" w:ascii="宋体" w:hAnsi="宋体" w:cs="宋体"/>
                <w:kern w:val="0"/>
              </w:rPr>
              <w:t>部门（单位）项目完成情况与预期时间对比的情况。</w:t>
            </w:r>
          </w:p>
        </w:tc>
        <w:tc>
          <w:tcPr>
            <w:tcW w:w="6475"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hAnsi="宋体"/>
                <w:kern w:val="0"/>
              </w:rPr>
            </w:pPr>
            <w:r>
              <w:rPr>
                <w:rFonts w:ascii="宋体" w:hAnsi="宋体" w:cs="宋体"/>
                <w:kern w:val="0"/>
              </w:rPr>
              <w:t>1.</w:t>
            </w:r>
            <w:r>
              <w:rPr>
                <w:rFonts w:hint="eastAsia" w:ascii="宋体" w:hAnsi="宋体" w:cs="宋体"/>
                <w:kern w:val="0"/>
              </w:rPr>
              <w:t>所有部门预算安排的项目均按计划时间完成（</w:t>
            </w:r>
            <w:r>
              <w:rPr>
                <w:rFonts w:ascii="宋体" w:hAnsi="宋体" w:cs="宋体"/>
                <w:kern w:val="0"/>
              </w:rPr>
              <w:t>6</w:t>
            </w:r>
            <w:r>
              <w:rPr>
                <w:rFonts w:hint="eastAsia" w:ascii="宋体" w:hAnsi="宋体" w:cs="宋体"/>
                <w:kern w:val="0"/>
              </w:rPr>
              <w:t>分）；</w:t>
            </w:r>
          </w:p>
          <w:p>
            <w:pPr>
              <w:widowControl/>
              <w:spacing w:line="320" w:lineRule="exact"/>
              <w:ind w:firstLine="420" w:firstLineChars="200"/>
              <w:rPr>
                <w:rFonts w:ascii="宋体" w:hAnsi="宋体"/>
                <w:kern w:val="0"/>
              </w:rPr>
            </w:pPr>
            <w:r>
              <w:rPr>
                <w:rFonts w:ascii="宋体" w:hAnsi="宋体" w:cs="宋体"/>
                <w:kern w:val="0"/>
              </w:rPr>
              <w:t>2.</w:t>
            </w:r>
            <w:r>
              <w:rPr>
                <w:rFonts w:hint="eastAsia" w:ascii="宋体" w:hAnsi="宋体" w:cs="宋体"/>
                <w:kern w:val="0"/>
              </w:rPr>
              <w:t>部分项目未按计划时间完成的，本指标得分</w:t>
            </w:r>
            <w:r>
              <w:rPr>
                <w:rFonts w:ascii="宋体" w:hAnsi="宋体" w:cs="宋体"/>
                <w:kern w:val="0"/>
              </w:rPr>
              <w:t>=</w:t>
            </w:r>
            <w:r>
              <w:rPr>
                <w:rFonts w:hint="eastAsia" w:ascii="宋体" w:hAnsi="宋体" w:cs="宋体"/>
                <w:kern w:val="0"/>
              </w:rPr>
              <w:t>已完成项目数</w:t>
            </w:r>
            <w:r>
              <w:rPr>
                <w:rFonts w:ascii="宋体" w:hAnsi="宋体" w:cs="宋体"/>
                <w:kern w:val="0"/>
              </w:rPr>
              <w:t>/</w:t>
            </w:r>
            <w:r>
              <w:rPr>
                <w:rFonts w:hint="eastAsia" w:ascii="宋体" w:hAnsi="宋体" w:cs="宋体"/>
                <w:kern w:val="0"/>
              </w:rPr>
              <w:t>计划完成项目总数×</w:t>
            </w:r>
            <w:r>
              <w:rPr>
                <w:rFonts w:ascii="宋体" w:hAnsi="宋体" w:cs="宋体"/>
                <w:kern w:val="0"/>
              </w:rPr>
              <w:t>6</w:t>
            </w:r>
            <w:r>
              <w:rPr>
                <w:rFonts w:hint="eastAsia" w:ascii="宋体" w:hAnsi="宋体" w:cs="宋体"/>
                <w:kern w:val="0"/>
              </w:rPr>
              <w:t>分。</w:t>
            </w:r>
          </w:p>
        </w:tc>
        <w:tc>
          <w:tcPr>
            <w:tcW w:w="7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rPr>
            </w:pPr>
            <w:r>
              <w:rPr>
                <w:rFonts w:hint="eastAsia" w:ascii="宋体" w:hAnsi="宋体" w:cs="宋体"/>
                <w:kern w:val="0"/>
              </w:rPr>
              <w:t>6</w:t>
            </w:r>
          </w:p>
        </w:tc>
      </w:tr>
      <w:tr>
        <w:tblPrEx>
          <w:tblCellMar>
            <w:top w:w="0" w:type="dxa"/>
            <w:left w:w="108" w:type="dxa"/>
            <w:bottom w:w="0" w:type="dxa"/>
            <w:right w:w="108" w:type="dxa"/>
          </w:tblCellMar>
        </w:tblPrEx>
        <w:trPr>
          <w:trHeight w:val="1280" w:hRule="atLeast"/>
          <w:jc w:val="center"/>
        </w:trPr>
        <w:tc>
          <w:tcPr>
            <w:tcW w:w="49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5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效果性</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kern w:val="0"/>
              </w:rPr>
            </w:pPr>
            <w:r>
              <w:rPr>
                <w:rFonts w:ascii="宋体" w:hAnsi="宋体" w:cs="宋体"/>
                <w:kern w:val="0"/>
              </w:rPr>
              <w:t>20</w:t>
            </w:r>
          </w:p>
        </w:tc>
        <w:tc>
          <w:tcPr>
            <w:tcW w:w="641"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社会效益</w:t>
            </w:r>
          </w:p>
        </w:tc>
        <w:tc>
          <w:tcPr>
            <w:tcW w:w="6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kern w:val="0"/>
              </w:rPr>
            </w:pPr>
            <w:r>
              <w:rPr>
                <w:rFonts w:hint="eastAsia" w:ascii="宋体" w:hAnsi="宋体"/>
                <w:kern w:val="0"/>
              </w:rPr>
              <w:t>10</w:t>
            </w:r>
          </w:p>
        </w:tc>
        <w:tc>
          <w:tcPr>
            <w:tcW w:w="2826" w:type="dxa"/>
            <w:tcBorders>
              <w:top w:val="nil"/>
              <w:left w:val="nil"/>
              <w:bottom w:val="single" w:color="auto" w:sz="4" w:space="0"/>
              <w:right w:val="single" w:color="auto" w:sz="4" w:space="0"/>
            </w:tcBorders>
            <w:vAlign w:val="center"/>
          </w:tcPr>
          <w:p>
            <w:pPr>
              <w:widowControl/>
              <w:spacing w:line="320" w:lineRule="exact"/>
              <w:rPr>
                <w:rFonts w:ascii="宋体" w:hAnsi="宋体"/>
                <w:kern w:val="0"/>
              </w:rPr>
            </w:pPr>
            <w:r>
              <w:rPr>
                <w:rFonts w:hint="eastAsia" w:ascii="宋体" w:hAnsi="宋体" w:cs="宋体"/>
                <w:kern w:val="0"/>
              </w:rPr>
              <w:t>部门（单位）履行职责、完成各项重大政策和项目对社会发展所带来的直接或间接影响。</w:t>
            </w:r>
          </w:p>
        </w:tc>
        <w:tc>
          <w:tcPr>
            <w:tcW w:w="6475" w:type="dxa"/>
            <w:tcBorders>
              <w:top w:val="nil"/>
              <w:left w:val="nil"/>
              <w:bottom w:val="single" w:color="auto" w:sz="4" w:space="0"/>
              <w:right w:val="single" w:color="auto" w:sz="4" w:space="0"/>
            </w:tcBorders>
            <w:vAlign w:val="center"/>
          </w:tcPr>
          <w:p>
            <w:pPr>
              <w:widowControl/>
              <w:spacing w:line="320" w:lineRule="exact"/>
              <w:ind w:firstLine="405"/>
              <w:rPr>
                <w:rFonts w:ascii="宋体" w:hAnsi="宋体"/>
                <w:kern w:val="0"/>
              </w:rPr>
            </w:pPr>
            <w:r>
              <w:rPr>
                <w:rFonts w:hint="eastAsia" w:ascii="宋体" w:hAnsi="宋体"/>
                <w:kern w:val="0"/>
              </w:rPr>
              <w:t>根据部门（单位）职责，结合部门整体支出绩效目标，合理设置个性化绩效指标：</w:t>
            </w:r>
          </w:p>
          <w:p>
            <w:pPr>
              <w:pStyle w:val="2"/>
              <w:rPr>
                <w:rFonts w:ascii="宋体" w:hAnsi="宋体"/>
                <w:kern w:val="0"/>
              </w:rPr>
            </w:pPr>
            <w:r>
              <w:rPr>
                <w:rFonts w:hint="eastAsia" w:ascii="宋体" w:hAnsi="宋体"/>
                <w:kern w:val="0"/>
              </w:rPr>
              <w:t>1.未发生安全生产事故</w:t>
            </w:r>
          </w:p>
          <w:p>
            <w:pPr>
              <w:pStyle w:val="2"/>
            </w:pPr>
            <w:r>
              <w:rPr>
                <w:rFonts w:hint="eastAsia" w:ascii="宋体" w:hAnsi="宋体"/>
                <w:kern w:val="0"/>
              </w:rPr>
              <w:t>2.国际生物谷品牌影响力有效提升</w:t>
            </w:r>
          </w:p>
          <w:p>
            <w:pPr>
              <w:pStyle w:val="2"/>
            </w:pPr>
            <w:r>
              <w:rPr>
                <w:rFonts w:hint="eastAsia" w:ascii="宋体" w:hAnsi="宋体"/>
                <w:kern w:val="0"/>
              </w:rPr>
              <w:t>3.机关办事效率得到有效保障</w:t>
            </w:r>
          </w:p>
          <w:p>
            <w:pPr>
              <w:pStyle w:val="2"/>
            </w:pPr>
            <w:r>
              <w:rPr>
                <w:rFonts w:hint="eastAsia" w:ascii="宋体" w:hAnsi="宋体"/>
                <w:kern w:val="0"/>
              </w:rPr>
              <w:t>4.坝光片区安全信息管理水平有所提升</w:t>
            </w:r>
          </w:p>
          <w:p>
            <w:pPr>
              <w:pStyle w:val="2"/>
            </w:pPr>
            <w:r>
              <w:rPr>
                <w:rFonts w:hint="eastAsia" w:ascii="宋体" w:hAnsi="宋体"/>
                <w:kern w:val="0"/>
              </w:rPr>
              <w:t>5.坝光建设水平有效提升</w:t>
            </w:r>
          </w:p>
          <w:p>
            <w:pPr>
              <w:widowControl/>
              <w:spacing w:line="320" w:lineRule="exact"/>
              <w:ind w:firstLine="405"/>
              <w:rPr>
                <w:rFonts w:ascii="宋体" w:hAnsi="宋体"/>
                <w:kern w:val="0"/>
              </w:rPr>
            </w:pPr>
            <w:r>
              <w:rPr>
                <w:rFonts w:hint="eastAsia" w:ascii="宋体" w:hAnsi="宋体"/>
                <w:kern w:val="0"/>
              </w:rPr>
              <w:t>以上每项指标2分，完成则得满分，部分完成则酌情得分，未完成则不得分。</w:t>
            </w:r>
          </w:p>
        </w:tc>
        <w:tc>
          <w:tcPr>
            <w:tcW w:w="783"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cs="宋体"/>
                <w:kern w:val="0"/>
              </w:rPr>
            </w:pPr>
            <w:r>
              <w:rPr>
                <w:rFonts w:hint="eastAsia" w:ascii="宋体" w:hAnsi="宋体" w:cs="宋体"/>
                <w:kern w:val="0"/>
              </w:rPr>
              <w:t>10</w:t>
            </w:r>
          </w:p>
        </w:tc>
      </w:tr>
      <w:tr>
        <w:tblPrEx>
          <w:tblCellMar>
            <w:top w:w="0" w:type="dxa"/>
            <w:left w:w="108" w:type="dxa"/>
            <w:bottom w:w="0" w:type="dxa"/>
            <w:right w:w="108" w:type="dxa"/>
          </w:tblCellMar>
        </w:tblPrEx>
        <w:trPr>
          <w:trHeight w:val="1280" w:hRule="atLeast"/>
          <w:jc w:val="center"/>
        </w:trPr>
        <w:tc>
          <w:tcPr>
            <w:tcW w:w="49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405"/>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405"/>
            </w:pPr>
          </w:p>
        </w:tc>
        <w:tc>
          <w:tcPr>
            <w:tcW w:w="55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405"/>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405"/>
            </w:pPr>
          </w:p>
        </w:tc>
        <w:tc>
          <w:tcPr>
            <w:tcW w:w="641"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可持续影响</w:t>
            </w:r>
          </w:p>
        </w:tc>
        <w:tc>
          <w:tcPr>
            <w:tcW w:w="6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rPr>
            </w:pPr>
            <w:r>
              <w:rPr>
                <w:rFonts w:hint="eastAsia" w:ascii="宋体" w:hAnsi="宋体" w:cs="宋体"/>
                <w:kern w:val="0"/>
              </w:rPr>
              <w:t>10</w:t>
            </w:r>
          </w:p>
        </w:tc>
        <w:tc>
          <w:tcPr>
            <w:tcW w:w="2826" w:type="dxa"/>
            <w:tcBorders>
              <w:top w:val="nil"/>
              <w:left w:val="nil"/>
              <w:bottom w:val="single" w:color="auto" w:sz="4" w:space="0"/>
              <w:right w:val="single" w:color="auto" w:sz="4" w:space="0"/>
            </w:tcBorders>
            <w:vAlign w:val="center"/>
          </w:tcPr>
          <w:p>
            <w:pPr>
              <w:widowControl/>
              <w:spacing w:line="320" w:lineRule="exact"/>
              <w:rPr>
                <w:rFonts w:ascii="宋体" w:hAnsi="宋体" w:cs="宋体"/>
                <w:kern w:val="0"/>
              </w:rPr>
            </w:pPr>
            <w:r>
              <w:rPr>
                <w:rFonts w:hint="eastAsia" w:ascii="宋体" w:hAnsi="宋体" w:cs="宋体"/>
                <w:kern w:val="0"/>
              </w:rPr>
              <w:t>部门（单位）履行职责、完成各项重大政策和项目对持续发挥效益的影响机制。</w:t>
            </w:r>
          </w:p>
        </w:tc>
        <w:tc>
          <w:tcPr>
            <w:tcW w:w="6475" w:type="dxa"/>
            <w:tcBorders>
              <w:top w:val="nil"/>
              <w:left w:val="nil"/>
              <w:bottom w:val="single" w:color="auto" w:sz="4" w:space="0"/>
              <w:right w:val="single" w:color="auto" w:sz="4" w:space="0"/>
            </w:tcBorders>
            <w:vAlign w:val="center"/>
          </w:tcPr>
          <w:p>
            <w:pPr>
              <w:widowControl/>
              <w:spacing w:line="320" w:lineRule="exact"/>
              <w:ind w:firstLine="405"/>
              <w:rPr>
                <w:rFonts w:ascii="宋体" w:hAnsi="宋体" w:cs="宋体"/>
                <w:kern w:val="0"/>
              </w:rPr>
            </w:pPr>
            <w:r>
              <w:rPr>
                <w:rFonts w:hint="eastAsia" w:ascii="宋体" w:hAnsi="宋体" w:cs="宋体"/>
                <w:kern w:val="0"/>
              </w:rPr>
              <w:t>根据部门（单位）职责，结合部门整体支出绩效目标，合理设置个性化绩效指标：</w:t>
            </w:r>
          </w:p>
          <w:p>
            <w:pPr>
              <w:pStyle w:val="2"/>
              <w:rPr>
                <w:rFonts w:ascii="宋体" w:hAnsi="宋体"/>
                <w:kern w:val="0"/>
              </w:rPr>
            </w:pPr>
            <w:r>
              <w:rPr>
                <w:rFonts w:hint="eastAsia" w:ascii="宋体" w:hAnsi="宋体"/>
                <w:kern w:val="0"/>
              </w:rPr>
              <w:t>1.固定资产管理规范</w:t>
            </w:r>
          </w:p>
          <w:p>
            <w:pPr>
              <w:pStyle w:val="2"/>
            </w:pPr>
            <w:r>
              <w:rPr>
                <w:rFonts w:hint="eastAsia" w:ascii="宋体" w:hAnsi="宋体"/>
                <w:kern w:val="0"/>
              </w:rPr>
              <w:t>2.预算绩效管理规范</w:t>
            </w:r>
          </w:p>
          <w:p>
            <w:pPr>
              <w:pStyle w:val="2"/>
            </w:pPr>
            <w:r>
              <w:rPr>
                <w:rFonts w:hint="eastAsia" w:ascii="宋体" w:hAnsi="宋体"/>
                <w:kern w:val="0"/>
              </w:rPr>
              <w:t>3.展示厅管理制度健全</w:t>
            </w:r>
          </w:p>
          <w:p>
            <w:pPr>
              <w:pStyle w:val="2"/>
            </w:pPr>
            <w:r>
              <w:rPr>
                <w:rFonts w:hint="eastAsia" w:ascii="宋体" w:hAnsi="宋体"/>
                <w:kern w:val="0"/>
              </w:rPr>
              <w:t>4.坝光片区开发建设管理规范</w:t>
            </w:r>
          </w:p>
          <w:p>
            <w:pPr>
              <w:widowControl/>
              <w:spacing w:line="320" w:lineRule="exact"/>
              <w:ind w:firstLine="405"/>
              <w:rPr>
                <w:rFonts w:ascii="宋体" w:hAnsi="宋体" w:cs="宋体"/>
                <w:kern w:val="0"/>
              </w:rPr>
            </w:pPr>
            <w:r>
              <w:rPr>
                <w:rFonts w:hint="eastAsia" w:ascii="宋体" w:hAnsi="宋体" w:cs="宋体"/>
                <w:kern w:val="0"/>
              </w:rPr>
              <w:t>以上指标2.5分，完成则得满分，部分完成则酌情得分，未完成则不得分。</w:t>
            </w:r>
          </w:p>
        </w:tc>
        <w:tc>
          <w:tcPr>
            <w:tcW w:w="783"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cs="宋体"/>
                <w:kern w:val="0"/>
              </w:rPr>
            </w:pPr>
            <w:r>
              <w:rPr>
                <w:rFonts w:hint="eastAsia" w:ascii="宋体" w:hAnsi="宋体" w:cs="宋体"/>
                <w:kern w:val="0"/>
              </w:rPr>
              <w:t>10</w:t>
            </w:r>
          </w:p>
        </w:tc>
      </w:tr>
      <w:tr>
        <w:tblPrEx>
          <w:tblCellMar>
            <w:top w:w="0" w:type="dxa"/>
            <w:left w:w="108" w:type="dxa"/>
            <w:bottom w:w="0" w:type="dxa"/>
            <w:right w:w="108" w:type="dxa"/>
          </w:tblCellMar>
        </w:tblPrEx>
        <w:trPr>
          <w:trHeight w:val="1214" w:hRule="atLeast"/>
          <w:jc w:val="center"/>
        </w:trPr>
        <w:tc>
          <w:tcPr>
            <w:tcW w:w="49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5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公平性</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kern w:val="0"/>
              </w:rPr>
            </w:pPr>
            <w:r>
              <w:rPr>
                <w:rFonts w:hint="eastAsia" w:ascii="宋体" w:hAnsi="宋体" w:cs="宋体"/>
                <w:kern w:val="0"/>
              </w:rPr>
              <w:t>9</w:t>
            </w:r>
          </w:p>
        </w:tc>
        <w:tc>
          <w:tcPr>
            <w:tcW w:w="641" w:type="dxa"/>
            <w:tcBorders>
              <w:top w:val="nil"/>
              <w:left w:val="nil"/>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群众信访办理情况</w:t>
            </w:r>
          </w:p>
        </w:tc>
        <w:tc>
          <w:tcPr>
            <w:tcW w:w="683" w:type="dxa"/>
            <w:tcBorders>
              <w:top w:val="nil"/>
              <w:left w:val="nil"/>
              <w:bottom w:val="single" w:color="auto" w:sz="4" w:space="0"/>
              <w:right w:val="single" w:color="auto" w:sz="4" w:space="0"/>
            </w:tcBorders>
            <w:vAlign w:val="center"/>
          </w:tcPr>
          <w:p>
            <w:pPr>
              <w:widowControl/>
              <w:spacing w:line="320" w:lineRule="exact"/>
              <w:jc w:val="center"/>
              <w:rPr>
                <w:rFonts w:ascii="宋体" w:hAnsi="宋体"/>
                <w:kern w:val="0"/>
              </w:rPr>
            </w:pPr>
            <w:r>
              <w:rPr>
                <w:rFonts w:ascii="宋体" w:hAnsi="宋体" w:cs="宋体"/>
                <w:kern w:val="0"/>
              </w:rPr>
              <w:t>3</w:t>
            </w:r>
          </w:p>
        </w:tc>
        <w:tc>
          <w:tcPr>
            <w:tcW w:w="2826" w:type="dxa"/>
            <w:tcBorders>
              <w:top w:val="nil"/>
              <w:left w:val="nil"/>
              <w:bottom w:val="single" w:color="auto" w:sz="4" w:space="0"/>
              <w:right w:val="single" w:color="auto" w:sz="4" w:space="0"/>
            </w:tcBorders>
            <w:vAlign w:val="center"/>
          </w:tcPr>
          <w:p>
            <w:pPr>
              <w:widowControl/>
              <w:spacing w:line="320" w:lineRule="exact"/>
              <w:rPr>
                <w:rFonts w:ascii="宋体" w:hAnsi="宋体"/>
                <w:kern w:val="0"/>
              </w:rPr>
            </w:pPr>
            <w:r>
              <w:rPr>
                <w:rFonts w:hint="eastAsia" w:ascii="宋体" w:hAnsi="宋体" w:cs="宋体"/>
                <w:kern w:val="0"/>
              </w:rPr>
              <w:t>部门（单位）对群众信访意见的完成情况及及时性，反映部门（单位）对服务群众的重视程度。</w:t>
            </w:r>
          </w:p>
        </w:tc>
        <w:tc>
          <w:tcPr>
            <w:tcW w:w="6475" w:type="dxa"/>
            <w:tcBorders>
              <w:top w:val="nil"/>
              <w:left w:val="nil"/>
              <w:bottom w:val="single" w:color="auto" w:sz="4" w:space="0"/>
              <w:right w:val="single" w:color="auto" w:sz="4" w:space="0"/>
            </w:tcBorders>
            <w:vAlign w:val="center"/>
          </w:tcPr>
          <w:p>
            <w:pPr>
              <w:widowControl/>
              <w:spacing w:line="320" w:lineRule="exact"/>
              <w:ind w:firstLine="315" w:firstLineChars="150"/>
              <w:rPr>
                <w:rFonts w:ascii="宋体" w:hAnsi="宋体" w:cs="宋体"/>
                <w:kern w:val="0"/>
              </w:rPr>
            </w:pPr>
            <w:r>
              <w:rPr>
                <w:rFonts w:ascii="宋体" w:hAnsi="宋体" w:cs="宋体"/>
                <w:kern w:val="0"/>
              </w:rPr>
              <w:t>1.</w:t>
            </w:r>
            <w:r>
              <w:rPr>
                <w:rFonts w:hint="eastAsia" w:ascii="宋体" w:hAnsi="宋体" w:cs="宋体"/>
                <w:kern w:val="0"/>
              </w:rPr>
              <w:t>建立了便利的群众意见反映渠道和群众意见办理回复机制（</w:t>
            </w:r>
            <w:r>
              <w:rPr>
                <w:rFonts w:ascii="宋体" w:hAnsi="宋体" w:cs="宋体"/>
                <w:kern w:val="0"/>
              </w:rPr>
              <w:t>1</w:t>
            </w:r>
            <w:r>
              <w:rPr>
                <w:rFonts w:hint="eastAsia" w:ascii="宋体" w:hAnsi="宋体" w:cs="宋体"/>
                <w:kern w:val="0"/>
              </w:rPr>
              <w:t>分）；</w:t>
            </w:r>
          </w:p>
          <w:p>
            <w:pPr>
              <w:widowControl/>
              <w:spacing w:line="320" w:lineRule="exact"/>
              <w:ind w:firstLine="315" w:firstLineChars="150"/>
              <w:rPr>
                <w:rFonts w:ascii="宋体" w:hAnsi="宋体" w:cs="宋体"/>
                <w:kern w:val="0"/>
              </w:rPr>
            </w:pPr>
            <w:r>
              <w:rPr>
                <w:rFonts w:ascii="宋体" w:hAnsi="宋体" w:cs="宋体"/>
                <w:kern w:val="0"/>
              </w:rPr>
              <w:t>2.</w:t>
            </w:r>
            <w:r>
              <w:rPr>
                <w:rFonts w:hint="eastAsia" w:ascii="宋体" w:hAnsi="宋体" w:cs="宋体"/>
                <w:kern w:val="0"/>
              </w:rPr>
              <w:t>当年度群众信访办理回复率达100%（</w:t>
            </w:r>
            <w:r>
              <w:rPr>
                <w:rFonts w:ascii="宋体" w:hAnsi="宋体" w:cs="宋体"/>
                <w:kern w:val="0"/>
              </w:rPr>
              <w:t>1</w:t>
            </w:r>
            <w:r>
              <w:rPr>
                <w:rFonts w:hint="eastAsia" w:ascii="宋体" w:hAnsi="宋体" w:cs="宋体"/>
                <w:kern w:val="0"/>
              </w:rPr>
              <w:t>分）；</w:t>
            </w:r>
          </w:p>
          <w:p>
            <w:pPr>
              <w:widowControl/>
              <w:spacing w:line="320" w:lineRule="exact"/>
              <w:ind w:firstLine="315" w:firstLineChars="150"/>
              <w:rPr>
                <w:rFonts w:ascii="宋体" w:hAnsi="宋体"/>
                <w:kern w:val="0"/>
              </w:rPr>
            </w:pPr>
            <w:r>
              <w:rPr>
                <w:rFonts w:ascii="宋体" w:hAnsi="宋体" w:cs="宋体"/>
                <w:kern w:val="0"/>
              </w:rPr>
              <w:t>3.</w:t>
            </w:r>
            <w:r>
              <w:rPr>
                <w:rFonts w:hint="eastAsia" w:ascii="宋体" w:hAnsi="宋体" w:cs="宋体"/>
                <w:kern w:val="0"/>
              </w:rPr>
              <w:t>当年度群众信访及时办理回复率达100%，未发生超期（</w:t>
            </w:r>
            <w:r>
              <w:rPr>
                <w:rFonts w:ascii="宋体" w:hAnsi="宋体" w:cs="宋体"/>
                <w:kern w:val="0"/>
              </w:rPr>
              <w:t>1</w:t>
            </w:r>
            <w:r>
              <w:rPr>
                <w:rFonts w:hint="eastAsia" w:ascii="宋体" w:hAnsi="宋体" w:cs="宋体"/>
                <w:kern w:val="0"/>
              </w:rPr>
              <w:t>分）。</w:t>
            </w:r>
          </w:p>
        </w:tc>
        <w:tc>
          <w:tcPr>
            <w:tcW w:w="783"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kern w:val="0"/>
              </w:rPr>
            </w:pPr>
            <w:r>
              <w:rPr>
                <w:rFonts w:hint="eastAsia" w:ascii="宋体" w:hAnsi="宋体" w:cs="宋体"/>
                <w:kern w:val="0"/>
              </w:rPr>
              <w:t>3</w:t>
            </w:r>
          </w:p>
        </w:tc>
      </w:tr>
      <w:tr>
        <w:tblPrEx>
          <w:tblCellMar>
            <w:top w:w="0" w:type="dxa"/>
            <w:left w:w="108" w:type="dxa"/>
            <w:bottom w:w="0" w:type="dxa"/>
            <w:right w:w="108" w:type="dxa"/>
          </w:tblCellMar>
        </w:tblPrEx>
        <w:trPr>
          <w:trHeight w:val="1401" w:hRule="atLeast"/>
          <w:jc w:val="center"/>
        </w:trPr>
        <w:tc>
          <w:tcPr>
            <w:tcW w:w="49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5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p>
        </w:tc>
        <w:tc>
          <w:tcPr>
            <w:tcW w:w="641"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cs="宋体"/>
                <w:kern w:val="0"/>
              </w:rPr>
              <w:t>公众或服务对象满意度</w:t>
            </w:r>
          </w:p>
        </w:tc>
        <w:tc>
          <w:tcPr>
            <w:tcW w:w="683"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kern w:val="0"/>
              </w:rPr>
            </w:pPr>
            <w:r>
              <w:rPr>
                <w:rFonts w:hint="eastAsia" w:ascii="宋体" w:hAnsi="宋体" w:cs="宋体"/>
                <w:kern w:val="0"/>
              </w:rPr>
              <w:t>6</w:t>
            </w:r>
          </w:p>
        </w:tc>
        <w:tc>
          <w:tcPr>
            <w:tcW w:w="2826" w:type="dxa"/>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ascii="宋体" w:hAnsi="宋体"/>
                <w:kern w:val="0"/>
              </w:rPr>
            </w:pPr>
            <w:r>
              <w:rPr>
                <w:rFonts w:hint="eastAsia" w:ascii="宋体" w:hAnsi="宋体" w:cs="宋体"/>
                <w:kern w:val="0"/>
              </w:rPr>
              <w:t>反映社会公众或部门（单位）的服务对象对部门履职效果的满意度。</w:t>
            </w:r>
          </w:p>
        </w:tc>
        <w:tc>
          <w:tcPr>
            <w:tcW w:w="647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420"/>
              <w:rPr>
                <w:rFonts w:ascii="宋体" w:hAnsi="宋体" w:cs="宋体"/>
                <w:kern w:val="0"/>
              </w:rPr>
            </w:pPr>
            <w:r>
              <w:rPr>
                <w:rFonts w:hint="eastAsia" w:ascii="宋体" w:hAnsi="宋体" w:cs="宋体"/>
                <w:kern w:val="0"/>
              </w:rPr>
              <w:t>社会公众或服务对象是指部门（单位）履行职责而影响到的部门、群体或个人，一般采取社会调查的方式。如难以单独开展满意度调查的，可参考统计部门的数据、年度区直民主评议政风行风评价结果等数据，或者参考群众信访反馈的普遍性问题、本部门或权威第三方机构的开展满意度调查等进行分档计分。</w:t>
            </w:r>
          </w:p>
          <w:p>
            <w:pPr>
              <w:widowControl/>
              <w:spacing w:line="320" w:lineRule="exact"/>
              <w:ind w:firstLine="420"/>
              <w:rPr>
                <w:rFonts w:ascii="宋体" w:hAnsi="宋体" w:cs="宋体"/>
                <w:kern w:val="0"/>
              </w:rPr>
            </w:pPr>
            <w:r>
              <w:rPr>
                <w:rFonts w:hint="eastAsia" w:ascii="宋体" w:hAnsi="宋体" w:cs="宋体"/>
                <w:kern w:val="0"/>
              </w:rPr>
              <w:t>1.满意度达到100%的，得6分；</w:t>
            </w:r>
          </w:p>
          <w:p>
            <w:pPr>
              <w:widowControl/>
              <w:spacing w:line="320" w:lineRule="exact"/>
              <w:ind w:firstLine="420"/>
              <w:rPr>
                <w:rFonts w:ascii="宋体" w:hAnsi="宋体" w:cs="宋体"/>
                <w:kern w:val="0"/>
              </w:rPr>
            </w:pPr>
            <w:r>
              <w:rPr>
                <w:rFonts w:hint="eastAsia" w:ascii="宋体" w:hAnsi="宋体"/>
                <w:kern w:val="0"/>
              </w:rPr>
              <w:t>2.</w:t>
            </w:r>
            <w:r>
              <w:rPr>
                <w:rFonts w:hint="eastAsia" w:ascii="宋体" w:hAnsi="宋体" w:cs="宋体"/>
                <w:kern w:val="0"/>
              </w:rPr>
              <w:t xml:space="preserve"> 80%≤满意度＜100%的，按比例得分，得分情况=满意度*6分；</w:t>
            </w:r>
          </w:p>
          <w:p>
            <w:pPr>
              <w:widowControl/>
              <w:spacing w:line="320" w:lineRule="exact"/>
              <w:ind w:firstLine="420"/>
              <w:rPr>
                <w:rFonts w:ascii="宋体" w:hAnsi="宋体"/>
                <w:kern w:val="0"/>
              </w:rPr>
            </w:pPr>
            <w:r>
              <w:rPr>
                <w:rFonts w:hint="eastAsia" w:ascii="宋体" w:hAnsi="宋体" w:cs="宋体"/>
                <w:kern w:val="0"/>
              </w:rPr>
              <w:t>3.满意度＜80%的，得0分。</w:t>
            </w:r>
          </w:p>
        </w:tc>
        <w:tc>
          <w:tcPr>
            <w:tcW w:w="783"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cs="宋体"/>
                <w:kern w:val="0"/>
              </w:rPr>
            </w:pPr>
            <w:r>
              <w:rPr>
                <w:rFonts w:hint="eastAsia" w:ascii="宋体" w:hAnsi="宋体" w:cs="宋体"/>
                <w:kern w:val="0"/>
              </w:rPr>
              <w:t>5.23</w:t>
            </w:r>
          </w:p>
        </w:tc>
      </w:tr>
      <w:tr>
        <w:tblPrEx>
          <w:tblCellMar>
            <w:top w:w="0" w:type="dxa"/>
            <w:left w:w="108" w:type="dxa"/>
            <w:bottom w:w="0" w:type="dxa"/>
            <w:right w:w="108" w:type="dxa"/>
          </w:tblCellMar>
        </w:tblPrEx>
        <w:trPr>
          <w:trHeight w:val="677" w:hRule="atLeast"/>
          <w:jc w:val="center"/>
        </w:trPr>
        <w:tc>
          <w:tcPr>
            <w:tcW w:w="2818" w:type="dxa"/>
            <w:gridSpan w:val="5"/>
            <w:tcBorders>
              <w:top w:val="single" w:color="auto" w:sz="4" w:space="0"/>
              <w:left w:val="single" w:color="auto" w:sz="4" w:space="0"/>
              <w:bottom w:val="single" w:color="auto" w:sz="4" w:space="0"/>
              <w:right w:val="single" w:color="auto" w:sz="4" w:space="0"/>
            </w:tcBorders>
            <w:vAlign w:val="center"/>
          </w:tcPr>
          <w:p>
            <w:pPr>
              <w:widowControl/>
              <w:spacing w:line="320" w:lineRule="exact"/>
              <w:jc w:val="right"/>
              <w:rPr>
                <w:rFonts w:ascii="宋体" w:hAnsi="宋体" w:cs="宋体"/>
                <w:kern w:val="0"/>
              </w:rPr>
            </w:pPr>
            <w:r>
              <w:rPr>
                <w:rFonts w:hint="eastAsia" w:ascii="宋体" w:hAnsi="宋体" w:cs="宋体"/>
                <w:kern w:val="0"/>
              </w:rPr>
              <w:t>参考分值合计</w:t>
            </w:r>
          </w:p>
        </w:tc>
        <w:tc>
          <w:tcPr>
            <w:tcW w:w="683"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kern w:val="0"/>
              </w:rPr>
            </w:pPr>
            <w:r>
              <w:rPr>
                <w:rFonts w:hint="eastAsia" w:ascii="宋体" w:hAnsi="宋体" w:cs="宋体"/>
                <w:kern w:val="0"/>
              </w:rPr>
              <w:t>100</w:t>
            </w:r>
          </w:p>
        </w:tc>
        <w:tc>
          <w:tcPr>
            <w:tcW w:w="9301" w:type="dxa"/>
            <w:gridSpan w:val="2"/>
            <w:tcBorders>
              <w:top w:val="single" w:color="auto" w:sz="4" w:space="0"/>
              <w:left w:val="nil"/>
              <w:bottom w:val="single" w:color="auto" w:sz="4" w:space="0"/>
              <w:right w:val="single" w:color="auto" w:sz="4" w:space="0"/>
            </w:tcBorders>
            <w:vAlign w:val="center"/>
          </w:tcPr>
          <w:p>
            <w:pPr>
              <w:widowControl/>
              <w:spacing w:line="320" w:lineRule="exact"/>
              <w:ind w:firstLine="420"/>
              <w:jc w:val="right"/>
              <w:rPr>
                <w:rFonts w:ascii="宋体" w:hAnsi="宋体" w:cs="宋体"/>
                <w:kern w:val="0"/>
              </w:rPr>
            </w:pPr>
            <w:r>
              <w:rPr>
                <w:rFonts w:hint="eastAsia" w:ascii="宋体" w:hAnsi="宋体" w:cs="宋体"/>
                <w:kern w:val="0"/>
              </w:rPr>
              <w:t>得分情况合计</w:t>
            </w:r>
          </w:p>
        </w:tc>
        <w:tc>
          <w:tcPr>
            <w:tcW w:w="783"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kern w:val="0"/>
              </w:rPr>
            </w:pPr>
            <w:r>
              <w:rPr>
                <w:rFonts w:hint="eastAsia" w:ascii="宋体" w:hAnsi="宋体" w:cs="宋体"/>
                <w:kern w:val="0"/>
              </w:rPr>
              <w:t>97.13</w:t>
            </w:r>
          </w:p>
        </w:tc>
      </w:tr>
    </w:tbl>
    <w:p>
      <w:pPr>
        <w:tabs>
          <w:tab w:val="left" w:pos="970"/>
        </w:tabs>
        <w:jc w:val="left"/>
      </w:pPr>
    </w:p>
    <w:sectPr>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Adobe 楷体 Std R">
    <w:panose1 w:val="02020400000000000000"/>
    <w:charset w:val="86"/>
    <w:family w:val="roman"/>
    <w:pitch w:val="default"/>
    <w:sig w:usb0="00000001" w:usb1="0A0F1810" w:usb2="00000016" w:usb3="00000000" w:csb0="00060007"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3074" o:spid="_x0000_s3074"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- 22 -</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WExZDVkODljMmExMTczZTk0NTJhZDBjMTUyNjNjYzIifQ=="/>
  </w:docVars>
  <w:rsids>
    <w:rsidRoot w:val="007C6A8D"/>
    <w:rsid w:val="00015287"/>
    <w:rsid w:val="00026FF7"/>
    <w:rsid w:val="000757DF"/>
    <w:rsid w:val="00097E49"/>
    <w:rsid w:val="000B73C5"/>
    <w:rsid w:val="000C1693"/>
    <w:rsid w:val="000C7F39"/>
    <w:rsid w:val="000D5ECC"/>
    <w:rsid w:val="000E2A90"/>
    <w:rsid w:val="00140B32"/>
    <w:rsid w:val="001422CE"/>
    <w:rsid w:val="00156F7B"/>
    <w:rsid w:val="001702A9"/>
    <w:rsid w:val="00186083"/>
    <w:rsid w:val="001A1C84"/>
    <w:rsid w:val="001A4FCA"/>
    <w:rsid w:val="001D66C0"/>
    <w:rsid w:val="001E1A5E"/>
    <w:rsid w:val="001E702E"/>
    <w:rsid w:val="001F5AA4"/>
    <w:rsid w:val="002104EC"/>
    <w:rsid w:val="00235966"/>
    <w:rsid w:val="002A7700"/>
    <w:rsid w:val="002B59E8"/>
    <w:rsid w:val="002E0FBC"/>
    <w:rsid w:val="002E0FC3"/>
    <w:rsid w:val="003205F3"/>
    <w:rsid w:val="00323B8D"/>
    <w:rsid w:val="003434BD"/>
    <w:rsid w:val="003577C2"/>
    <w:rsid w:val="00382649"/>
    <w:rsid w:val="00394B68"/>
    <w:rsid w:val="00395F3C"/>
    <w:rsid w:val="003B1900"/>
    <w:rsid w:val="003D5362"/>
    <w:rsid w:val="003F3BCB"/>
    <w:rsid w:val="00401F02"/>
    <w:rsid w:val="004331C4"/>
    <w:rsid w:val="00447BDD"/>
    <w:rsid w:val="004A3245"/>
    <w:rsid w:val="004B47F6"/>
    <w:rsid w:val="004B4C68"/>
    <w:rsid w:val="004C23C8"/>
    <w:rsid w:val="0051022B"/>
    <w:rsid w:val="005179A1"/>
    <w:rsid w:val="00567EEA"/>
    <w:rsid w:val="00580933"/>
    <w:rsid w:val="0058344B"/>
    <w:rsid w:val="005A7B7C"/>
    <w:rsid w:val="005C793D"/>
    <w:rsid w:val="005D6FD8"/>
    <w:rsid w:val="0062166D"/>
    <w:rsid w:val="006374E6"/>
    <w:rsid w:val="0065582C"/>
    <w:rsid w:val="006668F7"/>
    <w:rsid w:val="00670E00"/>
    <w:rsid w:val="006A08E5"/>
    <w:rsid w:val="006A0B18"/>
    <w:rsid w:val="006C457F"/>
    <w:rsid w:val="006E2C6E"/>
    <w:rsid w:val="006E4175"/>
    <w:rsid w:val="006F0724"/>
    <w:rsid w:val="007A0FB5"/>
    <w:rsid w:val="007B1093"/>
    <w:rsid w:val="007C6A8D"/>
    <w:rsid w:val="007C77C0"/>
    <w:rsid w:val="007E03B1"/>
    <w:rsid w:val="007E16C0"/>
    <w:rsid w:val="007F11FC"/>
    <w:rsid w:val="00806A2E"/>
    <w:rsid w:val="0085384E"/>
    <w:rsid w:val="00866D4F"/>
    <w:rsid w:val="008720AB"/>
    <w:rsid w:val="008852EF"/>
    <w:rsid w:val="00886EBB"/>
    <w:rsid w:val="008A0B0C"/>
    <w:rsid w:val="008C01DD"/>
    <w:rsid w:val="008C5E9F"/>
    <w:rsid w:val="008D3C34"/>
    <w:rsid w:val="009009EC"/>
    <w:rsid w:val="00907B9F"/>
    <w:rsid w:val="009254A3"/>
    <w:rsid w:val="00933848"/>
    <w:rsid w:val="009374E9"/>
    <w:rsid w:val="00940AC8"/>
    <w:rsid w:val="0094704A"/>
    <w:rsid w:val="00974A5D"/>
    <w:rsid w:val="009803FA"/>
    <w:rsid w:val="00982DD5"/>
    <w:rsid w:val="009944C6"/>
    <w:rsid w:val="009B6BB4"/>
    <w:rsid w:val="009F02B1"/>
    <w:rsid w:val="009F1020"/>
    <w:rsid w:val="009F1B8B"/>
    <w:rsid w:val="00A327AA"/>
    <w:rsid w:val="00AA5338"/>
    <w:rsid w:val="00AB0B2A"/>
    <w:rsid w:val="00AB3CCB"/>
    <w:rsid w:val="00AC140F"/>
    <w:rsid w:val="00AC4085"/>
    <w:rsid w:val="00AD4C3B"/>
    <w:rsid w:val="00AD7537"/>
    <w:rsid w:val="00B012E2"/>
    <w:rsid w:val="00B1044F"/>
    <w:rsid w:val="00B16374"/>
    <w:rsid w:val="00B222A3"/>
    <w:rsid w:val="00B24D10"/>
    <w:rsid w:val="00B6365A"/>
    <w:rsid w:val="00B84162"/>
    <w:rsid w:val="00B9050E"/>
    <w:rsid w:val="00BB7A05"/>
    <w:rsid w:val="00BD192D"/>
    <w:rsid w:val="00BF4599"/>
    <w:rsid w:val="00C14ECA"/>
    <w:rsid w:val="00C2157C"/>
    <w:rsid w:val="00C409C6"/>
    <w:rsid w:val="00C470E5"/>
    <w:rsid w:val="00C702B8"/>
    <w:rsid w:val="00C768A5"/>
    <w:rsid w:val="00CB459D"/>
    <w:rsid w:val="00CB6C81"/>
    <w:rsid w:val="00CB7FE9"/>
    <w:rsid w:val="00CC0E1B"/>
    <w:rsid w:val="00CC77DF"/>
    <w:rsid w:val="00CC7C71"/>
    <w:rsid w:val="00CD69A4"/>
    <w:rsid w:val="00CE2F28"/>
    <w:rsid w:val="00D50E3A"/>
    <w:rsid w:val="00D85818"/>
    <w:rsid w:val="00D86FE6"/>
    <w:rsid w:val="00D87A62"/>
    <w:rsid w:val="00DC002F"/>
    <w:rsid w:val="00DC68B3"/>
    <w:rsid w:val="00DD1293"/>
    <w:rsid w:val="00DD621C"/>
    <w:rsid w:val="00E61598"/>
    <w:rsid w:val="00E975EF"/>
    <w:rsid w:val="00EA134A"/>
    <w:rsid w:val="00EE14D1"/>
    <w:rsid w:val="00F05CC5"/>
    <w:rsid w:val="00F7510D"/>
    <w:rsid w:val="00F85BCF"/>
    <w:rsid w:val="00FA12CB"/>
    <w:rsid w:val="00FA665A"/>
    <w:rsid w:val="00FD0B60"/>
    <w:rsid w:val="041B2280"/>
    <w:rsid w:val="05623AD7"/>
    <w:rsid w:val="060E0C56"/>
    <w:rsid w:val="06DA4670"/>
    <w:rsid w:val="080A13CF"/>
    <w:rsid w:val="084A45B0"/>
    <w:rsid w:val="0B4E3399"/>
    <w:rsid w:val="0E4C3659"/>
    <w:rsid w:val="0FEC139D"/>
    <w:rsid w:val="1180082B"/>
    <w:rsid w:val="143B4D3E"/>
    <w:rsid w:val="14501FDC"/>
    <w:rsid w:val="16626DB5"/>
    <w:rsid w:val="17C319C7"/>
    <w:rsid w:val="1AA30A77"/>
    <w:rsid w:val="1CE26FBF"/>
    <w:rsid w:val="1D4D6F6D"/>
    <w:rsid w:val="1FD9268E"/>
    <w:rsid w:val="222C2F06"/>
    <w:rsid w:val="26387862"/>
    <w:rsid w:val="28B72572"/>
    <w:rsid w:val="2D1467D7"/>
    <w:rsid w:val="2DCD0AC9"/>
    <w:rsid w:val="2E715788"/>
    <w:rsid w:val="2FEA05B7"/>
    <w:rsid w:val="3028095F"/>
    <w:rsid w:val="329A66A2"/>
    <w:rsid w:val="32DB0B52"/>
    <w:rsid w:val="34826619"/>
    <w:rsid w:val="3653631B"/>
    <w:rsid w:val="36CA6C40"/>
    <w:rsid w:val="37C0378D"/>
    <w:rsid w:val="38A07E05"/>
    <w:rsid w:val="3B0E306F"/>
    <w:rsid w:val="3C063C48"/>
    <w:rsid w:val="3D502147"/>
    <w:rsid w:val="3E60046F"/>
    <w:rsid w:val="3FE47D2E"/>
    <w:rsid w:val="419E2D75"/>
    <w:rsid w:val="41C44BF3"/>
    <w:rsid w:val="42BB7711"/>
    <w:rsid w:val="44A44A28"/>
    <w:rsid w:val="450948E4"/>
    <w:rsid w:val="462B1E87"/>
    <w:rsid w:val="462F4807"/>
    <w:rsid w:val="479D1116"/>
    <w:rsid w:val="4B7959E1"/>
    <w:rsid w:val="4C7E2333"/>
    <w:rsid w:val="4FAC492C"/>
    <w:rsid w:val="54C858E7"/>
    <w:rsid w:val="56674AB1"/>
    <w:rsid w:val="57651E37"/>
    <w:rsid w:val="596869E6"/>
    <w:rsid w:val="59E81564"/>
    <w:rsid w:val="5AD9561F"/>
    <w:rsid w:val="5EC02E79"/>
    <w:rsid w:val="609135C1"/>
    <w:rsid w:val="658F5386"/>
    <w:rsid w:val="684009E0"/>
    <w:rsid w:val="6AE86C98"/>
    <w:rsid w:val="6C3B0498"/>
    <w:rsid w:val="6CF0617C"/>
    <w:rsid w:val="6E8556D3"/>
    <w:rsid w:val="71C91402"/>
    <w:rsid w:val="75141FBA"/>
    <w:rsid w:val="75C05373"/>
    <w:rsid w:val="770E2036"/>
    <w:rsid w:val="785C39D9"/>
    <w:rsid w:val="78B51100"/>
    <w:rsid w:val="7A7F1856"/>
    <w:rsid w:val="7C214117"/>
    <w:rsid w:val="7DD620B8"/>
    <w:rsid w:val="7E626F69"/>
    <w:rsid w:val="7FB34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snapToGrid w:val="0"/>
      <w:spacing w:line="580" w:lineRule="exact"/>
      <w:ind w:firstLine="640" w:firstLineChars="200"/>
      <w:outlineLvl w:val="0"/>
    </w:pPr>
    <w:rPr>
      <w:rFonts w:ascii="黑体" w:hAnsi="黑体" w:eastAsia="黑体" w:cs="黑体"/>
      <w:bCs/>
      <w:sz w:val="32"/>
      <w:szCs w:val="32"/>
    </w:rPr>
  </w:style>
  <w:style w:type="paragraph" w:styleId="4">
    <w:name w:val="heading 2"/>
    <w:basedOn w:val="1"/>
    <w:next w:val="1"/>
    <w:link w:val="21"/>
    <w:unhideWhenUsed/>
    <w:qFormat/>
    <w:uiPriority w:val="9"/>
    <w:pPr>
      <w:snapToGrid w:val="0"/>
      <w:spacing w:line="580" w:lineRule="exact"/>
      <w:ind w:firstLine="643" w:firstLineChars="200"/>
      <w:outlineLvl w:val="1"/>
    </w:pPr>
    <w:rPr>
      <w:rFonts w:ascii="楷体_GB2312" w:hAnsi="Adobe 楷体 Std R" w:eastAsia="楷体_GB2312"/>
      <w:b/>
      <w:bCs/>
      <w:color w:val="000000"/>
      <w:sz w:val="32"/>
      <w:szCs w:val="32"/>
    </w:rPr>
  </w:style>
  <w:style w:type="paragraph" w:styleId="5">
    <w:name w:val="heading 3"/>
    <w:basedOn w:val="1"/>
    <w:next w:val="1"/>
    <w:link w:val="22"/>
    <w:unhideWhenUsed/>
    <w:qFormat/>
    <w:uiPriority w:val="9"/>
    <w:pPr>
      <w:snapToGrid w:val="0"/>
      <w:spacing w:line="580" w:lineRule="exact"/>
      <w:ind w:firstLine="643" w:firstLineChars="200"/>
      <w:outlineLvl w:val="2"/>
    </w:pPr>
    <w:rPr>
      <w:rFonts w:ascii="仿宋_GB2312" w:hAnsi="仿宋_GB2312" w:eastAsia="仿宋_GB2312" w:cs="仿宋_GB2312"/>
      <w:b/>
      <w:bCs/>
      <w:color w:val="FF0000"/>
      <w:sz w:val="32"/>
      <w:szCs w:val="32"/>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next w:val="1"/>
    <w:autoRedefine/>
    <w:unhideWhenUsed/>
    <w:qFormat/>
    <w:uiPriority w:val="99"/>
    <w:pPr>
      <w:ind w:firstLine="420" w:firstLineChars="200"/>
    </w:pPr>
  </w:style>
  <w:style w:type="paragraph" w:styleId="6">
    <w:name w:val="annotation text"/>
    <w:basedOn w:val="1"/>
    <w:link w:val="18"/>
    <w:autoRedefine/>
    <w:semiHidden/>
    <w:unhideWhenUsed/>
    <w:qFormat/>
    <w:uiPriority w:val="99"/>
    <w:pPr>
      <w:jc w:val="left"/>
    </w:pPr>
  </w:style>
  <w:style w:type="paragraph" w:styleId="7">
    <w:name w:val="Balloon Text"/>
    <w:basedOn w:val="1"/>
    <w:link w:val="15"/>
    <w:autoRedefine/>
    <w:semiHidden/>
    <w:unhideWhenUsed/>
    <w:qFormat/>
    <w:uiPriority w:val="99"/>
    <w:rPr>
      <w:sz w:val="18"/>
      <w:szCs w:val="18"/>
    </w:rPr>
  </w:style>
  <w:style w:type="paragraph" w:styleId="8">
    <w:name w:val="footer"/>
    <w:basedOn w:val="1"/>
    <w:link w:val="17"/>
    <w:autoRedefine/>
    <w:unhideWhenUsed/>
    <w:qFormat/>
    <w:uiPriority w:val="99"/>
    <w:pPr>
      <w:tabs>
        <w:tab w:val="center" w:pos="4153"/>
        <w:tab w:val="right" w:pos="8306"/>
      </w:tabs>
      <w:snapToGrid w:val="0"/>
      <w:jc w:val="left"/>
    </w:pPr>
    <w:rPr>
      <w:sz w:val="18"/>
      <w:szCs w:val="18"/>
    </w:rPr>
  </w:style>
  <w:style w:type="paragraph" w:styleId="9">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semiHidden/>
    <w:unhideWhenUsed/>
    <w:qFormat/>
    <w:uiPriority w:val="99"/>
    <w:pPr>
      <w:spacing w:beforeAutospacing="1" w:afterAutospacing="1"/>
      <w:jc w:val="left"/>
    </w:pPr>
    <w:rPr>
      <w:kern w:val="0"/>
      <w:sz w:val="24"/>
    </w:rPr>
  </w:style>
  <w:style w:type="paragraph" w:styleId="11">
    <w:name w:val="annotation subject"/>
    <w:basedOn w:val="6"/>
    <w:next w:val="6"/>
    <w:link w:val="19"/>
    <w:autoRedefine/>
    <w:semiHidden/>
    <w:unhideWhenUsed/>
    <w:qFormat/>
    <w:uiPriority w:val="99"/>
    <w:rPr>
      <w:b/>
      <w:bCs/>
    </w:rPr>
  </w:style>
  <w:style w:type="character" w:styleId="14">
    <w:name w:val="annotation reference"/>
    <w:basedOn w:val="13"/>
    <w:autoRedefine/>
    <w:semiHidden/>
    <w:unhideWhenUsed/>
    <w:qFormat/>
    <w:uiPriority w:val="99"/>
    <w:rPr>
      <w:sz w:val="21"/>
      <w:szCs w:val="21"/>
    </w:rPr>
  </w:style>
  <w:style w:type="character" w:customStyle="1" w:styleId="15">
    <w:name w:val="批注框文本 Char"/>
    <w:basedOn w:val="13"/>
    <w:link w:val="7"/>
    <w:autoRedefine/>
    <w:semiHidden/>
    <w:qFormat/>
    <w:uiPriority w:val="99"/>
    <w:rPr>
      <w:rFonts w:ascii="Times New Roman" w:hAnsi="Times New Roman" w:eastAsia="宋体" w:cs="Times New Roman"/>
      <w:sz w:val="18"/>
      <w:szCs w:val="18"/>
    </w:rPr>
  </w:style>
  <w:style w:type="character" w:customStyle="1" w:styleId="16">
    <w:name w:val="页眉 Char"/>
    <w:basedOn w:val="13"/>
    <w:link w:val="9"/>
    <w:autoRedefine/>
    <w:qFormat/>
    <w:uiPriority w:val="99"/>
    <w:rPr>
      <w:rFonts w:ascii="Times New Roman" w:hAnsi="Times New Roman" w:eastAsia="宋体" w:cs="Times New Roman"/>
      <w:sz w:val="18"/>
      <w:szCs w:val="18"/>
    </w:rPr>
  </w:style>
  <w:style w:type="character" w:customStyle="1" w:styleId="17">
    <w:name w:val="页脚 Char"/>
    <w:basedOn w:val="13"/>
    <w:link w:val="8"/>
    <w:autoRedefine/>
    <w:qFormat/>
    <w:uiPriority w:val="99"/>
    <w:rPr>
      <w:rFonts w:ascii="Times New Roman" w:hAnsi="Times New Roman" w:eastAsia="宋体" w:cs="Times New Roman"/>
      <w:sz w:val="18"/>
      <w:szCs w:val="18"/>
    </w:rPr>
  </w:style>
  <w:style w:type="character" w:customStyle="1" w:styleId="18">
    <w:name w:val="批注文字 Char"/>
    <w:basedOn w:val="13"/>
    <w:link w:val="6"/>
    <w:autoRedefine/>
    <w:semiHidden/>
    <w:qFormat/>
    <w:uiPriority w:val="99"/>
    <w:rPr>
      <w:rFonts w:ascii="Times New Roman" w:hAnsi="Times New Roman" w:eastAsia="宋体" w:cs="Times New Roman"/>
      <w:kern w:val="2"/>
      <w:sz w:val="21"/>
      <w:szCs w:val="24"/>
    </w:rPr>
  </w:style>
  <w:style w:type="character" w:customStyle="1" w:styleId="19">
    <w:name w:val="批注主题 Char"/>
    <w:basedOn w:val="18"/>
    <w:link w:val="11"/>
    <w:autoRedefine/>
    <w:semiHidden/>
    <w:qFormat/>
    <w:uiPriority w:val="99"/>
    <w:rPr>
      <w:rFonts w:ascii="Times New Roman" w:hAnsi="Times New Roman" w:eastAsia="宋体" w:cs="Times New Roman"/>
      <w:b/>
      <w:bCs/>
      <w:kern w:val="2"/>
      <w:sz w:val="21"/>
      <w:szCs w:val="24"/>
    </w:rPr>
  </w:style>
  <w:style w:type="character" w:customStyle="1" w:styleId="20">
    <w:name w:val="标题 1 Char"/>
    <w:basedOn w:val="13"/>
    <w:link w:val="3"/>
    <w:autoRedefine/>
    <w:qFormat/>
    <w:uiPriority w:val="9"/>
    <w:rPr>
      <w:rFonts w:ascii="黑体" w:hAnsi="黑体" w:eastAsia="黑体" w:cs="黑体"/>
      <w:bCs/>
      <w:kern w:val="2"/>
      <w:sz w:val="32"/>
      <w:szCs w:val="32"/>
    </w:rPr>
  </w:style>
  <w:style w:type="character" w:customStyle="1" w:styleId="21">
    <w:name w:val="标题 2 Char"/>
    <w:basedOn w:val="13"/>
    <w:link w:val="4"/>
    <w:autoRedefine/>
    <w:qFormat/>
    <w:uiPriority w:val="9"/>
    <w:rPr>
      <w:rFonts w:ascii="楷体_GB2312" w:hAnsi="Adobe 楷体 Std R" w:eastAsia="楷体_GB2312" w:cs="Times New Roman"/>
      <w:b/>
      <w:bCs/>
      <w:color w:val="000000"/>
      <w:kern w:val="2"/>
      <w:sz w:val="32"/>
      <w:szCs w:val="32"/>
    </w:rPr>
  </w:style>
  <w:style w:type="character" w:customStyle="1" w:styleId="22">
    <w:name w:val="标题 3 Char"/>
    <w:basedOn w:val="13"/>
    <w:link w:val="5"/>
    <w:autoRedefine/>
    <w:qFormat/>
    <w:uiPriority w:val="9"/>
    <w:rPr>
      <w:rFonts w:ascii="仿宋_GB2312" w:hAnsi="仿宋_GB2312" w:eastAsia="仿宋_GB2312" w:cs="仿宋_GB2312"/>
      <w:b/>
      <w:bCs/>
      <w:color w:val="FF0000"/>
      <w:kern w:val="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4"/>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C9EAFC-3E01-4995-8A04-5AFF1CF86C93}">
  <ds:schemaRefs/>
</ds:datastoreItem>
</file>

<file path=docProps/app.xml><?xml version="1.0" encoding="utf-8"?>
<Properties xmlns="http://schemas.openxmlformats.org/officeDocument/2006/extended-properties" xmlns:vt="http://schemas.openxmlformats.org/officeDocument/2006/docPropsVTypes">
  <Template>Normal.dotm</Template>
  <Pages>27</Pages>
  <Words>2111</Words>
  <Characters>12033</Characters>
  <Lines>100</Lines>
  <Paragraphs>28</Paragraphs>
  <TotalTime>26</TotalTime>
  <ScaleCrop>false</ScaleCrop>
  <LinksUpToDate>false</LinksUpToDate>
  <CharactersWithSpaces>14116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2019-03-07T03:34:00Z</dcterms:created>
  <dc:creator>桂鑫</dc:creator>
  <cp:lastModifiedBy>钟野</cp:lastModifiedBy>
  <cp:lastPrinted>2020-06-30T10:05:00Z</cp:lastPrinted>
  <dcterms:modified xsi:type="dcterms:W3CDTF">2024-02-22T04:08:23Z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FBD4781C4E47488484CE6F2FA73DEC20_12</vt:lpwstr>
  </property>
</Properties>
</file>