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宋体" w:eastAsia="仿宋_GB2312" w:cs="宋体"/>
          <w:kern w:val="0"/>
          <w:sz w:val="36"/>
          <w:szCs w:val="36"/>
        </w:rPr>
      </w:pPr>
      <w:r>
        <w:rPr>
          <w:rFonts w:hint="eastAsia" w:ascii="仿宋_GB2312" w:hAnsi="宋体" w:eastAsia="仿宋_GB2312" w:cs="宋体"/>
          <w:kern w:val="0"/>
          <w:sz w:val="36"/>
          <w:szCs w:val="36"/>
        </w:rPr>
        <w:t>201</w:t>
      </w:r>
      <w:r>
        <w:rPr>
          <w:rFonts w:ascii="仿宋_GB2312" w:hAnsi="宋体" w:eastAsia="仿宋_GB2312" w:cs="宋体"/>
          <w:kern w:val="0"/>
          <w:sz w:val="36"/>
          <w:szCs w:val="36"/>
        </w:rPr>
        <w:t>9</w:t>
      </w:r>
      <w:r>
        <w:rPr>
          <w:rFonts w:hint="eastAsia" w:ascii="仿宋_GB2312" w:hAnsi="宋体" w:eastAsia="仿宋_GB2312" w:cs="宋体"/>
          <w:kern w:val="0"/>
          <w:sz w:val="36"/>
          <w:szCs w:val="36"/>
        </w:rPr>
        <w:t>年</w:t>
      </w:r>
      <w:r>
        <w:rPr>
          <w:rFonts w:hint="eastAsia" w:ascii="仿宋_GB2312" w:hAnsi="宋体" w:eastAsia="仿宋_GB2312" w:cs="宋体"/>
          <w:kern w:val="0"/>
          <w:sz w:val="36"/>
          <w:szCs w:val="36"/>
          <w:lang w:val="en-US" w:eastAsia="zh-CN"/>
        </w:rPr>
        <w:t>度</w:t>
      </w:r>
      <w:r>
        <w:rPr>
          <w:rFonts w:hint="eastAsia" w:ascii="仿宋_GB2312" w:hAnsi="宋体" w:eastAsia="仿宋_GB2312" w:cs="宋体"/>
          <w:kern w:val="0"/>
          <w:sz w:val="36"/>
          <w:szCs w:val="36"/>
        </w:rPr>
        <w:t>项目支出绩效自评表</w:t>
      </w:r>
    </w:p>
    <w:p>
      <w:pPr>
        <w:widowControl/>
        <w:jc w:val="left"/>
        <w:rPr>
          <w:rFonts w:cs="宋体" w:asciiTheme="minorEastAsia" w:hAnsiTheme="minorEastAsia" w:eastAsiaTheme="minorEastAsia"/>
          <w:kern w:val="0"/>
          <w:sz w:val="22"/>
        </w:rPr>
      </w:pPr>
      <w:r>
        <w:rPr>
          <w:rFonts w:hint="eastAsia" w:cs="宋体" w:asciiTheme="minorEastAsia" w:hAnsiTheme="minorEastAsia" w:eastAsiaTheme="minorEastAsia"/>
          <w:kern w:val="0"/>
          <w:sz w:val="22"/>
        </w:rPr>
        <w:t>填表单位（盖章）：</w:t>
      </w:r>
      <w:r>
        <w:rPr>
          <w:rFonts w:hint="eastAsia" w:ascii="宋体" w:hAnsi="宋体" w:cs="宋体"/>
          <w:color w:val="000000"/>
          <w:kern w:val="0"/>
          <w:sz w:val="20"/>
          <w:szCs w:val="20"/>
        </w:rPr>
        <w:t>深圳市大鹏新区坝光开发署</w:t>
      </w:r>
    </w:p>
    <w:tbl>
      <w:tblPr>
        <w:tblStyle w:val="5"/>
        <w:tblW w:w="9651" w:type="dxa"/>
        <w:tblInd w:w="-67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2"/>
        <w:gridCol w:w="1134"/>
        <w:gridCol w:w="1134"/>
        <w:gridCol w:w="1794"/>
        <w:gridCol w:w="1041"/>
        <w:gridCol w:w="219"/>
        <w:gridCol w:w="1290"/>
        <w:gridCol w:w="192"/>
        <w:gridCol w:w="139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其他城乡社区事务</w:t>
            </w:r>
          </w:p>
        </w:tc>
        <w:tc>
          <w:tcPr>
            <w:tcW w:w="30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项目类别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ab/>
            </w:r>
          </w:p>
        </w:tc>
        <w:tc>
          <w:tcPr>
            <w:tcW w:w="287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常规 （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√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）一次性（ ） 追加（ 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项目主管单位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深圳市大鹏新区坝光开发署</w:t>
            </w:r>
          </w:p>
        </w:tc>
        <w:tc>
          <w:tcPr>
            <w:tcW w:w="30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项目实施单位</w:t>
            </w:r>
          </w:p>
        </w:tc>
        <w:tc>
          <w:tcPr>
            <w:tcW w:w="287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深圳市大鹏新区坝光开发署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项目周期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u w:val="singl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年</w:t>
            </w:r>
          </w:p>
        </w:tc>
        <w:tc>
          <w:tcPr>
            <w:tcW w:w="30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项目属性</w:t>
            </w:r>
          </w:p>
        </w:tc>
        <w:tc>
          <w:tcPr>
            <w:tcW w:w="287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  <w:highlight w:val="none"/>
              </w:rPr>
              <w:t>新增（ ）  延续（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√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  <w:highlight w:val="none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5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项目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资金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调整后预算数（A）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全年执行数（B）</w:t>
            </w:r>
          </w:p>
        </w:tc>
        <w:tc>
          <w:tcPr>
            <w:tcW w:w="13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执行率（A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/B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5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年度资金总额</w:t>
            </w:r>
          </w:p>
        </w:tc>
        <w:tc>
          <w:tcPr>
            <w:tcW w:w="17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1796.11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1440.29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1440.29</w:t>
            </w:r>
          </w:p>
        </w:tc>
        <w:tc>
          <w:tcPr>
            <w:tcW w:w="13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5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其中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财政拨款</w:t>
            </w:r>
          </w:p>
        </w:tc>
        <w:tc>
          <w:tcPr>
            <w:tcW w:w="17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1796.11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1440.29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1440.29</w:t>
            </w:r>
          </w:p>
        </w:tc>
        <w:tc>
          <w:tcPr>
            <w:tcW w:w="13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5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      其他资金</w:t>
            </w:r>
          </w:p>
        </w:tc>
        <w:tc>
          <w:tcPr>
            <w:tcW w:w="17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3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8199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目标1：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val="en-US" w:eastAsia="zh-CN"/>
              </w:rPr>
              <w:t>开始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</w:rPr>
              <w:t>坝光展示厅的日常会议、参访接待，做好应急、保卫、保洁等工作，保障展示厅正常运转。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</w:rPr>
              <w:t>目标2：开展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eastAsia="zh-CN"/>
              </w:rPr>
              <w:t>项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</w:rPr>
              <w:t>坝光片区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val="en-US" w:eastAsia="zh-CN"/>
              </w:rPr>
              <w:t>相关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eastAsia="zh-CN"/>
              </w:rPr>
              <w:t>前期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</w:rPr>
              <w:t>课题研究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eastAsia="zh-CN"/>
              </w:rPr>
              <w:t>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val="en-US" w:eastAsia="zh-CN"/>
              </w:rPr>
              <w:t>完成5项课题报告，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</w:rPr>
              <w:t>完善片区战略定位、产业定位和功能体系。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</w:rPr>
              <w:t>：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val="en-US" w:eastAsia="zh-CN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</w:rPr>
              <w:t>坝光BIM数据与管理平台（一期）的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val="en-US" w:eastAsia="zh-CN"/>
              </w:rPr>
              <w:t>系统搭建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</w:rPr>
              <w:t>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eastAsia="zh-CN"/>
              </w:rPr>
              <w:t>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</w:rPr>
              <w:t>实现大鹏新区坝光片区BIM数据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val="en-US" w:eastAsia="zh-CN"/>
              </w:rPr>
              <w:t>管理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eastAsia="zh-CN"/>
              </w:rPr>
              <w:t>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</w:rPr>
              <w:t>统筹指导坝光开发建设，加快坝光开发建设构建深圳国际生物谷成片区开发管理新模式。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</w:rPr>
              <w:t>：20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val="en-US" w:eastAsia="zh-CN"/>
              </w:rPr>
              <w:t>19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</w:rPr>
              <w:t>年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eastAsia="zh-CN"/>
              </w:rPr>
              <w:t>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</w:rPr>
              <w:t>提供坝光片区监控点及相关后台数据存储分析、图像收集，加强、完善坝光片区的安全信息（红外线成像）管理，了解项目开发建设动态信息收集。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</w:rPr>
              <w:t>: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val="en-US" w:eastAsia="zh-CN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</w:rPr>
              <w:t>坝光核心启动区工程顾问及建筑师咨询服务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val="en-US" w:eastAsia="zh-CN"/>
              </w:rPr>
              <w:t>项目，开展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</w:rPr>
              <w:t>坝光片区第三方巡查工作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eastAsia="zh-CN"/>
              </w:rPr>
              <w:t>；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</w:rPr>
              <w:t>按要求组织和参加各类专题重大会议。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45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7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指标目标值</w:t>
            </w:r>
          </w:p>
        </w:tc>
        <w:tc>
          <w:tcPr>
            <w:tcW w:w="12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15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产出指标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17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展示厅接待活动人数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kern w:val="0"/>
                <w:sz w:val="20"/>
                <w:szCs w:val="20"/>
                <w:lang w:val="en-US" w:eastAsia="zh-CN"/>
              </w:rPr>
              <w:t>≥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200</w:t>
            </w:r>
            <w:r>
              <w:rPr>
                <w:rFonts w:hint="default" w:ascii="宋体" w:hAnsi="宋体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人次</w:t>
            </w:r>
          </w:p>
        </w:tc>
        <w:tc>
          <w:tcPr>
            <w:tcW w:w="12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2152人次</w:t>
            </w:r>
          </w:p>
        </w:tc>
        <w:tc>
          <w:tcPr>
            <w:tcW w:w="15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完成课题项目成果数量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kern w:val="0"/>
                <w:sz w:val="20"/>
                <w:szCs w:val="20"/>
                <w:lang w:val="en-US" w:eastAsia="zh-CN"/>
              </w:rPr>
              <w:t>≥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5篇</w:t>
            </w:r>
          </w:p>
        </w:tc>
        <w:tc>
          <w:tcPr>
            <w:tcW w:w="12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5篇</w:t>
            </w:r>
          </w:p>
        </w:tc>
        <w:tc>
          <w:tcPr>
            <w:tcW w:w="15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BIM系统开发数量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kern w:val="0"/>
                <w:sz w:val="20"/>
                <w:szCs w:val="20"/>
                <w:lang w:val="en-US" w:eastAsia="zh-CN"/>
              </w:rPr>
              <w:t>≥1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个</w:t>
            </w:r>
            <w:r>
              <w:rPr>
                <w:rFonts w:hint="default" w:ascii="宋体" w:hAnsi="宋体" w:cs="宋体"/>
                <w:kern w:val="0"/>
                <w:sz w:val="20"/>
                <w:szCs w:val="20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套</w:t>
            </w:r>
          </w:p>
        </w:tc>
        <w:tc>
          <w:tcPr>
            <w:tcW w:w="12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1个</w:t>
            </w:r>
            <w:r>
              <w:rPr>
                <w:rFonts w:hint="default" w:ascii="宋体" w:hAnsi="宋体" w:cs="宋体"/>
                <w:kern w:val="0"/>
                <w:sz w:val="20"/>
                <w:szCs w:val="20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套</w:t>
            </w:r>
          </w:p>
        </w:tc>
        <w:tc>
          <w:tcPr>
            <w:tcW w:w="15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租赁监控设备数量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kern w:val="0"/>
                <w:sz w:val="20"/>
                <w:szCs w:val="20"/>
                <w:lang w:val="en-US" w:eastAsia="zh-CN"/>
              </w:rPr>
              <w:t>≥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2套</w:t>
            </w:r>
          </w:p>
        </w:tc>
        <w:tc>
          <w:tcPr>
            <w:tcW w:w="12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2套</w:t>
            </w:r>
          </w:p>
        </w:tc>
        <w:tc>
          <w:tcPr>
            <w:tcW w:w="15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相关后台图像存储及运营维护服务的监控设备数量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kern w:val="0"/>
                <w:sz w:val="20"/>
                <w:szCs w:val="20"/>
                <w:lang w:val="en-US" w:eastAsia="zh-CN"/>
              </w:rPr>
              <w:t>≥1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套</w:t>
            </w:r>
          </w:p>
        </w:tc>
        <w:tc>
          <w:tcPr>
            <w:tcW w:w="12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1套</w:t>
            </w:r>
          </w:p>
        </w:tc>
        <w:tc>
          <w:tcPr>
            <w:tcW w:w="15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组织各类专题重大会议次数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kern w:val="0"/>
                <w:sz w:val="20"/>
                <w:szCs w:val="20"/>
                <w:lang w:val="en-US" w:eastAsia="zh-CN"/>
              </w:rPr>
              <w:t>≥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12</w:t>
            </w:r>
            <w:r>
              <w:rPr>
                <w:rFonts w:hint="default" w:ascii="宋体" w:hAnsi="宋体" w:cs="宋体"/>
                <w:kern w:val="0"/>
                <w:sz w:val="20"/>
                <w:szCs w:val="20"/>
                <w:lang w:val="en-US" w:eastAsia="zh-CN"/>
              </w:rPr>
              <w:t>次</w:t>
            </w:r>
          </w:p>
        </w:tc>
        <w:tc>
          <w:tcPr>
            <w:tcW w:w="12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25次</w:t>
            </w:r>
          </w:p>
        </w:tc>
        <w:tc>
          <w:tcPr>
            <w:tcW w:w="15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cs="宋体"/>
                <w:kern w:val="0"/>
                <w:sz w:val="20"/>
                <w:szCs w:val="20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质量</w:t>
            </w:r>
          </w:p>
        </w:tc>
        <w:tc>
          <w:tcPr>
            <w:tcW w:w="17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监控设备的正常运行率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kern w:val="0"/>
                <w:sz w:val="20"/>
                <w:szCs w:val="20"/>
                <w:lang w:val="en-US" w:eastAsia="zh-CN"/>
              </w:rPr>
              <w:t>≥70%</w:t>
            </w:r>
          </w:p>
        </w:tc>
        <w:tc>
          <w:tcPr>
            <w:tcW w:w="12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5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项目结题成果合格率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2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5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工作时效</w:t>
            </w:r>
          </w:p>
        </w:tc>
        <w:tc>
          <w:tcPr>
            <w:tcW w:w="17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BIM平台建设工作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进度完成及时性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及时</w:t>
            </w:r>
          </w:p>
        </w:tc>
        <w:tc>
          <w:tcPr>
            <w:tcW w:w="12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及时</w:t>
            </w:r>
          </w:p>
        </w:tc>
        <w:tc>
          <w:tcPr>
            <w:tcW w:w="15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监控设备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维护工作完成时间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2019年第四季度前</w:t>
            </w:r>
          </w:p>
        </w:tc>
        <w:tc>
          <w:tcPr>
            <w:tcW w:w="12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按时完成</w:t>
            </w:r>
          </w:p>
        </w:tc>
        <w:tc>
          <w:tcPr>
            <w:tcW w:w="15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合同绩效评价及费用支付频率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及时开展</w:t>
            </w:r>
          </w:p>
        </w:tc>
        <w:tc>
          <w:tcPr>
            <w:tcW w:w="12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及时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开展</w:t>
            </w:r>
          </w:p>
        </w:tc>
        <w:tc>
          <w:tcPr>
            <w:tcW w:w="15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经济效益</w:t>
            </w:r>
          </w:p>
        </w:tc>
        <w:tc>
          <w:tcPr>
            <w:tcW w:w="17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不适用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2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17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国际生物谷品牌影响力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有效提升</w:t>
            </w:r>
          </w:p>
        </w:tc>
        <w:tc>
          <w:tcPr>
            <w:tcW w:w="12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有效提升</w:t>
            </w:r>
          </w:p>
        </w:tc>
        <w:tc>
          <w:tcPr>
            <w:tcW w:w="15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坝光片区安全信息管理水平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有所提升</w:t>
            </w:r>
          </w:p>
        </w:tc>
        <w:tc>
          <w:tcPr>
            <w:tcW w:w="12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有所提升</w:t>
            </w:r>
          </w:p>
        </w:tc>
        <w:tc>
          <w:tcPr>
            <w:tcW w:w="15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坝光开发建设水平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有效提升</w:t>
            </w:r>
          </w:p>
        </w:tc>
        <w:tc>
          <w:tcPr>
            <w:tcW w:w="12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有效提升</w:t>
            </w:r>
          </w:p>
        </w:tc>
        <w:tc>
          <w:tcPr>
            <w:tcW w:w="15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生态效益</w:t>
            </w:r>
          </w:p>
        </w:tc>
        <w:tc>
          <w:tcPr>
            <w:tcW w:w="17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不适用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2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7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展示厅管理制度健全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性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健全</w:t>
            </w:r>
          </w:p>
        </w:tc>
        <w:tc>
          <w:tcPr>
            <w:tcW w:w="12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健全</w:t>
            </w:r>
          </w:p>
        </w:tc>
        <w:tc>
          <w:tcPr>
            <w:tcW w:w="15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坝光片区开发建设管理规范性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规范</w:t>
            </w:r>
          </w:p>
        </w:tc>
        <w:tc>
          <w:tcPr>
            <w:tcW w:w="12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健全</w:t>
            </w:r>
          </w:p>
        </w:tc>
        <w:tc>
          <w:tcPr>
            <w:tcW w:w="15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45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7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公众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满意度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kern w:val="0"/>
                <w:sz w:val="20"/>
                <w:szCs w:val="20"/>
                <w:lang w:val="en-US" w:eastAsia="zh-CN"/>
              </w:rPr>
              <w:t>≥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80分</w:t>
            </w:r>
          </w:p>
        </w:tc>
        <w:tc>
          <w:tcPr>
            <w:tcW w:w="12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87.1分</w:t>
            </w:r>
          </w:p>
        </w:tc>
        <w:tc>
          <w:tcPr>
            <w:tcW w:w="15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</w:tbl>
    <w:p>
      <w:pPr>
        <w:jc w:val="left"/>
        <w:rPr>
          <w:rFonts w:asciiTheme="minorEastAsia" w:hAnsiTheme="minorEastAsia" w:eastAsiaTheme="minorEastAsia"/>
          <w:sz w:val="20"/>
          <w:szCs w:val="20"/>
        </w:rPr>
      </w:pPr>
      <w:r>
        <w:rPr>
          <w:rFonts w:hint="eastAsia" w:asciiTheme="minorEastAsia" w:hAnsiTheme="minorEastAsia" w:eastAsiaTheme="minorEastAsia"/>
          <w:sz w:val="20"/>
          <w:szCs w:val="20"/>
        </w:rPr>
        <w:t>填表人：</w:t>
      </w:r>
      <w:r>
        <w:rPr>
          <w:rFonts w:hint="eastAsia" w:asciiTheme="minorEastAsia" w:hAnsiTheme="minorEastAsia" w:eastAsiaTheme="minorEastAsia"/>
          <w:sz w:val="20"/>
          <w:szCs w:val="20"/>
          <w:lang w:eastAsia="zh-CN"/>
        </w:rPr>
        <w:t>黄诗敏</w:t>
      </w:r>
      <w:r>
        <w:rPr>
          <w:rFonts w:hint="eastAsia" w:asciiTheme="minorEastAsia" w:hAnsiTheme="minorEastAsia" w:eastAsiaTheme="minorEastAsia"/>
          <w:sz w:val="20"/>
          <w:szCs w:val="20"/>
        </w:rPr>
        <w:t xml:space="preserve">                             </w:t>
      </w:r>
      <w:r>
        <w:rPr>
          <w:rFonts w:asciiTheme="minorEastAsia" w:hAnsiTheme="minorEastAsia" w:eastAsiaTheme="minorEastAsia"/>
          <w:sz w:val="20"/>
          <w:szCs w:val="20"/>
        </w:rPr>
        <w:t xml:space="preserve">  </w:t>
      </w:r>
      <w:r>
        <w:rPr>
          <w:rFonts w:hint="eastAsia" w:asciiTheme="minorEastAsia" w:hAnsiTheme="minorEastAsia" w:eastAsiaTheme="minorEastAsia"/>
          <w:sz w:val="20"/>
          <w:szCs w:val="20"/>
        </w:rPr>
        <w:t xml:space="preserve">  联系电话：0755-28333057</w:t>
      </w:r>
    </w:p>
    <w:p>
      <w:pPr>
        <w:rPr>
          <w:rFonts w:ascii="仿宋_GB2312" w:hAnsi="宋体" w:eastAsia="仿宋_GB2312" w:cs="宋体"/>
          <w:kern w:val="0"/>
          <w:sz w:val="24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007"/>
    <w:rsid w:val="000757DF"/>
    <w:rsid w:val="000E7B82"/>
    <w:rsid w:val="000F2700"/>
    <w:rsid w:val="001368CA"/>
    <w:rsid w:val="00137AC4"/>
    <w:rsid w:val="00186121"/>
    <w:rsid w:val="001F5AA4"/>
    <w:rsid w:val="00232E27"/>
    <w:rsid w:val="00282D6B"/>
    <w:rsid w:val="002D78FE"/>
    <w:rsid w:val="002E2A64"/>
    <w:rsid w:val="003274A7"/>
    <w:rsid w:val="003577C2"/>
    <w:rsid w:val="003B1900"/>
    <w:rsid w:val="003C6822"/>
    <w:rsid w:val="00447BDD"/>
    <w:rsid w:val="00476602"/>
    <w:rsid w:val="0049642C"/>
    <w:rsid w:val="004E7B04"/>
    <w:rsid w:val="005536C3"/>
    <w:rsid w:val="005B7007"/>
    <w:rsid w:val="005C793D"/>
    <w:rsid w:val="005D6FD8"/>
    <w:rsid w:val="006103E4"/>
    <w:rsid w:val="006A08E5"/>
    <w:rsid w:val="00726F07"/>
    <w:rsid w:val="007B306E"/>
    <w:rsid w:val="0080097D"/>
    <w:rsid w:val="00815DD3"/>
    <w:rsid w:val="008228E0"/>
    <w:rsid w:val="00847CA1"/>
    <w:rsid w:val="008D3C34"/>
    <w:rsid w:val="009C4492"/>
    <w:rsid w:val="00AA7E8E"/>
    <w:rsid w:val="00AC59DD"/>
    <w:rsid w:val="00B1034E"/>
    <w:rsid w:val="00B50779"/>
    <w:rsid w:val="00B82A05"/>
    <w:rsid w:val="00C702B8"/>
    <w:rsid w:val="00C85EF4"/>
    <w:rsid w:val="00CA695A"/>
    <w:rsid w:val="00CB7FE9"/>
    <w:rsid w:val="00CC7C71"/>
    <w:rsid w:val="00CD3D4D"/>
    <w:rsid w:val="00D86FE6"/>
    <w:rsid w:val="00D93A05"/>
    <w:rsid w:val="00E42EB6"/>
    <w:rsid w:val="00E60B1E"/>
    <w:rsid w:val="00E76DC9"/>
    <w:rsid w:val="00EB0E35"/>
    <w:rsid w:val="00ED7ED9"/>
    <w:rsid w:val="00EE5F56"/>
    <w:rsid w:val="00F12593"/>
    <w:rsid w:val="00F343F1"/>
    <w:rsid w:val="029F6EFD"/>
    <w:rsid w:val="05174FB8"/>
    <w:rsid w:val="09777FFF"/>
    <w:rsid w:val="09FF70CC"/>
    <w:rsid w:val="0F7738D6"/>
    <w:rsid w:val="116C4050"/>
    <w:rsid w:val="121154CD"/>
    <w:rsid w:val="13094057"/>
    <w:rsid w:val="16FD142C"/>
    <w:rsid w:val="17586998"/>
    <w:rsid w:val="1D1244F7"/>
    <w:rsid w:val="206A13BE"/>
    <w:rsid w:val="21146FF6"/>
    <w:rsid w:val="2A515C66"/>
    <w:rsid w:val="2D6336A7"/>
    <w:rsid w:val="2DB6376B"/>
    <w:rsid w:val="30C11C36"/>
    <w:rsid w:val="36540FE1"/>
    <w:rsid w:val="47E22DFB"/>
    <w:rsid w:val="53AC64CA"/>
    <w:rsid w:val="55414F86"/>
    <w:rsid w:val="55A7045E"/>
    <w:rsid w:val="5AEF2BA3"/>
    <w:rsid w:val="666F31C7"/>
    <w:rsid w:val="68DD1814"/>
    <w:rsid w:val="6BC3552F"/>
    <w:rsid w:val="72195DD9"/>
    <w:rsid w:val="726F4E36"/>
    <w:rsid w:val="738B4E46"/>
    <w:rsid w:val="74A841D9"/>
    <w:rsid w:val="77137045"/>
    <w:rsid w:val="79893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rFonts w:ascii="Calibri" w:hAnsi="Calibri"/>
      <w:kern w:val="2"/>
      <w:sz w:val="18"/>
      <w:szCs w:val="18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font1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2">
    <w:name w:val="font01"/>
    <w:basedOn w:val="6"/>
    <w:qFormat/>
    <w:uiPriority w:val="0"/>
    <w:rPr>
      <w:rFonts w:ascii="Arial" w:hAnsi="Arial" w:cs="Arial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161</Words>
  <Characters>922</Characters>
  <Lines>7</Lines>
  <Paragraphs>2</Paragraphs>
  <TotalTime>5</TotalTime>
  <ScaleCrop>false</ScaleCrop>
  <LinksUpToDate>false</LinksUpToDate>
  <CharactersWithSpaces>1081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2020-04-20T08:47:00Z</dcterms:created>
  <dc:creator>桂鑫</dc:creator>
  <cp:lastModifiedBy>黄诗敏</cp:lastModifiedBy>
  <cp:lastPrinted>2020-06-30T07:40:58Z</cp:lastPrinted>
  <dcterms:modified xsi:type="dcterms:W3CDTF">2020-06-30T07:41:02Z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