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32"/>
          <w:szCs w:val="32"/>
          <w:highlight w:val="none"/>
          <w:lang w:val="en-US" w:eastAsia="zh-CN"/>
        </w:rPr>
      </w:pPr>
      <w:bookmarkStart w:id="0" w:name="_Toc28135"/>
      <w:bookmarkStart w:id="1" w:name="_Toc11392"/>
      <w:bookmarkStart w:id="2" w:name="_Toc22335"/>
      <w:bookmarkStart w:id="3" w:name="_Toc29933"/>
      <w:bookmarkStart w:id="4" w:name="_Toc25194"/>
      <w:bookmarkStart w:id="5" w:name="_Toc6085"/>
    </w:p>
    <w:p>
      <w:pPr>
        <w:keepNext w:val="0"/>
        <w:keepLines w:val="0"/>
        <w:pageBreakBefore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大鹏新区辐射事故应急预案</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center"/>
        <w:textAlignment w:val="auto"/>
        <w:outlineLvl w:val="0"/>
        <w:rPr>
          <w:rFonts w:hint="eastAsia" w:ascii="方正小标宋简体" w:hAnsi="方正小标宋简体" w:eastAsia="方正小标宋简体" w:cs="方正小标宋简体"/>
          <w:b w:val="0"/>
          <w:bCs/>
          <w:color w:val="auto"/>
          <w:sz w:val="44"/>
          <w:szCs w:val="44"/>
          <w:lang w:val="en-US" w:eastAsia="zh-CN"/>
        </w:rPr>
      </w:pPr>
      <w:bookmarkStart w:id="6" w:name="_Toc8106"/>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2024年</w:t>
      </w:r>
      <w:r>
        <w:rPr>
          <w:rFonts w:hint="eastAsia" w:ascii="方正小标宋简体" w:hAnsi="方正小标宋简体" w:eastAsia="方正小标宋简体" w:cs="方正小标宋简体"/>
          <w:sz w:val="44"/>
          <w:szCs w:val="44"/>
          <w:highlight w:val="none"/>
        </w:rPr>
        <w:t>简</w:t>
      </w:r>
      <w:r>
        <w:rPr>
          <w:rFonts w:hint="eastAsia" w:ascii="方正小标宋简体" w:hAnsi="方正小标宋简体" w:eastAsia="方正小标宋简体" w:cs="方正小标宋简体"/>
          <w:sz w:val="44"/>
          <w:szCs w:val="44"/>
          <w:highlight w:val="none"/>
          <w:lang w:val="en-US" w:eastAsia="zh-CN"/>
        </w:rPr>
        <w:t>版</w:t>
      </w:r>
      <w:r>
        <w:rPr>
          <w:rFonts w:hint="eastAsia" w:ascii="方正小标宋简体" w:hAnsi="方正小标宋简体" w:eastAsia="方正小标宋简体" w:cs="方正小标宋简体"/>
          <w:sz w:val="44"/>
          <w:szCs w:val="44"/>
          <w:highlight w:val="none"/>
          <w:lang w:eastAsia="zh-CN"/>
        </w:rPr>
        <w:t>）</w:t>
      </w:r>
      <w:bookmarkEnd w:id="6"/>
    </w:p>
    <w:p>
      <w:pPr>
        <w:pStyle w:val="2"/>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pStyle w:val="4"/>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pStyle w:val="2"/>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pStyle w:val="4"/>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pStyle w:val="2"/>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pStyle w:val="4"/>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pStyle w:val="2"/>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rPr>
      </w:pPr>
    </w:p>
    <w:p>
      <w:pPr>
        <w:pStyle w:val="4"/>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tabs>
          <w:tab w:val="left" w:pos="1939"/>
        </w:tabs>
        <w:kinsoku/>
        <w:wordWrap/>
        <w:overflowPunct/>
        <w:topLinePunct w:val="0"/>
        <w:autoSpaceDE w:val="0"/>
        <w:autoSpaceDN w:val="0"/>
        <w:bidi w:val="0"/>
        <w:adjustRightInd/>
        <w:snapToGrid/>
        <w:spacing w:line="560" w:lineRule="exact"/>
        <w:jc w:val="center"/>
        <w:textAlignment w:val="auto"/>
        <w:outlineLvl w:val="9"/>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深圳市生态环境局大鹏管理局</w:t>
      </w:r>
      <w:bookmarkStart w:id="7" w:name="_Toc31278"/>
    </w:p>
    <w:p>
      <w:pPr>
        <w:pStyle w:val="7"/>
        <w:keepNext w:val="0"/>
        <w:keepLines w:val="0"/>
        <w:pageBreakBefore w:val="0"/>
        <w:widowControl w:val="0"/>
        <w:tabs>
          <w:tab w:val="left" w:pos="1939"/>
        </w:tabs>
        <w:kinsoku/>
        <w:wordWrap/>
        <w:overflowPunct/>
        <w:topLinePunct w:val="0"/>
        <w:autoSpaceDE w:val="0"/>
        <w:autoSpaceDN w:val="0"/>
        <w:bidi w:val="0"/>
        <w:adjustRightInd/>
        <w:snapToGrid/>
        <w:spacing w:line="560" w:lineRule="exact"/>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highlight w:val="none"/>
        </w:rPr>
        <w:t xml:space="preserve">二 O 二 </w:t>
      </w:r>
      <w:r>
        <w:rPr>
          <w:rFonts w:hint="eastAsia" w:ascii="仿宋_GB2312" w:hAnsi="仿宋_GB2312" w:eastAsia="仿宋_GB2312" w:cs="仿宋_GB2312"/>
          <w:b/>
          <w:bCs w:val="0"/>
          <w:color w:val="auto"/>
          <w:sz w:val="32"/>
          <w:szCs w:val="32"/>
          <w:highlight w:val="none"/>
          <w:lang w:eastAsia="zh-CN"/>
        </w:rPr>
        <w:t>四</w:t>
      </w:r>
      <w:r>
        <w:rPr>
          <w:rFonts w:hint="eastAsia" w:ascii="仿宋_GB2312" w:hAnsi="仿宋_GB2312" w:eastAsia="仿宋_GB2312" w:cs="仿宋_GB2312"/>
          <w:b/>
          <w:bCs w:val="0"/>
          <w:color w:val="auto"/>
          <w:sz w:val="32"/>
          <w:szCs w:val="32"/>
          <w:highlight w:val="none"/>
        </w:rPr>
        <w:t xml:space="preserve"> 年</w:t>
      </w:r>
      <w:r>
        <w:rPr>
          <w:rFonts w:hint="eastAsia" w:ascii="仿宋_GB2312" w:hAnsi="仿宋_GB2312" w:eastAsia="仿宋_GB2312" w:cs="仿宋_GB2312"/>
          <w:b/>
          <w:bCs w:val="0"/>
          <w:color w:val="auto"/>
          <w:sz w:val="32"/>
          <w:szCs w:val="32"/>
          <w:highlight w:val="none"/>
          <w:lang w:val="en-US" w:eastAsia="zh-CN"/>
        </w:rPr>
        <w:t xml:space="preserve"> 六 </w:t>
      </w:r>
      <w:r>
        <w:rPr>
          <w:rFonts w:hint="eastAsia" w:ascii="仿宋_GB2312" w:hAnsi="仿宋_GB2312" w:eastAsia="仿宋_GB2312" w:cs="仿宋_GB2312"/>
          <w:b/>
          <w:bCs w:val="0"/>
          <w:color w:val="auto"/>
          <w:sz w:val="32"/>
          <w:szCs w:val="32"/>
          <w:highlight w:val="none"/>
        </w:rPr>
        <w:t>月</w:t>
      </w:r>
      <w:bookmarkEnd w:id="7"/>
    </w:p>
    <w:p>
      <w:pPr>
        <w:keepNext w:val="0"/>
        <w:keepLines w:val="0"/>
        <w:pageBreakBefore w:val="0"/>
        <w:kinsoku/>
        <w:wordWrap/>
        <w:overflowPunct/>
        <w:topLinePunct w:val="0"/>
        <w:bidi w:val="0"/>
        <w:adjustRightInd/>
        <w:snapToGrid/>
        <w:spacing w:line="560" w:lineRule="exact"/>
        <w:jc w:val="both"/>
        <w:textAlignment w:val="auto"/>
        <w:rPr>
          <w:rFonts w:hint="eastAsia" w:ascii="仿宋_GB2312" w:hAnsi="仿宋_GB2312" w:eastAsia="仿宋_GB2312" w:cs="仿宋_GB2312"/>
          <w:color w:val="auto"/>
          <w:sz w:val="32"/>
          <w:szCs w:val="32"/>
        </w:rPr>
        <w:sectPr>
          <w:pgSz w:w="11910" w:h="16840"/>
          <w:pgMar w:top="1440" w:right="1803" w:bottom="1440" w:left="1803" w:header="720" w:footer="720" w:gutter="0"/>
          <w:pgNumType w:fmt="decimal"/>
          <w:cols w:space="0" w:num="1"/>
          <w:rtlGutter w:val="0"/>
          <w:docGrid w:linePitch="0" w:charSpace="0"/>
        </w:sectPr>
      </w:pPr>
    </w:p>
    <w:p>
      <w:pPr>
        <w:keepNext w:val="0"/>
        <w:keepLines w:val="0"/>
        <w:pageBreakBefore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32"/>
          <w:szCs w:val="32"/>
        </w:rPr>
      </w:pPr>
    </w:p>
    <w:sdt>
      <w:sdtPr>
        <w:rPr>
          <w:rFonts w:hint="eastAsia" w:ascii="仿宋_GB2312" w:hAnsi="仿宋_GB2312" w:eastAsia="仿宋_GB2312" w:cs="仿宋_GB2312"/>
          <w:kern w:val="2"/>
          <w:sz w:val="32"/>
          <w:szCs w:val="32"/>
          <w:lang w:val="en-US" w:eastAsia="zh-CN" w:bidi="ar-SA"/>
        </w:rPr>
        <w:id w:val="147452315"/>
        <w15:color w:val="DBDBDB"/>
        <w:docPartObj>
          <w:docPartGallery w:val="Table of Contents"/>
          <w:docPartUnique/>
        </w:docPartObj>
      </w:sdtPr>
      <w:sdtEndPr>
        <w:rPr>
          <w:rFonts w:hint="eastAsia" w:ascii="仿宋_GB2312" w:hAnsi="仿宋_GB2312" w:eastAsia="仿宋_GB2312" w:cs="仿宋_GB2312"/>
          <w:b/>
          <w:kern w:val="2"/>
          <w:sz w:val="32"/>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pPr>
            <w:pStyle w:val="10"/>
            <w:tabs>
              <w:tab w:val="right" w:leader="dot" w:pos="8845"/>
            </w:tabs>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TOC \o "1-2" \h \u </w:instrText>
          </w:r>
          <w:r>
            <w:rPr>
              <w:rFonts w:hint="eastAsia" w:ascii="仿宋_GB2312" w:hAnsi="仿宋_GB2312" w:eastAsia="仿宋_GB2312" w:cs="仿宋_GB2312"/>
              <w:b w:val="0"/>
              <w:bCs w:val="0"/>
              <w:sz w:val="32"/>
              <w:szCs w:val="32"/>
            </w:rPr>
            <w:fldChar w:fldCharType="separate"/>
          </w:r>
        </w:p>
        <w:p>
          <w:pPr>
            <w:pStyle w:val="10"/>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_Toc5473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highlight w:val="none"/>
            </w:rPr>
            <w:t>一、</w:t>
          </w:r>
          <w:r>
            <w:rPr>
              <w:rFonts w:hint="eastAsia" w:ascii="仿宋_GB2312" w:hAnsi="仿宋_GB2312" w:eastAsia="仿宋_GB2312" w:cs="仿宋_GB2312"/>
              <w:bCs/>
              <w:sz w:val="32"/>
              <w:szCs w:val="32"/>
              <w:highlight w:val="none"/>
              <w:lang w:val="en-US" w:eastAsia="zh-CN"/>
            </w:rPr>
            <w:t>适用</w:t>
          </w:r>
          <w:r>
            <w:rPr>
              <w:rFonts w:hint="eastAsia" w:ascii="仿宋_GB2312" w:hAnsi="仿宋_GB2312" w:eastAsia="仿宋_GB2312" w:cs="仿宋_GB2312"/>
              <w:bCs/>
              <w:sz w:val="32"/>
              <w:szCs w:val="32"/>
              <w:highlight w:val="none"/>
            </w:rPr>
            <w:t>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0"/>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_Toc21750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二、</w:t>
          </w:r>
          <w:r>
            <w:rPr>
              <w:rFonts w:hint="eastAsia" w:ascii="仿宋_GB2312" w:hAnsi="仿宋_GB2312" w:eastAsia="仿宋_GB2312" w:cs="仿宋_GB2312"/>
              <w:bCs/>
              <w:sz w:val="32"/>
              <w:szCs w:val="32"/>
              <w:highlight w:val="none"/>
              <w:lang w:val="en-US" w:eastAsia="zh-CN"/>
            </w:rPr>
            <w:t>辐射事故</w:t>
          </w:r>
          <w:r>
            <w:rPr>
              <w:rFonts w:hint="eastAsia" w:ascii="仿宋_GB2312" w:hAnsi="仿宋_GB2312" w:eastAsia="仿宋_GB2312" w:cs="仿宋_GB2312"/>
              <w:bCs/>
              <w:sz w:val="32"/>
              <w:szCs w:val="32"/>
              <w:highlight w:val="none"/>
            </w:rPr>
            <w:t>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_Toc21750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0"/>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_Toc4555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highlight w:val="none"/>
              <w:lang w:val="en-US" w:eastAsia="zh-CN"/>
            </w:rPr>
            <w:t>三、应急指挥部组织架构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0"/>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_Toc14387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highlight w:val="none"/>
              <w:lang w:val="en-US" w:eastAsia="zh-CN"/>
            </w:rPr>
            <w:t>四、现场指挥部组织架构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0"/>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_Toc834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highlight w:val="none"/>
              <w:lang w:eastAsia="zh-CN"/>
            </w:rPr>
            <w:t>五、</w:t>
          </w:r>
          <w:r>
            <w:rPr>
              <w:rFonts w:hint="eastAsia" w:ascii="仿宋_GB2312" w:hAnsi="仿宋_GB2312" w:eastAsia="仿宋_GB2312" w:cs="仿宋_GB2312"/>
              <w:bCs/>
              <w:sz w:val="32"/>
              <w:szCs w:val="32"/>
              <w:highlight w:val="none"/>
            </w:rPr>
            <w:t>新区辐射应急指挥部各成员单位职责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0"/>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_Toc23488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highlight w:val="none"/>
              <w:lang w:eastAsia="zh-CN"/>
            </w:rPr>
            <w:t>六、现场指挥部各</w:t>
          </w:r>
          <w:r>
            <w:rPr>
              <w:rFonts w:hint="eastAsia" w:ascii="仿宋_GB2312" w:hAnsi="仿宋_GB2312" w:eastAsia="仿宋_GB2312" w:cs="仿宋_GB2312"/>
              <w:bCs/>
              <w:sz w:val="32"/>
              <w:szCs w:val="32"/>
              <w:highlight w:val="none"/>
              <w:lang w:val="en-US" w:eastAsia="zh-CN"/>
            </w:rPr>
            <w:t>应急</w:t>
          </w:r>
          <w:r>
            <w:rPr>
              <w:rFonts w:hint="eastAsia" w:ascii="仿宋_GB2312" w:hAnsi="仿宋_GB2312" w:eastAsia="仿宋_GB2312" w:cs="仿宋_GB2312"/>
              <w:bCs/>
              <w:sz w:val="32"/>
              <w:szCs w:val="32"/>
              <w:highlight w:val="none"/>
              <w:lang w:eastAsia="zh-CN"/>
            </w:rPr>
            <w:t>功能组职责分工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_Toc23488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0"/>
            <w:tabs>
              <w:tab w:val="right" w:leader="dot" w:pos="8845"/>
            </w:tabs>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_Toc5304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highlight w:val="none"/>
              <w:lang w:eastAsia="zh-CN"/>
            </w:rPr>
            <w:t>七、辐射事故应急响应工作流程图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Cs w:val="0"/>
              <w:szCs w:val="32"/>
            </w:rPr>
            <w:fldChar w:fldCharType="end"/>
          </w:r>
        </w:p>
      </w:sdtContent>
    </w:sdt>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tabs>
          <w:tab w:val="left" w:pos="4974"/>
        </w:tabs>
        <w:kinsoku/>
        <w:wordWrap/>
        <w:overflowPunct/>
        <w:topLinePunct w:val="0"/>
        <w:bidi w:val="0"/>
        <w:adjustRightInd/>
        <w:snapToGrid/>
        <w:spacing w:line="560" w:lineRule="exact"/>
        <w:jc w:val="left"/>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sz w:val="32"/>
          <w:szCs w:val="32"/>
          <w:lang w:val="en-US" w:eastAsia="zh-CN"/>
        </w:rPr>
        <w:tab/>
      </w:r>
    </w:p>
    <w:bookmarkEnd w:id="0"/>
    <w:bookmarkEnd w:id="1"/>
    <w:bookmarkEnd w:id="2"/>
    <w:bookmarkEnd w:id="3"/>
    <w:bookmarkEnd w:id="4"/>
    <w:bookmarkEnd w:id="5"/>
    <w:p>
      <w:pPr>
        <w:pStyle w:val="7"/>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bCs/>
          <w:sz w:val="32"/>
          <w:szCs w:val="32"/>
          <w:highlight w:val="none"/>
        </w:rPr>
      </w:pPr>
      <w:bookmarkStart w:id="8" w:name="_Toc5473"/>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val="en-US" w:eastAsia="zh-CN"/>
        </w:rPr>
        <w:t>适用</w:t>
      </w:r>
      <w:r>
        <w:rPr>
          <w:rFonts w:hint="eastAsia" w:ascii="仿宋_GB2312" w:hAnsi="仿宋_GB2312" w:eastAsia="仿宋_GB2312" w:cs="仿宋_GB2312"/>
          <w:b/>
          <w:bCs/>
          <w:sz w:val="32"/>
          <w:szCs w:val="32"/>
          <w:highlight w:val="none"/>
        </w:rPr>
        <w:t>范围</w:t>
      </w:r>
      <w:bookmarkEnd w:id="8"/>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eastAsia="zh-CN"/>
        </w:rPr>
      </w:pPr>
      <w:r>
        <w:rPr>
          <w:rFonts w:hint="eastAsia" w:ascii="仿宋_GB2312" w:hAnsi="仿宋_GB2312" w:eastAsia="仿宋_GB2312" w:cs="仿宋_GB2312"/>
          <w:color w:val="auto"/>
          <w:spacing w:val="3"/>
          <w:sz w:val="28"/>
          <w:szCs w:val="28"/>
          <w:highlight w:val="none"/>
          <w:lang w:val="en-US"/>
        </w:rPr>
        <w:t>本预案适用于深圳市大鹏新区区域</w:t>
      </w:r>
      <w:r>
        <w:rPr>
          <w:rFonts w:hint="eastAsia" w:ascii="仿宋_GB2312" w:hAnsi="仿宋_GB2312" w:eastAsia="仿宋_GB2312" w:cs="仿宋_GB2312"/>
          <w:color w:val="auto"/>
          <w:spacing w:val="3"/>
          <w:sz w:val="28"/>
          <w:szCs w:val="28"/>
          <w:highlight w:val="none"/>
          <w:lang w:val="en-US" w:eastAsia="zh-CN"/>
        </w:rPr>
        <w:t>内下列设施或活动的放射源</w:t>
      </w:r>
      <w:r>
        <w:rPr>
          <w:rFonts w:hint="eastAsia" w:ascii="仿宋_GB2312" w:hAnsi="仿宋_GB2312" w:eastAsia="仿宋_GB2312" w:cs="仿宋_GB2312"/>
          <w:color w:val="auto"/>
          <w:spacing w:val="3"/>
          <w:sz w:val="28"/>
          <w:szCs w:val="28"/>
          <w:highlight w:val="none"/>
          <w:lang w:val="en-US"/>
        </w:rPr>
        <w:t>丢失、被盗、失控，或者放射性同位素和射线装置失控导致人员受到意外的异常照射，或者造成环境放射性污染的应急准备与响应。</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r>
        <w:rPr>
          <w:rFonts w:hint="eastAsia" w:ascii="仿宋_GB2312" w:hAnsi="仿宋_GB2312" w:eastAsia="仿宋_GB2312" w:cs="仿宋_GB2312"/>
          <w:color w:val="auto"/>
          <w:spacing w:val="3"/>
          <w:sz w:val="28"/>
          <w:szCs w:val="28"/>
          <w:highlight w:val="none"/>
          <w:lang w:val="en-US"/>
        </w:rPr>
        <w:t>（1）核技术利用；</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r>
        <w:rPr>
          <w:rFonts w:hint="eastAsia" w:ascii="仿宋_GB2312" w:hAnsi="仿宋_GB2312" w:eastAsia="仿宋_GB2312" w:cs="仿宋_GB2312"/>
          <w:color w:val="auto"/>
          <w:spacing w:val="3"/>
          <w:sz w:val="28"/>
          <w:szCs w:val="28"/>
          <w:highlight w:val="none"/>
          <w:lang w:val="en-US"/>
        </w:rPr>
        <w:t>（2）放射性物品运输；</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r>
        <w:rPr>
          <w:rFonts w:hint="eastAsia" w:ascii="仿宋_GB2312" w:hAnsi="仿宋_GB2312" w:eastAsia="仿宋_GB2312" w:cs="仿宋_GB2312"/>
          <w:color w:val="auto"/>
          <w:spacing w:val="3"/>
          <w:sz w:val="28"/>
          <w:szCs w:val="28"/>
          <w:highlight w:val="none"/>
          <w:lang w:val="en-US"/>
        </w:rPr>
        <w:t>（3）放射性废物的处理、贮存和处置。</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r>
        <w:rPr>
          <w:rFonts w:hint="eastAsia" w:ascii="仿宋_GB2312" w:hAnsi="仿宋_GB2312" w:eastAsia="仿宋_GB2312" w:cs="仿宋_GB2312"/>
          <w:color w:val="auto"/>
          <w:spacing w:val="3"/>
          <w:sz w:val="28"/>
          <w:szCs w:val="28"/>
          <w:highlight w:val="none"/>
          <w:lang w:val="en-US"/>
        </w:rPr>
        <w:t>国内外航天器在深圳市大鹏新区区域内坠落造成的环境放射性污染事件、境外核与辐射事故等可能对</w:t>
      </w:r>
      <w:r>
        <w:rPr>
          <w:rFonts w:hint="eastAsia" w:ascii="仿宋_GB2312" w:hAnsi="仿宋_GB2312" w:eastAsia="仿宋_GB2312" w:cs="仿宋_GB2312"/>
          <w:color w:val="auto"/>
          <w:spacing w:val="3"/>
          <w:sz w:val="28"/>
          <w:szCs w:val="28"/>
          <w:highlight w:val="none"/>
          <w:lang w:val="en-US" w:eastAsia="zh-CN"/>
        </w:rPr>
        <w:t>新区</w:t>
      </w:r>
      <w:r>
        <w:rPr>
          <w:rFonts w:hint="eastAsia" w:ascii="仿宋_GB2312" w:hAnsi="仿宋_GB2312" w:eastAsia="仿宋_GB2312" w:cs="仿宋_GB2312"/>
          <w:color w:val="auto"/>
          <w:spacing w:val="3"/>
          <w:sz w:val="28"/>
          <w:szCs w:val="28"/>
          <w:highlight w:val="none"/>
          <w:lang w:val="en-US"/>
        </w:rPr>
        <w:t>环境造成辐射影响的应对，参照本预案执行。</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r>
        <w:rPr>
          <w:rFonts w:hint="eastAsia" w:ascii="仿宋_GB2312" w:hAnsi="仿宋_GB2312" w:eastAsia="仿宋_GB2312" w:cs="仿宋_GB2312"/>
          <w:color w:val="auto"/>
          <w:spacing w:val="3"/>
          <w:sz w:val="28"/>
          <w:szCs w:val="28"/>
          <w:highlight w:val="none"/>
          <w:lang w:val="en-US"/>
        </w:rPr>
        <w:t>区域内发现无主或未经许可的放射性物品，未造成人员受到异常照射或环境放射性污染的，参照本预案上报信息，但不以辐射事故论。</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r>
        <w:rPr>
          <w:rFonts w:hint="eastAsia" w:ascii="仿宋_GB2312" w:hAnsi="仿宋_GB2312" w:eastAsia="仿宋_GB2312" w:cs="仿宋_GB2312"/>
          <w:color w:val="auto"/>
          <w:spacing w:val="3"/>
          <w:sz w:val="28"/>
          <w:szCs w:val="28"/>
          <w:highlight w:val="none"/>
          <w:lang w:val="en-US" w:eastAsia="zh-CN"/>
        </w:rPr>
        <w:t>核事故不属于本预案范围。</w:t>
      </w:r>
    </w:p>
    <w:p>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r>
        <w:rPr>
          <w:rFonts w:hint="eastAsia" w:ascii="仿宋_GB2312" w:hAnsi="仿宋_GB2312" w:eastAsia="仿宋_GB2312" w:cs="仿宋_GB2312"/>
          <w:color w:val="auto"/>
          <w:spacing w:val="3"/>
          <w:sz w:val="28"/>
          <w:szCs w:val="28"/>
          <w:highlight w:val="none"/>
          <w:lang w:val="en-US"/>
        </w:rPr>
        <w:t>乏燃料运输造成的环境污染事故参照《</w:t>
      </w:r>
      <w:bookmarkStart w:id="9" w:name="_Toc2071035464"/>
      <w:r>
        <w:rPr>
          <w:rFonts w:hint="eastAsia" w:ascii="仿宋_GB2312" w:hAnsi="仿宋_GB2312" w:eastAsia="仿宋_GB2312" w:cs="仿宋_GB2312"/>
          <w:color w:val="auto"/>
          <w:spacing w:val="3"/>
          <w:sz w:val="28"/>
          <w:szCs w:val="28"/>
          <w:highlight w:val="none"/>
          <w:lang w:val="en-US"/>
        </w:rPr>
        <w:t>深圳市核电站核事故场外应急预案</w:t>
      </w:r>
      <w:bookmarkEnd w:id="9"/>
      <w:r>
        <w:rPr>
          <w:rFonts w:hint="eastAsia" w:ascii="仿宋_GB2312" w:hAnsi="仿宋_GB2312" w:eastAsia="仿宋_GB2312" w:cs="仿宋_GB2312"/>
          <w:color w:val="auto"/>
          <w:spacing w:val="3"/>
          <w:sz w:val="28"/>
          <w:szCs w:val="28"/>
          <w:highlight w:val="none"/>
          <w:lang w:val="en-US"/>
        </w:rPr>
        <w:t>》的相关规定执行。</w:t>
      </w:r>
    </w:p>
    <w:p>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p>
    <w:p>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p>
    <w:p>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p>
    <w:p>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p>
    <w:p>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rPr>
      </w:pPr>
    </w:p>
    <w:p>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572" w:firstLineChars="200"/>
        <w:jc w:val="both"/>
        <w:textAlignment w:val="auto"/>
        <w:rPr>
          <w:rFonts w:hint="eastAsia" w:ascii="仿宋_GB2312" w:hAnsi="仿宋_GB2312" w:eastAsia="仿宋_GB2312" w:cs="仿宋_GB2312"/>
          <w:color w:val="auto"/>
          <w:spacing w:val="3"/>
          <w:sz w:val="28"/>
          <w:szCs w:val="28"/>
          <w:highlight w:val="none"/>
          <w:lang w:val="en-US" w:eastAsia="zh-CN"/>
        </w:rPr>
      </w:pPr>
    </w:p>
    <w:p>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bCs/>
          <w:sz w:val="32"/>
          <w:szCs w:val="32"/>
          <w:highlight w:val="none"/>
        </w:rPr>
      </w:pPr>
      <w:bookmarkStart w:id="10" w:name="_Toc21750"/>
      <w:r>
        <w:rPr>
          <w:rFonts w:hint="eastAsia" w:ascii="仿宋_GB2312" w:hAnsi="仿宋_GB2312" w:eastAsia="仿宋_GB2312" w:cs="仿宋_GB2312"/>
          <w:b/>
          <w:bCs/>
          <w:sz w:val="32"/>
          <w:szCs w:val="32"/>
          <w:highlight w:val="none"/>
          <w:lang w:val="en-US" w:eastAsia="zh-CN"/>
        </w:rPr>
        <w:t>辐射事故</w:t>
      </w:r>
      <w:r>
        <w:rPr>
          <w:rFonts w:hint="eastAsia" w:ascii="仿宋_GB2312" w:hAnsi="仿宋_GB2312" w:eastAsia="仿宋_GB2312" w:cs="仿宋_GB2312"/>
          <w:b/>
          <w:bCs/>
          <w:sz w:val="32"/>
          <w:szCs w:val="32"/>
          <w:highlight w:val="none"/>
        </w:rPr>
        <w:t>分级</w:t>
      </w:r>
      <w:bookmarkEnd w:id="10"/>
    </w:p>
    <w:tbl>
      <w:tblPr>
        <w:tblStyle w:val="11"/>
        <w:tblW w:w="9735" w:type="dxa"/>
        <w:jc w:val="center"/>
        <w:tblLayout w:type="fixed"/>
        <w:tblCellMar>
          <w:top w:w="0" w:type="dxa"/>
          <w:left w:w="108" w:type="dxa"/>
          <w:bottom w:w="0" w:type="dxa"/>
          <w:right w:w="108" w:type="dxa"/>
        </w:tblCellMar>
      </w:tblPr>
      <w:tblGrid>
        <w:gridCol w:w="1527"/>
        <w:gridCol w:w="8208"/>
      </w:tblGrid>
      <w:tr>
        <w:tblPrEx>
          <w:tblCellMar>
            <w:top w:w="0" w:type="dxa"/>
            <w:left w:w="108" w:type="dxa"/>
            <w:bottom w:w="0" w:type="dxa"/>
            <w:right w:w="108" w:type="dxa"/>
          </w:tblCellMar>
        </w:tblPrEx>
        <w:trPr>
          <w:trHeight w:val="567" w:hRule="exact"/>
          <w:jc w:val="center"/>
        </w:trPr>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突发事件级别</w:t>
            </w:r>
          </w:p>
        </w:tc>
        <w:tc>
          <w:tcPr>
            <w:tcW w:w="820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分级标准</w:t>
            </w:r>
          </w:p>
        </w:tc>
      </w:tr>
      <w:tr>
        <w:tblPrEx>
          <w:tblCellMar>
            <w:top w:w="0" w:type="dxa"/>
            <w:left w:w="108" w:type="dxa"/>
            <w:bottom w:w="0" w:type="dxa"/>
            <w:right w:w="108" w:type="dxa"/>
          </w:tblCellMar>
        </w:tblPrEx>
        <w:trPr>
          <w:trHeight w:val="2910" w:hRule="exact"/>
          <w:jc w:val="center"/>
        </w:trPr>
        <w:tc>
          <w:tcPr>
            <w:tcW w:w="152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特别重大辐射事故</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(Ⅰ级)</w:t>
            </w:r>
          </w:p>
        </w:tc>
        <w:tc>
          <w:tcPr>
            <w:tcW w:w="8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Ⅰ类、Ⅱ类放射源丢失、被盗、失控，造成大范围严重辐射污染后果；</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放射性同位素和射线装置失控导致3人以上（含3人）急性死亡</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放射性物质泄漏，造成大范围辐射污染后果；</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对</w:t>
            </w:r>
            <w:r>
              <w:rPr>
                <w:rFonts w:hint="eastAsia" w:ascii="仿宋_GB2312" w:hAnsi="仿宋_GB2312" w:eastAsia="仿宋_GB2312" w:cs="仿宋_GB2312"/>
                <w:color w:val="000000"/>
                <w:kern w:val="0"/>
                <w:sz w:val="28"/>
                <w:szCs w:val="28"/>
                <w:highlight w:val="none"/>
                <w:lang w:val="en-US"/>
              </w:rPr>
              <w:t>新区</w:t>
            </w:r>
            <w:r>
              <w:rPr>
                <w:rFonts w:hint="eastAsia" w:ascii="仿宋_GB2312" w:hAnsi="仿宋_GB2312" w:eastAsia="仿宋_GB2312" w:cs="仿宋_GB2312"/>
                <w:color w:val="000000"/>
                <w:kern w:val="0"/>
                <w:sz w:val="28"/>
                <w:szCs w:val="28"/>
                <w:highlight w:val="none"/>
              </w:rPr>
              <w:t>可能或已经造成较大范围辐射环境影响的航天器坠落事件。</w:t>
            </w:r>
          </w:p>
        </w:tc>
      </w:tr>
      <w:tr>
        <w:tblPrEx>
          <w:tblCellMar>
            <w:top w:w="0" w:type="dxa"/>
            <w:left w:w="108" w:type="dxa"/>
            <w:bottom w:w="0" w:type="dxa"/>
            <w:right w:w="108" w:type="dxa"/>
          </w:tblCellMar>
        </w:tblPrEx>
        <w:trPr>
          <w:trHeight w:val="2835" w:hRule="exact"/>
          <w:jc w:val="center"/>
        </w:trPr>
        <w:tc>
          <w:tcPr>
            <w:tcW w:w="152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重大辐射事故</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（Ⅱ级）</w:t>
            </w:r>
          </w:p>
        </w:tc>
        <w:tc>
          <w:tcPr>
            <w:tcW w:w="8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Ⅰ类、Ⅱ类放射源丢失、被盗、失控；</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放射性同位素和射线装置失控导致2人以下（含2人）急性死亡或者10人以上（含10人）急性重度放射病、局部器官残疾</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放射性物质泄漏，造成较大范围辐射污染后果。</w:t>
            </w:r>
          </w:p>
        </w:tc>
      </w:tr>
      <w:tr>
        <w:tblPrEx>
          <w:tblCellMar>
            <w:top w:w="0" w:type="dxa"/>
            <w:left w:w="108" w:type="dxa"/>
            <w:bottom w:w="0" w:type="dxa"/>
            <w:right w:w="108" w:type="dxa"/>
          </w:tblCellMar>
        </w:tblPrEx>
        <w:trPr>
          <w:trHeight w:val="2195" w:hRule="exact"/>
          <w:jc w:val="center"/>
        </w:trPr>
        <w:tc>
          <w:tcPr>
            <w:tcW w:w="152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较大辐射事故</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(Ⅲ级)</w:t>
            </w:r>
          </w:p>
        </w:tc>
        <w:tc>
          <w:tcPr>
            <w:tcW w:w="8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Ⅲ类放射源丢失、被盗、失控；</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放射性同位素和射线装置失控导致9人以下（含9人）急性重度放射病、局部器官残疾</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放射性物质泄漏，造成小范围辐射污染后果。</w:t>
            </w:r>
          </w:p>
        </w:tc>
      </w:tr>
      <w:tr>
        <w:tblPrEx>
          <w:tblCellMar>
            <w:top w:w="0" w:type="dxa"/>
            <w:left w:w="108" w:type="dxa"/>
            <w:bottom w:w="0" w:type="dxa"/>
            <w:right w:w="108" w:type="dxa"/>
          </w:tblCellMar>
        </w:tblPrEx>
        <w:trPr>
          <w:trHeight w:val="2835" w:hRule="exact"/>
          <w:jc w:val="center"/>
        </w:trPr>
        <w:tc>
          <w:tcPr>
            <w:tcW w:w="152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一般辐射事故</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（Ⅳ级）</w:t>
            </w:r>
          </w:p>
        </w:tc>
        <w:tc>
          <w:tcPr>
            <w:tcW w:w="8208" w:type="dxa"/>
            <w:tcBorders>
              <w:top w:val="nil"/>
              <w:left w:val="nil"/>
              <w:bottom w:val="single" w:color="auto" w:sz="4" w:space="0"/>
              <w:right w:val="single" w:color="auto" w:sz="4" w:space="0"/>
            </w:tcBorders>
            <w:noWrap w:val="0"/>
            <w:vAlign w:val="center"/>
          </w:tcPr>
          <w:p>
            <w:pPr>
              <w:pStyle w:val="17"/>
              <w:keepNext w:val="0"/>
              <w:keepLines w:val="0"/>
              <w:pageBreakBefore w:val="0"/>
              <w:widowControl/>
              <w:numPr>
                <w:ilvl w:val="0"/>
                <w:numId w:val="0"/>
              </w:numPr>
              <w:tabs>
                <w:tab w:val="left" w:pos="1802"/>
              </w:tabs>
              <w:kinsoku/>
              <w:wordWrap/>
              <w:overflowPunct/>
              <w:topLinePunct w:val="0"/>
              <w:autoSpaceDE w:val="0"/>
              <w:autoSpaceDN w:val="0"/>
              <w:bidi w:val="0"/>
              <w:adjustRightInd/>
              <w:snapToGrid/>
              <w:spacing w:line="560" w:lineRule="exact"/>
              <w:ind w:leftChars="0" w:right="0" w:rightChars="0" w:firstLine="560" w:firstLineChars="200"/>
              <w:jc w:val="both"/>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lang w:eastAsia="zh-CN"/>
              </w:rPr>
              <w:t>）Ⅳ、Ⅴ类放射源丢失、被盗、失控；（</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lang w:eastAsia="zh-CN"/>
              </w:rPr>
              <w:t>）放射性同位素和射线装置失控导致人员受到超过年剂量限值的照射；（</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lang w:eastAsia="zh-CN"/>
              </w:rPr>
              <w:t>）放射性物质泄漏，造成局部辐射污染后果；（</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lang w:eastAsia="zh-CN"/>
              </w:rPr>
              <w:t>）测井用放射源落井，打捞不成功进行封井处理。</w:t>
            </w:r>
          </w:p>
        </w:tc>
      </w:tr>
    </w:tbl>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textAlignment w:val="auto"/>
        <w:outlineLvl w:val="0"/>
        <w:rPr>
          <w:rFonts w:hint="eastAsia" w:ascii="仿宋_GB2312" w:hAnsi="仿宋_GB2312" w:eastAsia="仿宋_GB2312" w:cs="仿宋_GB2312"/>
          <w:b/>
          <w:bCs/>
          <w:sz w:val="32"/>
          <w:szCs w:val="32"/>
          <w:highlight w:val="none"/>
          <w:lang w:eastAsia="zh-CN"/>
        </w:rPr>
      </w:pPr>
    </w:p>
    <w:p>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textAlignment w:val="auto"/>
        <w:outlineLvl w:val="0"/>
        <w:rPr>
          <w:rFonts w:hint="eastAsia" w:ascii="仿宋_GB2312" w:hAnsi="仿宋_GB2312" w:eastAsia="仿宋_GB2312" w:cs="仿宋_GB2312"/>
          <w:b/>
          <w:bCs/>
          <w:sz w:val="32"/>
          <w:szCs w:val="32"/>
          <w:highlight w:val="none"/>
          <w:lang w:val="en-US" w:eastAsia="zh-CN"/>
        </w:rPr>
      </w:pPr>
      <w:bookmarkStart w:id="11" w:name="_Toc4555"/>
      <w:r>
        <w:rPr>
          <w:rFonts w:hint="eastAsia" w:ascii="仿宋_GB2312" w:hAnsi="仿宋_GB2312" w:eastAsia="仿宋_GB2312" w:cs="仿宋_GB2312"/>
          <w:b/>
          <w:bCs/>
          <w:sz w:val="32"/>
          <w:szCs w:val="32"/>
          <w:highlight w:val="none"/>
          <w:lang w:val="en-US" w:eastAsia="zh-CN"/>
        </w:rPr>
        <w:t>应急指挥部组织架构</w:t>
      </w:r>
      <w:bookmarkEnd w:id="11"/>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textAlignment w:val="auto"/>
        <w:outlineLvl w:val="0"/>
        <w:rPr>
          <w:rFonts w:hint="default" w:ascii="仿宋_GB2312" w:hAnsi="仿宋_GB2312" w:eastAsia="仿宋_GB2312" w:cs="仿宋_GB2312"/>
          <w:b/>
          <w:bCs/>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-38100</wp:posOffset>
            </wp:positionH>
            <wp:positionV relativeFrom="paragraph">
              <wp:posOffset>55245</wp:posOffset>
            </wp:positionV>
            <wp:extent cx="5814060" cy="7084060"/>
            <wp:effectExtent l="0" t="0" r="15240" b="254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814060" cy="7084060"/>
                    </a:xfrm>
                    <a:prstGeom prst="rect">
                      <a:avLst/>
                    </a:prstGeom>
                    <a:noFill/>
                    <a:ln>
                      <a:noFill/>
                    </a:ln>
                  </pic:spPr>
                </pic:pic>
              </a:graphicData>
            </a:graphic>
          </wp:anchor>
        </w:drawing>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textAlignment w:val="auto"/>
        <w:outlineLvl w:val="0"/>
        <w:rPr>
          <w:rFonts w:hint="eastAsia" w:ascii="仿宋_GB2312" w:hAnsi="仿宋_GB2312" w:eastAsia="仿宋_GB2312" w:cs="仿宋_GB2312"/>
          <w:b/>
          <w:bCs/>
          <w:sz w:val="32"/>
          <w:szCs w:val="32"/>
          <w:highlight w:val="none"/>
          <w:lang w:val="en-US" w:eastAsia="zh-CN"/>
        </w:rPr>
      </w:pPr>
      <w:bookmarkStart w:id="12" w:name="_Toc14387"/>
      <w:r>
        <w:rPr>
          <w:rFonts w:hint="eastAsia" w:ascii="仿宋_GB2312" w:hAnsi="仿宋_GB2312" w:eastAsia="仿宋_GB2312" w:cs="仿宋_GB2312"/>
          <w:b/>
          <w:bCs/>
          <w:sz w:val="32"/>
          <w:szCs w:val="32"/>
          <w:highlight w:val="none"/>
          <w:lang w:val="en-US" w:eastAsia="zh-CN"/>
        </w:rPr>
        <w:t>四、现场指挥部组织架构</w:t>
      </w:r>
      <w:bookmarkEnd w:id="12"/>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textAlignment w:val="auto"/>
        <w:outlineLvl w:val="0"/>
        <w:rPr>
          <w:rFonts w:hint="eastAsia" w:ascii="仿宋_GB2312" w:hAnsi="仿宋_GB2312" w:eastAsia="仿宋_GB2312" w:cs="仿宋_GB2312"/>
          <w:b/>
          <w:bCs/>
          <w:sz w:val="32"/>
          <w:szCs w:val="32"/>
          <w:highlight w:val="none"/>
          <w:lang w:val="en-US" w:eastAsia="zh-CN"/>
        </w:rPr>
      </w:pPr>
      <w:r>
        <w:rPr>
          <w:rFonts w:hint="default" w:ascii="Times New Roman" w:hAnsi="Times New Roman" w:eastAsia="仿宋" w:cs="Times New Roman"/>
          <w:color w:val="auto"/>
          <w:highlight w:val="none"/>
        </w:rPr>
        <w:drawing>
          <wp:anchor distT="0" distB="0" distL="114300" distR="114300" simplePos="0" relativeHeight="251659264" behindDoc="0" locked="0" layoutInCell="1" allowOverlap="1">
            <wp:simplePos x="0" y="0"/>
            <wp:positionH relativeFrom="column">
              <wp:posOffset>-15875</wp:posOffset>
            </wp:positionH>
            <wp:positionV relativeFrom="paragraph">
              <wp:posOffset>183515</wp:posOffset>
            </wp:positionV>
            <wp:extent cx="5793105" cy="2533650"/>
            <wp:effectExtent l="0" t="0" r="17145" b="0"/>
            <wp:wrapTopAndBottom/>
            <wp:docPr id="2" name="图片 2" descr="2022-11-02_18-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2-11-02_18-47-43"/>
                    <pic:cNvPicPr>
                      <a:picLocks noChangeAspect="1"/>
                    </pic:cNvPicPr>
                  </pic:nvPicPr>
                  <pic:blipFill>
                    <a:blip r:embed="rId6"/>
                    <a:stretch>
                      <a:fillRect/>
                    </a:stretch>
                  </pic:blipFill>
                  <pic:spPr>
                    <a:xfrm>
                      <a:off x="0" y="0"/>
                      <a:ext cx="5793105" cy="2533650"/>
                    </a:xfrm>
                    <a:prstGeom prst="rect">
                      <a:avLst/>
                    </a:prstGeom>
                  </pic:spPr>
                </pic:pic>
              </a:graphicData>
            </a:graphic>
          </wp:anchor>
        </w:drawing>
      </w:r>
    </w:p>
    <w:p>
      <w:pPr>
        <w:pStyle w:val="7"/>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bCs/>
          <w:sz w:val="32"/>
          <w:szCs w:val="32"/>
          <w:highlight w:val="none"/>
        </w:rPr>
      </w:pPr>
      <w:bookmarkStart w:id="13" w:name="_Toc834"/>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新区辐射应急指挥部各成员单位职责</w:t>
      </w:r>
      <w:bookmarkEnd w:id="13"/>
    </w:p>
    <w:tbl>
      <w:tblPr>
        <w:tblStyle w:val="11"/>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7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应急指挥部成员</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应急管理职责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应急指挥部</w:t>
            </w:r>
          </w:p>
        </w:tc>
        <w:tc>
          <w:tcPr>
            <w:tcW w:w="7764"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（1）贯彻落实上级有关辐射事故应急处置的工作部署；</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（2）指挥协调新区辐射事故应急指挥部成员单位处置一般辐射事故，配合做好较大及以上辐射事故或跨行政区一般辐射事故的先期应急处置；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（3）向上级生态环境主管部门和市核与辐射事故应急指挥部报告突发辐射事故信息，配合上级组织开展的各项现场应急处置行动；</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（4）负责辐射事故信息发布和网络舆情引导。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应急指挥部办公室</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val="en-US"/>
              </w:rPr>
              <w:t>负责新区辐射事故应急预案的编制、修订；</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val="en-US"/>
              </w:rPr>
              <w:t>负责组织实施</w:t>
            </w:r>
            <w:r>
              <w:rPr>
                <w:rFonts w:hint="eastAsia" w:ascii="仿宋_GB2312" w:hAnsi="仿宋_GB2312" w:eastAsia="仿宋_GB2312" w:cs="仿宋_GB2312"/>
                <w:color w:val="auto"/>
                <w:kern w:val="0"/>
                <w:sz w:val="28"/>
                <w:szCs w:val="28"/>
                <w:highlight w:val="none"/>
                <w:lang w:val="en-US" w:eastAsia="zh-CN"/>
              </w:rPr>
              <w:t>辐射事故应急人员的</w:t>
            </w:r>
            <w:r>
              <w:rPr>
                <w:rFonts w:hint="eastAsia" w:ascii="仿宋_GB2312" w:hAnsi="仿宋_GB2312" w:eastAsia="仿宋_GB2312" w:cs="仿宋_GB2312"/>
                <w:color w:val="auto"/>
                <w:kern w:val="0"/>
                <w:sz w:val="28"/>
                <w:szCs w:val="28"/>
                <w:highlight w:val="none"/>
                <w:lang w:val="en-US"/>
              </w:rPr>
              <w:t>培训</w:t>
            </w:r>
            <w:r>
              <w:rPr>
                <w:rFonts w:hint="eastAsia" w:ascii="仿宋_GB2312" w:hAnsi="仿宋_GB2312" w:eastAsia="仿宋_GB2312" w:cs="仿宋_GB2312"/>
                <w:color w:val="auto"/>
                <w:kern w:val="0"/>
                <w:sz w:val="28"/>
                <w:szCs w:val="28"/>
                <w:highlight w:val="none"/>
                <w:lang w:val="en-US" w:eastAsia="zh-CN"/>
              </w:rPr>
              <w:t>及演练</w:t>
            </w:r>
            <w:r>
              <w:rPr>
                <w:rFonts w:hint="eastAsia" w:ascii="仿宋_GB2312" w:hAnsi="仿宋_GB2312" w:eastAsia="仿宋_GB2312" w:cs="仿宋_GB2312"/>
                <w:color w:val="auto"/>
                <w:kern w:val="0"/>
                <w:sz w:val="28"/>
                <w:szCs w:val="28"/>
                <w:highlight w:val="none"/>
                <w:lang w:val="en-US"/>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rPr>
              <w:t>（3）负责实施新区辐射事故应急能力建设</w:t>
            </w:r>
            <w:r>
              <w:rPr>
                <w:rFonts w:hint="eastAsia" w:ascii="仿宋_GB2312" w:hAnsi="仿宋_GB2312" w:eastAsia="仿宋_GB2312" w:cs="仿宋_GB2312"/>
                <w:color w:val="auto"/>
                <w:kern w:val="0"/>
                <w:sz w:val="28"/>
                <w:szCs w:val="28"/>
                <w:highlight w:val="none"/>
                <w:lang w:val="en-US"/>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lang w:val="en-US"/>
              </w:rPr>
              <w:t>负责贯彻新区辐射应急指挥部的决定，落实相关工作部署；</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lang w:val="en-US"/>
              </w:rPr>
              <w:t>负责传达市核与辐射事故应急指挥部和新区辐射应急指挥部的指令，组织协调各成员单位实施应急处置工作</w:t>
            </w:r>
            <w:r>
              <w:rPr>
                <w:rFonts w:hint="eastAsia" w:ascii="仿宋_GB2312" w:hAnsi="仿宋_GB2312" w:eastAsia="仿宋_GB2312" w:cs="仿宋_GB2312"/>
                <w:color w:val="auto"/>
                <w:kern w:val="0"/>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rPr>
              <w:t>（6）</w:t>
            </w:r>
            <w:r>
              <w:rPr>
                <w:rFonts w:hint="eastAsia" w:ascii="仿宋_GB2312" w:hAnsi="仿宋_GB2312" w:eastAsia="仿宋_GB2312" w:cs="仿宋_GB2312"/>
                <w:color w:val="auto"/>
                <w:kern w:val="0"/>
                <w:sz w:val="28"/>
                <w:szCs w:val="28"/>
                <w:highlight w:val="none"/>
                <w:lang w:val="en-US"/>
              </w:rPr>
              <w:t>负责应急响应期间信息的收集与报告，参与事故调查及后果评价</w:t>
            </w:r>
            <w:r>
              <w:rPr>
                <w:rFonts w:hint="eastAsia" w:ascii="仿宋_GB2312" w:hAnsi="仿宋_GB2312" w:eastAsia="仿宋_GB2312" w:cs="仿宋_GB2312"/>
                <w:color w:val="auto"/>
                <w:kern w:val="0"/>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（7）</w:t>
            </w:r>
            <w:r>
              <w:rPr>
                <w:rFonts w:hint="eastAsia" w:ascii="仿宋_GB2312" w:hAnsi="仿宋_GB2312" w:eastAsia="仿宋_GB2312" w:cs="仿宋_GB2312"/>
                <w:color w:val="auto"/>
                <w:kern w:val="0"/>
                <w:sz w:val="28"/>
                <w:szCs w:val="28"/>
                <w:highlight w:val="none"/>
                <w:lang w:val="en-US"/>
              </w:rPr>
              <w:t>负责提出对参与辐射事故应急处置的单位和个人给予奖励或处罚的建议。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eastAsia="zh-CN"/>
              </w:rPr>
              <w:t>新区</w:t>
            </w:r>
            <w:r>
              <w:rPr>
                <w:rFonts w:hint="eastAsia" w:ascii="仿宋_GB2312" w:hAnsi="仿宋_GB2312" w:eastAsia="仿宋_GB2312" w:cs="仿宋_GB2312"/>
                <w:color w:val="auto"/>
                <w:kern w:val="0"/>
                <w:sz w:val="28"/>
                <w:szCs w:val="28"/>
                <w:highlight w:val="none"/>
              </w:rPr>
              <w:t>综合办公室</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bookmarkStart w:id="14" w:name="_Hlk104642203"/>
            <w:r>
              <w:rPr>
                <w:rFonts w:hint="eastAsia" w:ascii="仿宋_GB2312" w:hAnsi="仿宋_GB2312" w:eastAsia="仿宋_GB2312" w:cs="仿宋_GB2312"/>
                <w:color w:val="auto"/>
                <w:kern w:val="0"/>
                <w:sz w:val="28"/>
                <w:szCs w:val="28"/>
                <w:highlight w:val="none"/>
                <w:lang w:val="en-US" w:eastAsia="zh-CN" w:bidi="ar-SA"/>
              </w:rPr>
              <w:t>负责指导网络相关信息，监测、搜集、研判和处置工作，指导向媒体发布一般辐射事故信息，指导新闻媒体做好辐射事故宣传报道</w:t>
            </w:r>
            <w:bookmarkEnd w:id="14"/>
            <w:r>
              <w:rPr>
                <w:rFonts w:hint="eastAsia" w:ascii="仿宋_GB2312" w:hAnsi="仿宋_GB2312" w:eastAsia="仿宋_GB2312" w:cs="仿宋_GB2312"/>
                <w:color w:val="auto"/>
                <w:kern w:val="0"/>
                <w:sz w:val="28"/>
                <w:szCs w:val="28"/>
                <w:highlight w:val="none"/>
                <w:lang w:val="en-US" w:eastAsia="zh-CN" w:bidi="ar-SA"/>
              </w:rPr>
              <w:t>以及指导网络舆论引导工作。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新区政法和社会工作局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做好矛盾纠纷化解和法律服务工作，防止出现群体性事件，配合维护社会稳定。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eastAsia="zh-CN"/>
              </w:rPr>
              <w:t>新区</w:t>
            </w:r>
            <w:r>
              <w:rPr>
                <w:rFonts w:hint="eastAsia" w:ascii="仿宋_GB2312" w:hAnsi="仿宋_GB2312" w:eastAsia="仿宋_GB2312" w:cs="仿宋_GB2312"/>
                <w:color w:val="auto"/>
                <w:kern w:val="0"/>
                <w:sz w:val="28"/>
                <w:szCs w:val="28"/>
                <w:highlight w:val="none"/>
              </w:rPr>
              <w:t>发展和财政局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根据新区财力状况和突发辐射事故处置工作实际需要，据实保障属于区级事权事项的工作经费；在保障安全的前提下，负责协调供电企业，确保辐射事故应急处置现场的电力供应。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eastAsia="zh-CN"/>
              </w:rPr>
              <w:t>新区</w:t>
            </w:r>
            <w:r>
              <w:rPr>
                <w:rFonts w:hint="eastAsia" w:ascii="仿宋_GB2312" w:hAnsi="仿宋_GB2312" w:eastAsia="仿宋_GB2312" w:cs="仿宋_GB2312"/>
                <w:color w:val="auto"/>
                <w:kern w:val="0"/>
                <w:sz w:val="28"/>
                <w:szCs w:val="28"/>
                <w:highlight w:val="none"/>
              </w:rPr>
              <w:t>教育和卫生健康局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负责协调新区医疗健康集团对辐射事故受伤人员的医疗救护；提请市卫生健康委对可能受到辐射伤害的人员开展健康影响评估和食品、饮用水的辐射应急监测；协助开展新区医疗机构辐射事故的调查和应急处置。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eastAsia="zh-CN"/>
              </w:rPr>
              <w:t>新区科技和工业信息化局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负责协调通信运营企业，确保辐射事故应急处置现场的网络通信畅通。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eastAsia="zh-CN"/>
              </w:rPr>
              <w:t>新区</w:t>
            </w:r>
            <w:r>
              <w:rPr>
                <w:rFonts w:hint="eastAsia" w:ascii="仿宋_GB2312" w:hAnsi="仿宋_GB2312" w:eastAsia="仿宋_GB2312" w:cs="仿宋_GB2312"/>
                <w:color w:val="auto"/>
                <w:kern w:val="0"/>
                <w:sz w:val="28"/>
                <w:szCs w:val="28"/>
                <w:highlight w:val="none"/>
              </w:rPr>
              <w:t>应急管理局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组织开展受辐射事故影响区域群众的应急转移、撤离和安置；协调相关应急资源参与辐射事故应急处置，参与辐射事故调查处理。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新区</w:t>
            </w:r>
            <w:r>
              <w:rPr>
                <w:rFonts w:hint="eastAsia" w:ascii="仿宋_GB2312" w:hAnsi="仿宋_GB2312" w:eastAsia="仿宋_GB2312" w:cs="仿宋_GB2312"/>
                <w:color w:val="auto"/>
                <w:kern w:val="0"/>
                <w:sz w:val="28"/>
                <w:szCs w:val="28"/>
                <w:highlight w:val="none"/>
                <w:lang w:val="en-US"/>
              </w:rPr>
              <w:t>政务服务</w:t>
            </w:r>
            <w:r>
              <w:rPr>
                <w:rFonts w:hint="eastAsia" w:ascii="仿宋_GB2312" w:hAnsi="仿宋_GB2312" w:eastAsia="仿宋_GB2312" w:cs="仿宋_GB2312"/>
                <w:color w:val="auto"/>
                <w:kern w:val="0"/>
                <w:sz w:val="28"/>
                <w:szCs w:val="28"/>
                <w:highlight w:val="none"/>
                <w:lang w:val="en-US" w:eastAsia="zh-CN"/>
              </w:rPr>
              <w:t>和</w:t>
            </w:r>
            <w:r>
              <w:rPr>
                <w:rFonts w:hint="eastAsia" w:ascii="仿宋_GB2312" w:hAnsi="仿宋_GB2312" w:eastAsia="仿宋_GB2312" w:cs="仿宋_GB2312"/>
                <w:color w:val="auto"/>
                <w:kern w:val="0"/>
                <w:sz w:val="28"/>
                <w:szCs w:val="28"/>
                <w:highlight w:val="none"/>
                <w:lang w:val="en-US"/>
              </w:rPr>
              <w:t>数据管理局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负责协助开展新区政府在线网站辐射事故信息发布工作。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葵涌办事处</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大鹏办事处、南澳办事处</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搭建现场指挥部；配合开展辐射事故现场隔离；及时向新区总值班室报告突发辐射事故信息；协助开展受辐射事故影响区域群众的应急转移和安置，为现场应急处置人员提供生活保障；提供必需的安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市生态环境局大鹏管理局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新区辐射应急指挥部办公室的日常工作，组织辐射安全培训与应急演练；及时向新区管委会、新区应急委和市生态环境局报告辐射事故信息；组织或指导开展辐射事故现场隔离、污染处置；标明危险区域、封锁危险场所；协调市生态环境局（广东省深圳生态环境监测中心站）开展辐射应急监测；协助公安机关追缴丢失、被盗的放射源；在新区综合办公室和</w:t>
            </w:r>
            <w:r>
              <w:rPr>
                <w:rFonts w:hint="eastAsia" w:ascii="仿宋_GB2312" w:hAnsi="仿宋_GB2312" w:eastAsia="仿宋_GB2312" w:cs="仿宋_GB2312"/>
                <w:color w:val="auto"/>
                <w:kern w:val="0"/>
                <w:sz w:val="28"/>
                <w:szCs w:val="28"/>
                <w:highlight w:val="none"/>
                <w:lang w:val="en-US" w:eastAsia="zh-CN"/>
              </w:rPr>
              <w:t>新区</w:t>
            </w:r>
            <w:r>
              <w:rPr>
                <w:rFonts w:hint="eastAsia" w:ascii="仿宋_GB2312" w:hAnsi="仿宋_GB2312" w:eastAsia="仿宋_GB2312" w:cs="仿宋_GB2312"/>
                <w:color w:val="auto"/>
                <w:kern w:val="0"/>
                <w:sz w:val="28"/>
                <w:szCs w:val="28"/>
                <w:highlight w:val="none"/>
                <w:lang w:val="en-US"/>
              </w:rPr>
              <w:t>政务服务</w:t>
            </w:r>
            <w:r>
              <w:rPr>
                <w:rFonts w:hint="eastAsia" w:ascii="仿宋_GB2312" w:hAnsi="仿宋_GB2312" w:eastAsia="仿宋_GB2312" w:cs="仿宋_GB2312"/>
                <w:color w:val="auto"/>
                <w:kern w:val="0"/>
                <w:sz w:val="28"/>
                <w:szCs w:val="28"/>
                <w:highlight w:val="none"/>
                <w:lang w:val="en-US" w:eastAsia="zh-CN"/>
              </w:rPr>
              <w:t>和</w:t>
            </w:r>
            <w:r>
              <w:rPr>
                <w:rFonts w:hint="eastAsia" w:ascii="仿宋_GB2312" w:hAnsi="仿宋_GB2312" w:eastAsia="仿宋_GB2312" w:cs="仿宋_GB2312"/>
                <w:color w:val="auto"/>
                <w:kern w:val="0"/>
                <w:sz w:val="28"/>
                <w:szCs w:val="28"/>
                <w:highlight w:val="none"/>
                <w:lang w:val="en-US"/>
              </w:rPr>
              <w:t>数据管理局</w:t>
            </w:r>
            <w:r>
              <w:rPr>
                <w:rFonts w:hint="eastAsia" w:ascii="仿宋_GB2312" w:hAnsi="仿宋_GB2312" w:eastAsia="仿宋_GB2312" w:cs="仿宋_GB2312"/>
                <w:color w:val="auto"/>
                <w:kern w:val="0"/>
                <w:sz w:val="28"/>
                <w:szCs w:val="28"/>
                <w:highlight w:val="none"/>
                <w:lang w:val="en-US" w:eastAsia="zh-CN" w:bidi="ar-SA"/>
              </w:rPr>
              <w:t>的指导下做好辐射事故信息公开和舆情引导工作；负责牵头或协助上级生态环境部门做好辐射事故调查；负责外部应急支援的协调衔接；负责组建专家咨询组。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市交通运输局大鹏管理局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根据现场应急处置工作需要，负责组织协调具备许可资质的放射性物品道路运输企业或者单位为辐射事故应急处置提供交通运输保障，参与放射性物品运输事故的应急处置与调查。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市公安局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大鹏分局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负责或配合上级公安部门对丢失、被盗放射源（含非密封放射性物质）案件的立案、侦察和追缴；负责加强人员撤离区域和辐射事故现场的治安秩序。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市公安局交警支队大鹏大队</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负责对辐射事故现场区域周边道路的交通管制，保障救援道路畅通。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市市场监督管理局大鹏监管局</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负责参与食品、药品辐射污染事故的调查处理。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新区</w:t>
            </w:r>
            <w:r>
              <w:rPr>
                <w:rFonts w:hint="eastAsia" w:ascii="仿宋_GB2312" w:hAnsi="仿宋_GB2312" w:eastAsia="仿宋_GB2312" w:cs="仿宋_GB2312"/>
                <w:color w:val="auto"/>
                <w:kern w:val="0"/>
                <w:sz w:val="28"/>
                <w:szCs w:val="28"/>
                <w:highlight w:val="none"/>
                <w:lang w:eastAsia="zh-CN"/>
              </w:rPr>
              <w:t>消防救援大队</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负责实施紧急状态下的抢险救援作业。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专家咨询组</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bookmarkStart w:id="15" w:name="_Toc19249"/>
            <w:r>
              <w:rPr>
                <w:rFonts w:hint="eastAsia" w:ascii="仿宋_GB2312" w:hAnsi="仿宋_GB2312" w:eastAsia="仿宋_GB2312" w:cs="仿宋_GB2312"/>
                <w:color w:val="auto"/>
                <w:kern w:val="0"/>
                <w:sz w:val="28"/>
                <w:szCs w:val="28"/>
                <w:highlight w:val="none"/>
                <w:lang w:val="en-US" w:eastAsia="zh-CN" w:bidi="ar-SA"/>
              </w:rPr>
              <w:t>（1）研判辐射事故重要信息，参与辐射事故定性定级；</w:t>
            </w:r>
            <w:bookmarkEnd w:id="15"/>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（2）参与制定辐射事故现场处置方案和辐射应急监测方案，为辐射事故应急决策提供技术支持；</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（3）参与舆情应对和信息发布；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（4）提出应急响应终止的专家意见。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现场指挥部</w:t>
            </w:r>
          </w:p>
        </w:tc>
        <w:tc>
          <w:tcPr>
            <w:tcW w:w="7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决定辐射污染现场处置方案或先期处置方案并组织实施；协调市生态环境局开展辐射应急监测；协调指挥新区辐射事故应急指挥部各成员单位依据本预案的相关规定实施应急响应；责令停止导致或可能导致辐射事故扩大的任何作业；隔离和控制事故现场，协调采取必要措施保护公众；管制受放射性污染的农副产品、食品和饮用水等；对事故级别及是否需要上级支援作出判断；及时报告事故处置动态并提出相关建议。</w:t>
            </w:r>
          </w:p>
        </w:tc>
      </w:tr>
    </w:tbl>
    <w:p>
      <w:pPr>
        <w:pStyle w:val="7"/>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bCs/>
          <w:sz w:val="32"/>
          <w:szCs w:val="32"/>
          <w:highlight w:val="none"/>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bCs/>
          <w:sz w:val="32"/>
          <w:szCs w:val="32"/>
          <w:highlight w:val="none"/>
          <w:lang w:eastAsia="zh-CN"/>
        </w:rPr>
      </w:pPr>
      <w:bookmarkStart w:id="16" w:name="_Toc23488"/>
      <w:r>
        <w:rPr>
          <w:rFonts w:hint="eastAsia" w:ascii="仿宋_GB2312" w:hAnsi="仿宋_GB2312" w:eastAsia="仿宋_GB2312" w:cs="仿宋_GB2312"/>
          <w:b/>
          <w:bCs/>
          <w:sz w:val="32"/>
          <w:szCs w:val="32"/>
          <w:highlight w:val="none"/>
          <w:lang w:eastAsia="zh-CN"/>
        </w:rPr>
        <w:t>六、现场指挥部各</w:t>
      </w:r>
      <w:r>
        <w:rPr>
          <w:rFonts w:hint="eastAsia" w:ascii="仿宋_GB2312" w:hAnsi="仿宋_GB2312" w:eastAsia="仿宋_GB2312" w:cs="仿宋_GB2312"/>
          <w:b/>
          <w:bCs/>
          <w:sz w:val="32"/>
          <w:szCs w:val="32"/>
          <w:highlight w:val="none"/>
          <w:lang w:val="en-US" w:eastAsia="zh-CN"/>
        </w:rPr>
        <w:t>应急</w:t>
      </w:r>
      <w:r>
        <w:rPr>
          <w:rFonts w:hint="eastAsia" w:ascii="仿宋_GB2312" w:hAnsi="仿宋_GB2312" w:eastAsia="仿宋_GB2312" w:cs="仿宋_GB2312"/>
          <w:b/>
          <w:bCs/>
          <w:sz w:val="32"/>
          <w:szCs w:val="32"/>
          <w:highlight w:val="none"/>
          <w:lang w:eastAsia="zh-CN"/>
        </w:rPr>
        <w:t>功能组职责分工</w:t>
      </w:r>
      <w:bookmarkEnd w:id="16"/>
    </w:p>
    <w:tbl>
      <w:tblPr>
        <w:tblStyle w:val="11"/>
        <w:tblpPr w:leftFromText="180" w:rightFromText="180" w:vertAnchor="text" w:horzAnchor="page" w:tblpX="937" w:tblpY="58"/>
        <w:tblOverlap w:val="never"/>
        <w:tblW w:w="10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885"/>
        <w:gridCol w:w="1395"/>
        <w:gridCol w:w="1830"/>
        <w:gridCol w:w="5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exac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序号</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组别</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牵头单位</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配合单位</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主要职责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5" w:hRule="atLeas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9"/>
                <w:sz w:val="32"/>
                <w:szCs w:val="32"/>
              </w:rPr>
              <w:t>1</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综合协调组</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市生态环境局大鹏管理局</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新区应急管理局、新区教育和卫生健康局、市公安局大鹏分局、属地办事处、事发单位</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firstLine="280" w:firstLineChars="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依据辐射事故发生、发展及处置情况，及时向新区管委会、新区应急委、市生态环境局报告事故信息，传达上级指示，协调各应急功能组参与应急处置，报告事故处置动态并提出相关建议。辐射事故造成港澳台或外籍人员伤亡、失踪、被困，或者可能影响到香港特别行政区的，及时报告新区管委会和市核与辐射事故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9"/>
                <w:sz w:val="32"/>
                <w:szCs w:val="32"/>
              </w:rPr>
              <w:t>2</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污物处置组</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市生态环境局大鹏管理局</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市公安局大鹏分局、市交通运输局大鹏管理局、属地办事处、事发单位</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firstLine="280" w:firstLineChars="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协助公安机关侦查、追缴丢失或被盗的放射源；隔离辐射污染源，标明危险区域，封锁危险场所；协助上级生态环境部门控制污染物扩散，收集、转移辐射污染物和清理事故现场，消除辐射危害。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9"/>
                <w:sz w:val="32"/>
                <w:szCs w:val="32"/>
              </w:rPr>
              <w:t>3</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辐射监测组</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市生态环境局大鹏管理局协调市生态环境局</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新区教育和卫生健康局、新区应急管理局、属地办事处</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辐射事故的应急监测工作，由市生态环境局组织实施，监测辐射污染物种类、强度及污染影响范围（市生态环境局大鹏管理局负责协调市生态环境局开展辐射事故应急监测）。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rPr>
              <w:t>应急保障组</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属地办事处</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市公安局交警支队大鹏大队、科技和工业信息化局、新区发展和财政局、新区应急管理局、市生态环境局大鹏管理局、市交通运输局大鹏管理局、新区消防救援大队</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rightChars="0" w:firstLine="280" w:firstLineChars="1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负责搭建现场指挥部；根据事故处置工作需求，及时提供资金、物资、装备、车辆、食品、供电、供水、供气和通信等应急保障；必要时实施现场交通管制；实施紧急状态下的抢险救援作业。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9"/>
                <w:sz w:val="32"/>
                <w:szCs w:val="32"/>
              </w:rPr>
              <w:t>5</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医学救援组</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新区</w:t>
            </w:r>
            <w:r>
              <w:rPr>
                <w:rFonts w:hint="eastAsia" w:ascii="仿宋_GB2312" w:hAnsi="仿宋_GB2312" w:eastAsia="仿宋_GB2312" w:cs="仿宋_GB2312"/>
                <w:color w:val="auto"/>
                <w:sz w:val="28"/>
                <w:szCs w:val="28"/>
              </w:rPr>
              <w:t>教育和卫生健康局</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righ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属地办事处、新区医疗健康集团</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highlight w:val="none"/>
                <w:lang w:val="en-US" w:eastAsia="zh-CN"/>
              </w:rPr>
              <w:t>组</w:t>
            </w:r>
            <w:r>
              <w:rPr>
                <w:rFonts w:hint="eastAsia" w:ascii="仿宋_GB2312" w:hAnsi="仿宋_GB2312" w:eastAsia="仿宋_GB2312" w:cs="仿宋_GB2312"/>
                <w:color w:val="auto"/>
                <w:sz w:val="28"/>
                <w:szCs w:val="28"/>
                <w:lang w:val="en-US" w:eastAsia="zh-CN"/>
              </w:rPr>
              <w:t>织专业救护机构、人员开展现场救护、急救、专科救治、卫生防疫等工作，对受灾人员提供心理辅导。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舆情信息组</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市生态环境局大鹏管理局</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新区综合办公室（宣传）、新区政务服务和数据管理局</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rightChars="0" w:firstLine="280" w:firstLineChars="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在新区综合办公室的指导下负责组织开展事件进展、应急工作情况等权威信息发布，监测、收集、分析网上相关信息，有效引导舆论。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95"/>
                <w:sz w:val="28"/>
                <w:szCs w:val="28"/>
              </w:rPr>
              <w:t>社会稳定组</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市公安局大鹏分局</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属地办事处、新区应急管理局、市生态环境局大鹏管理局、新区政法和社会工作局</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right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负责或配合上级公安部门侦查、追缴被盗或丢失的放射源，负责加强受影响地区社会治安管理，严厉打击借机传播谣言制造社会恐慌、哄抢物资等违法犯罪行为；加强转移人员安置点、救灾物资存放点等重点地区治安管控；做好矛盾纠纷化解和法律服务工作，防止出现群体性事件，维护社会稳定。负责营救受伤害人员，搜寻、疏散、撤离、安置受辐射事故威胁的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p>
        </w:tc>
        <w:tc>
          <w:tcPr>
            <w:tcW w:w="88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rPr>
              <w:t>现场</w:t>
            </w:r>
            <w:r>
              <w:rPr>
                <w:rFonts w:hint="eastAsia" w:ascii="仿宋_GB2312" w:hAnsi="仿宋_GB2312" w:eastAsia="仿宋_GB2312" w:cs="仿宋_GB2312"/>
                <w:color w:val="auto"/>
                <w:sz w:val="28"/>
                <w:szCs w:val="28"/>
              </w:rPr>
              <w:t>咨询组</w:t>
            </w:r>
          </w:p>
        </w:tc>
        <w:tc>
          <w:tcPr>
            <w:tcW w:w="139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市生态环境局大鹏管理</w:t>
            </w:r>
            <w:r>
              <w:rPr>
                <w:rFonts w:hint="eastAsia" w:ascii="仿宋_GB2312" w:hAnsi="仿宋_GB2312" w:eastAsia="仿宋_GB2312" w:cs="仿宋_GB2312"/>
                <w:color w:val="auto"/>
                <w:w w:val="99"/>
                <w:sz w:val="28"/>
                <w:szCs w:val="28"/>
              </w:rPr>
              <w:t>局</w:t>
            </w:r>
          </w:p>
        </w:tc>
        <w:tc>
          <w:tcPr>
            <w:tcW w:w="183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left="0" w:leftChars="0" w:right="0" w:right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新区应急管理局</w:t>
            </w:r>
          </w:p>
        </w:tc>
        <w:tc>
          <w:tcPr>
            <w:tcW w:w="522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120" w:line="560" w:lineRule="exact"/>
              <w:ind w:right="0" w:righ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现场咨询组专家原则上从专家咨询组选取，负责分析、研判突发事故，现场指挥部提供技术支持和决策咨询</w:t>
            </w:r>
          </w:p>
        </w:tc>
      </w:tr>
    </w:tbl>
    <w:p>
      <w:pPr>
        <w:pStyle w:val="7"/>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sz w:val="32"/>
          <w:szCs w:val="32"/>
          <w:highlight w:val="none"/>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sz w:val="32"/>
          <w:szCs w:val="32"/>
          <w:highlight w:val="none"/>
          <w:lang w:eastAsia="zh-CN"/>
        </w:rPr>
        <w:sectPr>
          <w:footerReference r:id="rId3" w:type="default"/>
          <w:pgSz w:w="11906" w:h="16838"/>
          <w:pgMar w:top="2098" w:right="1474" w:bottom="1984" w:left="1587" w:header="851" w:footer="992" w:gutter="0"/>
          <w:pgNumType w:fmt="decimal"/>
          <w:cols w:space="720" w:num="1"/>
          <w:docGrid w:type="lines" w:linePitch="312" w:charSpace="0"/>
        </w:sectPr>
      </w:pPr>
      <w:bookmarkStart w:id="18" w:name="_GoBack"/>
      <w:bookmarkEnd w:id="18"/>
    </w:p>
    <w:p>
      <w:pPr>
        <w:pStyle w:val="7"/>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sz w:val="32"/>
          <w:szCs w:val="32"/>
          <w:highlight w:val="none"/>
          <w:lang w:eastAsia="zh-CN"/>
        </w:rPr>
      </w:pPr>
      <w:bookmarkStart w:id="17" w:name="_Toc5304"/>
      <w:r>
        <w:rPr>
          <w:rFonts w:hint="eastAsia" w:ascii="仿宋_GB2312" w:hAnsi="仿宋_GB2312" w:eastAsia="仿宋_GB2312" w:cs="仿宋_GB2312"/>
          <w:b/>
          <w:bCs/>
          <w:sz w:val="32"/>
          <w:szCs w:val="32"/>
          <w:highlight w:val="none"/>
          <w:lang w:eastAsia="zh-CN"/>
        </w:rPr>
        <w:t>七、</w:t>
      </w:r>
      <w:r>
        <w:rPr>
          <w:rFonts w:hint="default" w:ascii="仿宋_GB2312" w:hAnsi="仿宋_GB2312" w:eastAsia="仿宋_GB2312" w:cs="仿宋_GB2312"/>
          <w:b/>
          <w:bCs/>
          <w:sz w:val="32"/>
          <w:szCs w:val="32"/>
          <w:highlight w:val="none"/>
          <w:lang w:eastAsia="zh-CN"/>
        </w:rPr>
        <w:t>辐射事故应急响应工作流程图</w:t>
      </w:r>
      <w:bookmarkEnd w:id="17"/>
    </w:p>
    <w:p>
      <w:pPr>
        <w:pStyle w:val="7"/>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sz w:val="32"/>
          <w:szCs w:val="32"/>
          <w:highlight w:val="none"/>
          <w:lang w:eastAsia="zh-CN"/>
        </w:rPr>
      </w:pPr>
      <w:r>
        <w:drawing>
          <wp:anchor distT="0" distB="0" distL="114300" distR="114300" simplePos="0" relativeHeight="251660288" behindDoc="0" locked="0" layoutInCell="1" allowOverlap="1">
            <wp:simplePos x="0" y="0"/>
            <wp:positionH relativeFrom="column">
              <wp:posOffset>-381635</wp:posOffset>
            </wp:positionH>
            <wp:positionV relativeFrom="paragraph">
              <wp:posOffset>319405</wp:posOffset>
            </wp:positionV>
            <wp:extent cx="9017635" cy="4250690"/>
            <wp:effectExtent l="0" t="0" r="12065" b="1651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9017635" cy="4250690"/>
                    </a:xfrm>
                    <a:prstGeom prst="rect">
                      <a:avLst/>
                    </a:prstGeom>
                    <a:noFill/>
                    <a:ln>
                      <a:noFill/>
                    </a:ln>
                  </pic:spPr>
                </pic:pic>
              </a:graphicData>
            </a:graphic>
          </wp:anchor>
        </w:drawing>
      </w:r>
    </w:p>
    <w:sectPr>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7F426"/>
    <w:multiLevelType w:val="singleLevel"/>
    <w:tmpl w:val="5267F4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YjNjZTJhZjc5ZDdhYzNmMTk3ZGRlODA1MjE0MmUifQ=="/>
    <w:docVar w:name="KSO_WPS_MARK_KEY" w:val="f8025f78-8559-46a0-a0f3-174d809c818f"/>
  </w:docVars>
  <w:rsids>
    <w:rsidRoot w:val="00F52896"/>
    <w:rsid w:val="000819B2"/>
    <w:rsid w:val="000E155F"/>
    <w:rsid w:val="00107DFA"/>
    <w:rsid w:val="00180356"/>
    <w:rsid w:val="001E0A9E"/>
    <w:rsid w:val="00245389"/>
    <w:rsid w:val="0029345D"/>
    <w:rsid w:val="002A1E88"/>
    <w:rsid w:val="002F6CD5"/>
    <w:rsid w:val="002F6E25"/>
    <w:rsid w:val="0030151F"/>
    <w:rsid w:val="003A3016"/>
    <w:rsid w:val="003D368E"/>
    <w:rsid w:val="003D7F6B"/>
    <w:rsid w:val="0043078C"/>
    <w:rsid w:val="00540AA4"/>
    <w:rsid w:val="00621CFC"/>
    <w:rsid w:val="006E1052"/>
    <w:rsid w:val="00776B26"/>
    <w:rsid w:val="00795563"/>
    <w:rsid w:val="007B5ABD"/>
    <w:rsid w:val="007C0A9F"/>
    <w:rsid w:val="007E131F"/>
    <w:rsid w:val="00863337"/>
    <w:rsid w:val="008D739A"/>
    <w:rsid w:val="0090050F"/>
    <w:rsid w:val="009049EB"/>
    <w:rsid w:val="00980857"/>
    <w:rsid w:val="009A1E2B"/>
    <w:rsid w:val="009C3A9B"/>
    <w:rsid w:val="009D066A"/>
    <w:rsid w:val="00A45E14"/>
    <w:rsid w:val="00A962A7"/>
    <w:rsid w:val="00AD1558"/>
    <w:rsid w:val="00B2768A"/>
    <w:rsid w:val="00B33A6D"/>
    <w:rsid w:val="00BC0F3B"/>
    <w:rsid w:val="00C65B9B"/>
    <w:rsid w:val="00D0450B"/>
    <w:rsid w:val="00D07855"/>
    <w:rsid w:val="00DB4DB2"/>
    <w:rsid w:val="00EA55DB"/>
    <w:rsid w:val="00EB61EB"/>
    <w:rsid w:val="00EF178C"/>
    <w:rsid w:val="00F52896"/>
    <w:rsid w:val="00F76871"/>
    <w:rsid w:val="01870C73"/>
    <w:rsid w:val="02877D54"/>
    <w:rsid w:val="02A66735"/>
    <w:rsid w:val="0522157B"/>
    <w:rsid w:val="058B1B7D"/>
    <w:rsid w:val="059E7B97"/>
    <w:rsid w:val="06976AC0"/>
    <w:rsid w:val="0736698D"/>
    <w:rsid w:val="087741D4"/>
    <w:rsid w:val="09A60660"/>
    <w:rsid w:val="09E47162"/>
    <w:rsid w:val="0AC42107"/>
    <w:rsid w:val="0ADA341F"/>
    <w:rsid w:val="0B0B182B"/>
    <w:rsid w:val="0BAC49F0"/>
    <w:rsid w:val="0BD54BB4"/>
    <w:rsid w:val="0C4C65BF"/>
    <w:rsid w:val="0CBC562E"/>
    <w:rsid w:val="0CDE34B7"/>
    <w:rsid w:val="0DA67121"/>
    <w:rsid w:val="0E37749F"/>
    <w:rsid w:val="0EB9159E"/>
    <w:rsid w:val="0F6645E0"/>
    <w:rsid w:val="0FDA0272"/>
    <w:rsid w:val="11C1367B"/>
    <w:rsid w:val="122A6E9C"/>
    <w:rsid w:val="12CE39F5"/>
    <w:rsid w:val="13AD288D"/>
    <w:rsid w:val="140A3F70"/>
    <w:rsid w:val="144A17FC"/>
    <w:rsid w:val="16893F4C"/>
    <w:rsid w:val="16BC60CF"/>
    <w:rsid w:val="16F87BE6"/>
    <w:rsid w:val="1A495ECC"/>
    <w:rsid w:val="1B9238A2"/>
    <w:rsid w:val="1BB30514"/>
    <w:rsid w:val="1C180273"/>
    <w:rsid w:val="1D5232E9"/>
    <w:rsid w:val="1DDC7057"/>
    <w:rsid w:val="1E1E31CB"/>
    <w:rsid w:val="1EA87F92"/>
    <w:rsid w:val="1EDA7639"/>
    <w:rsid w:val="1F017CBC"/>
    <w:rsid w:val="2188552B"/>
    <w:rsid w:val="21DC764C"/>
    <w:rsid w:val="224D71C3"/>
    <w:rsid w:val="22B1193E"/>
    <w:rsid w:val="234F0333"/>
    <w:rsid w:val="238F2F45"/>
    <w:rsid w:val="258D6D6C"/>
    <w:rsid w:val="2604539D"/>
    <w:rsid w:val="275F037A"/>
    <w:rsid w:val="283B1B9B"/>
    <w:rsid w:val="289B421D"/>
    <w:rsid w:val="29564EEC"/>
    <w:rsid w:val="2A7C42D4"/>
    <w:rsid w:val="2A903F38"/>
    <w:rsid w:val="2A905451"/>
    <w:rsid w:val="2C25536E"/>
    <w:rsid w:val="2CC548FB"/>
    <w:rsid w:val="2D231DB4"/>
    <w:rsid w:val="2E1819E5"/>
    <w:rsid w:val="2FD12300"/>
    <w:rsid w:val="2FE44A3F"/>
    <w:rsid w:val="33160DE7"/>
    <w:rsid w:val="333F0245"/>
    <w:rsid w:val="33583FE9"/>
    <w:rsid w:val="33C932D9"/>
    <w:rsid w:val="35587FFB"/>
    <w:rsid w:val="382E6F11"/>
    <w:rsid w:val="394A030E"/>
    <w:rsid w:val="3A0956F7"/>
    <w:rsid w:val="3A1219DE"/>
    <w:rsid w:val="3A89228C"/>
    <w:rsid w:val="3C056AE9"/>
    <w:rsid w:val="3D472F6A"/>
    <w:rsid w:val="3E907950"/>
    <w:rsid w:val="410A383F"/>
    <w:rsid w:val="43A821FF"/>
    <w:rsid w:val="44117B93"/>
    <w:rsid w:val="44E456AD"/>
    <w:rsid w:val="44EB56C8"/>
    <w:rsid w:val="469F7125"/>
    <w:rsid w:val="47032F6D"/>
    <w:rsid w:val="48077E10"/>
    <w:rsid w:val="49777AB0"/>
    <w:rsid w:val="4A9737AD"/>
    <w:rsid w:val="4C0A7139"/>
    <w:rsid w:val="4C6C5AF2"/>
    <w:rsid w:val="4D4B1038"/>
    <w:rsid w:val="4DE33966"/>
    <w:rsid w:val="4EB05239"/>
    <w:rsid w:val="4EFE51A9"/>
    <w:rsid w:val="4F773793"/>
    <w:rsid w:val="512403E7"/>
    <w:rsid w:val="52236D45"/>
    <w:rsid w:val="53B51901"/>
    <w:rsid w:val="53BE2AFF"/>
    <w:rsid w:val="54691F0F"/>
    <w:rsid w:val="56BB0395"/>
    <w:rsid w:val="56FB00C7"/>
    <w:rsid w:val="57BD5228"/>
    <w:rsid w:val="58207565"/>
    <w:rsid w:val="589979F9"/>
    <w:rsid w:val="58F922F2"/>
    <w:rsid w:val="59506761"/>
    <w:rsid w:val="59EE791A"/>
    <w:rsid w:val="5C39135F"/>
    <w:rsid w:val="5E1A38CF"/>
    <w:rsid w:val="5FBF276B"/>
    <w:rsid w:val="62806CF8"/>
    <w:rsid w:val="64D05170"/>
    <w:rsid w:val="662F64A9"/>
    <w:rsid w:val="66392EAD"/>
    <w:rsid w:val="668B0ECF"/>
    <w:rsid w:val="673F581D"/>
    <w:rsid w:val="6B164310"/>
    <w:rsid w:val="6C573D30"/>
    <w:rsid w:val="6CC3128C"/>
    <w:rsid w:val="6CD75778"/>
    <w:rsid w:val="6D182024"/>
    <w:rsid w:val="6FEC0000"/>
    <w:rsid w:val="71A36DE5"/>
    <w:rsid w:val="72426F5C"/>
    <w:rsid w:val="726A65A8"/>
    <w:rsid w:val="743553DE"/>
    <w:rsid w:val="758D07DF"/>
    <w:rsid w:val="76780840"/>
    <w:rsid w:val="768026B5"/>
    <w:rsid w:val="77220818"/>
    <w:rsid w:val="7726257F"/>
    <w:rsid w:val="789F3E60"/>
    <w:rsid w:val="7A291E51"/>
    <w:rsid w:val="7A577F30"/>
    <w:rsid w:val="7AD903D7"/>
    <w:rsid w:val="7BC2255D"/>
    <w:rsid w:val="7C593E79"/>
    <w:rsid w:val="7CF06D3D"/>
    <w:rsid w:val="7D1D7D7B"/>
    <w:rsid w:val="7D722475"/>
    <w:rsid w:val="7D781125"/>
    <w:rsid w:val="7D981FD3"/>
    <w:rsid w:val="7E1C63E4"/>
    <w:rsid w:val="7EB4FC5B"/>
    <w:rsid w:val="7EEF39B4"/>
    <w:rsid w:val="7EFB298B"/>
    <w:rsid w:val="BEFF653F"/>
    <w:rsid w:val="FFFB94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1"/>
    <w:pPr>
      <w:ind w:left="1099" w:hanging="563"/>
      <w:outlineLvl w:val="1"/>
    </w:pPr>
    <w:rPr>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rPr>
      <w:szCs w:val="21"/>
    </w:rPr>
  </w:style>
  <w:style w:type="paragraph" w:styleId="3">
    <w:name w:val="Body Text Indent"/>
    <w:basedOn w:val="1"/>
    <w:qFormat/>
    <w:uiPriority w:val="0"/>
    <w:pPr>
      <w:spacing w:after="120"/>
      <w:ind w:left="420"/>
    </w:pPr>
  </w:style>
  <w:style w:type="paragraph" w:styleId="4">
    <w:name w:val="Normal Indent"/>
    <w:basedOn w:val="1"/>
    <w:next w:val="1"/>
    <w:qFormat/>
    <w:uiPriority w:val="0"/>
    <w:pPr>
      <w:ind w:firstLine="420" w:firstLineChars="200"/>
    </w:pPr>
  </w:style>
  <w:style w:type="paragraph" w:styleId="6">
    <w:name w:val="Body Text 3"/>
    <w:basedOn w:val="1"/>
    <w:qFormat/>
    <w:uiPriority w:val="0"/>
    <w:pPr>
      <w:spacing w:beforeLines="30"/>
      <w:jc w:val="center"/>
    </w:pPr>
    <w:rPr>
      <w:rFonts w:eastAsia="仿宋_GB2312"/>
      <w:szCs w:val="24"/>
    </w:rPr>
  </w:style>
  <w:style w:type="paragraph" w:styleId="7">
    <w:name w:val="Body Text"/>
    <w:basedOn w:val="1"/>
    <w:unhideWhenUsed/>
    <w:qFormat/>
    <w:uiPriority w:val="99"/>
    <w:pPr>
      <w:widowControl/>
      <w:spacing w:after="120"/>
    </w:pPr>
    <w:rPr>
      <w:rFonts w:ascii="Arial" w:hAnsi="Arial" w:eastAsia="华文细黑"/>
      <w:kern w:val="0"/>
      <w:sz w:val="28"/>
      <w:szCs w:val="24"/>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Char"/>
    <w:link w:val="8"/>
    <w:qFormat/>
    <w:uiPriority w:val="0"/>
    <w:rPr>
      <w:kern w:val="2"/>
      <w:sz w:val="18"/>
      <w:szCs w:val="18"/>
    </w:rPr>
  </w:style>
  <w:style w:type="character" w:customStyle="1" w:styleId="15">
    <w:name w:val="页眉 Char"/>
    <w:link w:val="9"/>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7">
    <w:name w:val="List Paragraph"/>
    <w:basedOn w:val="1"/>
    <w:qFormat/>
    <w:uiPriority w:val="1"/>
    <w:pPr>
      <w:ind w:left="537"/>
    </w:pPr>
  </w:style>
  <w:style w:type="paragraph" w:customStyle="1" w:styleId="18">
    <w:name w:val="Table Paragraph"/>
    <w:basedOn w:val="1"/>
    <w:qFormat/>
    <w:uiPriority w:val="1"/>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3846</Words>
  <Characters>3855</Characters>
  <Lines>32</Lines>
  <Paragraphs>9</Paragraphs>
  <TotalTime>0</TotalTime>
  <ScaleCrop>false</ScaleCrop>
  <LinksUpToDate>false</LinksUpToDate>
  <CharactersWithSpaces>3887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2020-07-28T23:13:00Z</dcterms:created>
  <dc:creator>5407</dc:creator>
  <cp:lastModifiedBy>刘凤山</cp:lastModifiedBy>
  <cp:lastPrinted>2024-06-29T11:39:00Z</cp:lastPrinted>
  <dcterms:modified xsi:type="dcterms:W3CDTF">2024-07-03T14:44:51Z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BE7BB23BD7E043CF88A5322F6DCD96EE</vt:lpwstr>
  </property>
</Properties>
</file>