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eastAsia" w:ascii="Times New Roman" w:hAnsi="Times New Roman" w:eastAsia="黑体" w:cs="Times New Roman"/>
          <w:color w:val="auto"/>
          <w:spacing w:val="0"/>
          <w:kern w:val="0"/>
          <w:sz w:val="32"/>
          <w:szCs w:val="20"/>
          <w:lang w:val="en-US" w:eastAsia="zh-CN"/>
        </w:rPr>
      </w:pPr>
      <w:r>
        <w:rPr>
          <w:rFonts w:hint="eastAsia" w:ascii="Times New Roman" w:hAnsi="Times New Roman" w:eastAsia="黑体" w:cs="Times New Roman"/>
          <w:color w:val="auto"/>
          <w:spacing w:val="0"/>
          <w:kern w:val="0"/>
          <w:sz w:val="32"/>
          <w:szCs w:val="20"/>
          <w:lang w:val="en-US" w:eastAsia="zh-CN"/>
        </w:rPr>
        <w:t>附件</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rPr>
          <w:rFonts w:hint="eastAsia" w:ascii="Times New Roman" w:hAnsi="Times New Roman" w:eastAsia="黑体" w:cs="Times New Roman"/>
          <w:color w:val="auto"/>
          <w:spacing w:val="0"/>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17"/>
          <w:sz w:val="44"/>
          <w:szCs w:val="44"/>
          <w:lang w:val="en-US" w:eastAsia="zh-CN"/>
        </w:rPr>
      </w:pPr>
      <w:r>
        <w:rPr>
          <w:rFonts w:hint="eastAsia" w:ascii="方正小标宋_GBK" w:hAnsi="方正小标宋_GBK" w:eastAsia="方正小标宋_GBK" w:cs="方正小标宋_GBK"/>
          <w:spacing w:val="-17"/>
          <w:sz w:val="44"/>
          <w:szCs w:val="44"/>
          <w:lang w:val="en-US" w:eastAsia="zh-CN"/>
        </w:rPr>
        <w:t>《深圳市行政执法监督码实施管理规定（试行）》（征求意见稿）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17"/>
          <w:sz w:val="44"/>
          <w:szCs w:val="44"/>
          <w:lang w:val="en-US" w:eastAsia="zh-CN"/>
        </w:rPr>
      </w:pPr>
      <w:r>
        <w:rPr>
          <w:rFonts w:hint="eastAsia" w:ascii="方正小标宋_GBK" w:hAnsi="方正小标宋_GBK" w:eastAsia="方正小标宋_GBK" w:cs="方正小标宋_GBK"/>
          <w:spacing w:val="-17"/>
          <w:sz w:val="44"/>
          <w:szCs w:val="44"/>
          <w:lang w:val="en-US" w:eastAsia="zh-CN"/>
        </w:rPr>
        <w:t>社会公众意见采纳情况一览表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17"/>
          <w:sz w:val="44"/>
          <w:szCs w:val="44"/>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080"/>
        <w:gridCol w:w="5836"/>
        <w:gridCol w:w="2595"/>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default" w:ascii="Times New Roman" w:hAnsi="Times New Roman" w:eastAsia="黑体" w:cs="Times New Roman"/>
                <w:color w:val="auto"/>
                <w:spacing w:val="0"/>
                <w:kern w:val="0"/>
                <w:sz w:val="32"/>
                <w:szCs w:val="20"/>
                <w:lang w:val="en-US" w:eastAsia="zh-CN"/>
              </w:rPr>
            </w:pPr>
            <w:r>
              <w:rPr>
                <w:rFonts w:hint="eastAsia" w:ascii="Times New Roman" w:hAnsi="Times New Roman" w:eastAsia="黑体" w:cs="Times New Roman"/>
                <w:color w:val="auto"/>
                <w:spacing w:val="0"/>
                <w:kern w:val="0"/>
                <w:sz w:val="32"/>
                <w:szCs w:val="20"/>
                <w:lang w:val="en-US" w:eastAsia="zh-CN"/>
              </w:rPr>
              <w:t>序号</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default" w:ascii="Times New Roman" w:hAnsi="Times New Roman" w:eastAsia="黑体" w:cs="Times New Roman"/>
                <w:color w:val="auto"/>
                <w:spacing w:val="0"/>
                <w:kern w:val="0"/>
                <w:sz w:val="32"/>
                <w:szCs w:val="20"/>
                <w:lang w:val="en-US" w:eastAsia="zh-CN"/>
              </w:rPr>
            </w:pPr>
            <w:r>
              <w:rPr>
                <w:rFonts w:hint="eastAsia" w:ascii="Times New Roman" w:hAnsi="Times New Roman" w:eastAsia="黑体" w:cs="Times New Roman"/>
                <w:color w:val="auto"/>
                <w:spacing w:val="0"/>
                <w:kern w:val="0"/>
                <w:sz w:val="32"/>
                <w:szCs w:val="20"/>
                <w:lang w:val="en-US" w:eastAsia="zh-CN"/>
              </w:rPr>
              <w:t>姓名</w:t>
            </w:r>
          </w:p>
        </w:tc>
        <w:tc>
          <w:tcPr>
            <w:tcW w:w="583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default" w:ascii="Times New Roman" w:hAnsi="Times New Roman" w:eastAsia="黑体" w:cs="Times New Roman"/>
                <w:color w:val="auto"/>
                <w:spacing w:val="0"/>
                <w:kern w:val="0"/>
                <w:sz w:val="32"/>
                <w:szCs w:val="20"/>
                <w:lang w:val="en-US" w:eastAsia="zh-CN"/>
              </w:rPr>
            </w:pPr>
            <w:r>
              <w:rPr>
                <w:rFonts w:hint="eastAsia" w:ascii="Times New Roman" w:hAnsi="Times New Roman" w:eastAsia="黑体" w:cs="Times New Roman"/>
                <w:color w:val="auto"/>
                <w:spacing w:val="0"/>
                <w:kern w:val="0"/>
                <w:sz w:val="32"/>
                <w:szCs w:val="20"/>
                <w:lang w:val="en-US" w:eastAsia="zh-CN"/>
              </w:rPr>
              <w:t>意见</w:t>
            </w:r>
          </w:p>
        </w:tc>
        <w:tc>
          <w:tcPr>
            <w:tcW w:w="259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default" w:ascii="Times New Roman" w:hAnsi="Times New Roman" w:eastAsia="黑体" w:cs="Times New Roman"/>
                <w:color w:val="auto"/>
                <w:spacing w:val="0"/>
                <w:kern w:val="0"/>
                <w:sz w:val="32"/>
                <w:szCs w:val="20"/>
                <w:lang w:val="en-US" w:eastAsia="zh-CN"/>
              </w:rPr>
            </w:pPr>
            <w:r>
              <w:rPr>
                <w:rFonts w:hint="eastAsia" w:ascii="Times New Roman" w:hAnsi="Times New Roman" w:eastAsia="黑体" w:cs="Times New Roman"/>
                <w:color w:val="auto"/>
                <w:spacing w:val="0"/>
                <w:kern w:val="0"/>
                <w:sz w:val="32"/>
                <w:szCs w:val="20"/>
                <w:lang w:val="en-US" w:eastAsia="zh-CN"/>
              </w:rPr>
              <w:t>采纳情况</w:t>
            </w:r>
          </w:p>
        </w:tc>
        <w:tc>
          <w:tcPr>
            <w:tcW w:w="259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rPr>
                <w:rFonts w:hint="default" w:ascii="Times New Roman" w:hAnsi="Times New Roman" w:eastAsia="黑体" w:cs="Times New Roman"/>
                <w:color w:val="auto"/>
                <w:spacing w:val="0"/>
                <w:kern w:val="0"/>
                <w:sz w:val="32"/>
                <w:szCs w:val="20"/>
                <w:lang w:val="en-US" w:eastAsia="zh-CN"/>
              </w:rPr>
            </w:pPr>
            <w:r>
              <w:rPr>
                <w:rFonts w:hint="eastAsia" w:ascii="Times New Roman" w:hAnsi="Times New Roman" w:eastAsia="黑体" w:cs="Times New Roman"/>
                <w:color w:val="auto"/>
                <w:spacing w:val="0"/>
                <w:kern w:val="0"/>
                <w:sz w:val="32"/>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第一条【立法目的】为了加强深圳市行政执法监督码（以下简称监督码）建设、应用和管理，规范涉企行政检查行为，强化涉企行政执法监督，助力优化法治化营商环境，根据有关法律、法规、规章的规定，结合本市实际，制定本规定。理由：加顿号和</w:t>
            </w:r>
            <w:r>
              <w:rPr>
                <w:rFonts w:hint="eastAsia" w:ascii="仿宋_GB2312" w:hAnsi="仿宋_GB2312" w:eastAsia="仿宋_GB2312" w:cs="仿宋_GB2312"/>
                <w:kern w:val="2"/>
                <w:sz w:val="24"/>
                <w:szCs w:val="24"/>
                <w:lang w:val="en-US" w:eastAsia="zh-CN" w:bidi="ar-SA"/>
              </w:rPr>
              <w:t>“的</w:t>
            </w:r>
            <w:bookmarkStart w:id="0" w:name="_GoBack"/>
            <w:r>
              <w:rPr>
                <w:rFonts w:hint="eastAsia" w:ascii="仿宋_GB2312" w:hAnsi="仿宋_GB2312" w:eastAsia="仿宋_GB2312" w:cs="仿宋_GB2312"/>
                <w:kern w:val="2"/>
                <w:sz w:val="24"/>
                <w:szCs w:val="24"/>
                <w:lang w:val="en-US" w:eastAsia="zh-CN" w:bidi="ar-SA"/>
              </w:rPr>
              <w:t>”</w:t>
            </w:r>
            <w:bookmarkEnd w:id="0"/>
            <w:r>
              <w:rPr>
                <w:rFonts w:hint="default" w:ascii="仿宋_GB2312" w:hAnsi="仿宋_GB2312" w:eastAsia="仿宋_GB2312" w:cs="仿宋_GB2312"/>
                <w:kern w:val="2"/>
                <w:sz w:val="24"/>
                <w:szCs w:val="24"/>
                <w:lang w:val="en-US" w:eastAsia="zh-CN" w:bidi="ar-SA"/>
              </w:rPr>
              <w:t>字，便于理解，同时与随后的“规定”进行区分。</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采纳</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本规定所称行政执法部门包括市、区人民政府所属部门、街道办事处、实行省以下垂直管理的行政执法部门、法律法规授权的具有管理公共事务职能的组织以及受委托组织。理由：市区中间加顿号，市区可以有两种解释，及市和区，还有市区与农村（深汕</w:t>
            </w:r>
            <w:r>
              <w:rPr>
                <w:rFonts w:hint="eastAsia" w:ascii="仿宋_GB2312" w:hAnsi="仿宋_GB2312" w:eastAsia="仿宋_GB2312" w:cs="仿宋_GB2312"/>
                <w:kern w:val="2"/>
                <w:sz w:val="24"/>
                <w:szCs w:val="24"/>
                <w:lang w:val="en-US" w:eastAsia="zh-CN" w:bidi="ar-SA"/>
              </w:rPr>
              <w:t>特别</w:t>
            </w:r>
            <w:r>
              <w:rPr>
                <w:rFonts w:hint="default" w:ascii="仿宋_GB2312" w:hAnsi="仿宋_GB2312" w:eastAsia="仿宋_GB2312" w:cs="仿宋_GB2312"/>
                <w:kern w:val="2"/>
                <w:sz w:val="24"/>
                <w:szCs w:val="24"/>
                <w:lang w:val="en-US" w:eastAsia="zh-CN" w:bidi="ar-SA"/>
              </w:rPr>
              <w:t>合作区有农村）</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采纳</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“本规定所称企（企业）是指在深圳市范围内依法设立的各种营利性组织，不包括机关事业单位及个体工商户。”建议修改为</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本规定所称企（企业）是指在深圳市范围内依法设立的各种营利性组织，一般不包括机关事业单位及个体工商户，部分规模较大（年产值或收入超过500万元）的个体工商户逐步纳入。</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理由：部分个体工商户的产值和营业收入较高，甚至远高于部分企业，如网店、民宿等，因此不能将所有个体工商户排除在外。</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解释说明</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目前“扫码入企”仍属于一项探索创新工作，个体工商户暂不纳入“扫码入企”范围。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第三条修改为：“本规定所称行政执法部门包括市区人民政府所属部门、街道办事处、实行省以下垂直管理的行政执法部门、法律法规授权的具有管理公共事务职能的组织以及受上述机构委托代为行使部分具体行政执法工作的组织。”理由：对“受委托组织”的表述予以细化。虽然受委托组织是行政法理论上的通行概念，但其在我国具体立法中的适用范围却不是无限的，为明确本规定的具体指代，故对受委托组织予以具体描述。</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采纳</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监督码系统所需的开发建设、应用推广、运维运营等经费，由市（或区）级财政根据年度预算予以全额保障。经费主要用于系统开发升级、硬件设备购置、网络维护、人员培训、宣传推广以及日常运营管理等。上线应用监督码系统时，任何单位和个人均不得向企业或其他组织收取任何费用，包括但不限于安装费、使用费、维护费等。市（或区）财政部门应加强对经费使用情况的监督和审计，确保经费专款专用，并建立经费使用绩效评估机制。随着系统的不断完善和升级，财政部门应根据实际需要适时调整经费预算。理由：虽然原文已指出经费由本级财政保障，但可进一步明确经费的具体来源渠道和主要用途，以确保经费使用的透明度和合理性；强调费用免除原则，原文已明确上线应用监督码不得收取企业任何费用，可以稍作调整，使其表述更加严谨和全面；为了确保经费使用的合规性和有效性，可以增加关于经费使用监督与审计的条款；考虑到未来监督码系统可能需要进行升级或扩展，可以在条款中预留相关经费的保障措施。这样的修改使条款更加完善，既明确了经费的来源和用途，又强调了费用免除的原则，并增加了监督与审计机制以及后续升级与扩展的考虑。</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解释说明</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现条款原文已经包含意见建议内容。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建议增加一款，作为第三款：“不得强制企业安装</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监督码</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行政执法部门不得因企业有无安装监督码而在行政检查的频次与要求上存在区别对待。”理由：第八条前两款明确了监督码申领的自愿性原则，为防止行政执法部门对没有申领监督码的企业区别对待或者强制推行监督码普及化，增加一款明确禁止区别对待的要求。</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采纳</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为增强行政执法透明度，保护企业合法权益，减少对企业正常生产经营活动的不必要干扰，开展涉企行政检查前，行政执法部门应当通过监督码系统或其他双方认可的方式向企业发出检查预告。预告内容应当全面、准确，包括但不限于检查单位、检查时间、检查事项、检查依据、检查人员的姓名及联系方式等，并确保企业能够及时接收。行政执法部门确需调整或取消检查预告的，应提前通知企业并说明理由，通知方式应与原预告发送方式一致。企业接到检查预告后，如有异议或需申请延期检查的，应在规定时间内向行政执法部门提出，并说明理由。行政执法部门应认真考虑企业的合理请求，并及时给予答复。理由：明确预告目的与意义，在条款开头简要阐述检查预告的目的和意义，有助于企业和公众理解这一制度的重要性和必要性；细化预告内容要求，除了检查单位、检查时间、检查事项等基本内容外，还可以考虑增加其他必要信息，如检查依据、检查人员的联系方式等，以便企业做好配合准备；明确预告的发送与接收方式，确保预告能够及时、准确地传达给企业；规范预告的调整与取消，虽然原文已提及行政执法部门可以根据实际情况适时调整或取消检查预告，但应进一步明确调整或取消的条件、程序及通知方式，以避免给企业带来不必要的困扰；强调企业权益保护，在条款中强调企业在接到检查预告后的权益保护措施，如提出异议、申请延期等。这样的修改使条款更加完善，既明确了检查预告的目的、内容、发送与接收方式，又规范了预告的调整与取消程序，并强调了企业权益的保护。</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解释说明</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1.针对“</w:t>
            </w:r>
            <w:r>
              <w:rPr>
                <w:rFonts w:hint="default" w:ascii="仿宋_GB2312" w:hAnsi="仿宋_GB2312" w:eastAsia="仿宋_GB2312" w:cs="仿宋_GB2312"/>
                <w:kern w:val="2"/>
                <w:sz w:val="24"/>
                <w:szCs w:val="24"/>
                <w:lang w:val="en-US" w:eastAsia="zh-CN" w:bidi="ar-SA"/>
              </w:rPr>
              <w:t>开展涉企行政检查前，行政执法部门应当通过监督码系统或其他双方认可的方式向企业发出检查预告</w:t>
            </w:r>
            <w:r>
              <w:rPr>
                <w:rFonts w:hint="eastAsia" w:ascii="仿宋_GB2312" w:hAnsi="仿宋_GB2312" w:eastAsia="仿宋_GB2312" w:cs="仿宋_GB2312"/>
                <w:kern w:val="2"/>
                <w:sz w:val="24"/>
                <w:szCs w:val="24"/>
                <w:lang w:val="en-US" w:eastAsia="zh-CN" w:bidi="ar-SA"/>
              </w:rPr>
              <w:t>”的意见，目前行政执法实践不是所有执法情形都适宜提前检查预告。例如存在紧急情况、证据可能灭失、执法暗访等情形。故应由行政执法部门根据案情实际自行判断是否开展提前预告。</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2.针对“</w:t>
            </w:r>
            <w:r>
              <w:rPr>
                <w:rFonts w:hint="default" w:ascii="仿宋_GB2312" w:hAnsi="仿宋_GB2312" w:eastAsia="仿宋_GB2312" w:cs="仿宋_GB2312"/>
                <w:kern w:val="2"/>
                <w:sz w:val="24"/>
                <w:szCs w:val="24"/>
                <w:lang w:val="en-US" w:eastAsia="zh-CN" w:bidi="ar-SA"/>
              </w:rPr>
              <w:t>预告内容应当全面、准确，包括但不限于</w:t>
            </w:r>
            <w:r>
              <w:rPr>
                <w:rFonts w:hint="eastAsia" w:ascii="仿宋_GB2312" w:hAnsi="仿宋_GB2312" w:eastAsia="仿宋_GB2312" w:cs="仿宋_GB2312"/>
                <w:kern w:val="2"/>
                <w:sz w:val="24"/>
                <w:szCs w:val="24"/>
                <w:lang w:val="en-US" w:eastAsia="zh-CN" w:bidi="ar-SA"/>
              </w:rPr>
              <w:t>...与原预告发送方式一致”意见，提前预告内容不适宜过于详细，例如执法人员联系方式等，可能导致权钱交易、权力寻租等情形。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3.针对“企业接到检查预告后...并及时给予答复”的意见，目前系统尚不具备此项功能，后续将结合此意见，结合具体实际情况考虑进行优化完善。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第一款建议修改为：“开展涉企行政检查前三日内，行政执法部门可以通过监督码系统向预检查企业发出检查预告。预告内容应当包括检查单位、检查时间、检查事项等。”理由：为了优化相关的预告检查要求，对提前告知的时限和告知的对象作</w:t>
            </w:r>
            <w:r>
              <w:rPr>
                <w:rFonts w:hint="eastAsia" w:ascii="仿宋_GB2312" w:hAnsi="仿宋_GB2312" w:eastAsia="仿宋_GB2312" w:cs="仿宋_GB2312"/>
                <w:kern w:val="2"/>
                <w:sz w:val="24"/>
                <w:szCs w:val="24"/>
                <w:lang w:val="en-US" w:eastAsia="zh-CN" w:bidi="ar-SA"/>
              </w:rPr>
              <w:t>针</w:t>
            </w:r>
            <w:r>
              <w:rPr>
                <w:rFonts w:hint="default" w:ascii="仿宋_GB2312" w:hAnsi="仿宋_GB2312" w:eastAsia="仿宋_GB2312" w:cs="仿宋_GB2312"/>
                <w:kern w:val="2"/>
                <w:sz w:val="24"/>
                <w:szCs w:val="24"/>
                <w:lang w:val="en-US" w:eastAsia="zh-CN" w:bidi="ar-SA"/>
              </w:rPr>
              <w:t>对性细化规定，明确提前三日予以告知且告知对象应当为预检查企业。</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解释说明</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行政执法实践中，行政执法部门可能因为执法活动紧急或者涉密等，难以提前三日或者不适宜开展检查预告。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第二款建议修改为：“行政执法部门可以根据实际情况适时调整或取消检查预告，调整或取消检查预告的，应以相同方式向预检查企业告知。”理由：为了完善相应告知要求，增加规定取消或调整检查预告也需要以相同方式再进行告知。</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解释说明</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目前系统设置的取消或调整检查预告的通知方式与首次预告的通知方式相同。但考虑执法实践特殊情况，可能存在需要电话告知等其他方式。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第二款建议增加“并将调整或取消检查预告及时通知企业。”理由：检查预告如有变动应及时提醒被检企业，减少对企业正常生产经营活动的干预。</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采纳</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当行政执法部门决定开展联合执法时，参与联合执法的所有行政执法部门均须按照本规定的要求，通过监督码系统“扫码入企”，以确保检查活动的规范化、透明化</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系统应自动关联并整合各行政执法部门的联合检查信息，包括但不限于检查时间、检查事项、检查人员、检查依据等，形成统一的联合检查记录。对于通过联合检查方式完成的涉企检查，系统应仅记作一次涉企检查，避免重复检查对企业造成的不必要负担。联合检查过程中，各行政执法部门应相互协作，按照各自职责范围开展检查工作，并共同对检查结果负责。同时，应确保检查活动的合法性、公正性和高效性。联合检查结束后，各行政执法部门应及时将检查结果录入监督码系统，以便后续监督与管理。系统应提供查询功能，允许企业和社会公众查询联合检查的结果和相关信息。对于联合检查中发现的问题，各行政执法部门应依法依规进行处理，并及时向企业反馈处理结果。同时，应加强信息共享和协作配合，共同维护市场秩序和公共利益。本条规定不影响各行政执法部门根据法定职责和程序单独开展执法检查的权利和义务。但在条件允许的情况下，应优先采用联合检查的方式，以提高执法效率，减轻企业负担。理由：这样的修改与完善，不仅明确了联合检查中行政执法部门的具体操作要求，还强调了系统对联合检查信息的自动关联与整合功能，以及联合检查结果的处理与反馈机制。同时，也保留了各行政执法部门单独开展执法检查的权利和义务，确保了规定的全面性和灵活性。</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部分采纳</w:t>
            </w:r>
          </w:p>
        </w:tc>
        <w:tc>
          <w:tcPr>
            <w:tcW w:w="2595" w:type="dxa"/>
            <w:noWrap w:val="0"/>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1.针对“当行政执法部门决定开展联合执法时...</w:t>
            </w:r>
            <w:r>
              <w:rPr>
                <w:rFonts w:hint="default" w:ascii="仿宋_GB2312" w:hAnsi="仿宋_GB2312" w:eastAsia="仿宋_GB2312" w:cs="仿宋_GB2312"/>
                <w:kern w:val="2"/>
                <w:sz w:val="24"/>
                <w:szCs w:val="24"/>
                <w:lang w:val="en-US" w:eastAsia="zh-CN" w:bidi="ar-SA"/>
              </w:rPr>
              <w:t>确保检查活动的合法性、公正性和高效性</w:t>
            </w:r>
            <w:r>
              <w:rPr>
                <w:rFonts w:hint="eastAsia" w:ascii="仿宋_GB2312" w:hAnsi="仿宋_GB2312" w:eastAsia="仿宋_GB2312" w:cs="仿宋_GB2312"/>
                <w:kern w:val="2"/>
                <w:sz w:val="24"/>
                <w:szCs w:val="24"/>
                <w:lang w:val="en-US" w:eastAsia="zh-CN" w:bidi="ar-SA"/>
              </w:rPr>
              <w:t>”，此意见非常好。考虑到条文语言需要精炼、简洁，相关意见将在监督码系统建设和推广培训中予以采纳。</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2.针对“</w:t>
            </w:r>
            <w:r>
              <w:rPr>
                <w:rFonts w:hint="default" w:ascii="仿宋_GB2312" w:hAnsi="仿宋_GB2312" w:eastAsia="仿宋_GB2312" w:cs="仿宋_GB2312"/>
                <w:kern w:val="2"/>
                <w:sz w:val="24"/>
                <w:szCs w:val="24"/>
                <w:lang w:val="en-US" w:eastAsia="zh-CN" w:bidi="ar-SA"/>
              </w:rPr>
              <w:t>联合检查结束后，各行政执法部门应及时将检查结果录入监督码系统</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允许企业和社会公众查询联合检查的结果和相关信息</w:t>
            </w:r>
            <w:r>
              <w:rPr>
                <w:rFonts w:hint="eastAsia" w:ascii="仿宋_GB2312" w:hAnsi="仿宋_GB2312" w:eastAsia="仿宋_GB2312" w:cs="仿宋_GB2312"/>
                <w:kern w:val="2"/>
                <w:sz w:val="24"/>
                <w:szCs w:val="24"/>
                <w:lang w:val="en-US" w:eastAsia="zh-CN" w:bidi="ar-SA"/>
              </w:rPr>
              <w:t>”，目前系统尚不具备此项功能，后续将结合此意见进行研究，结合实际情况对系统进行优化完善。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3.针对“</w:t>
            </w:r>
            <w:r>
              <w:rPr>
                <w:rFonts w:hint="default" w:ascii="仿宋_GB2312" w:hAnsi="仿宋_GB2312" w:eastAsia="仿宋_GB2312" w:cs="仿宋_GB2312"/>
                <w:kern w:val="2"/>
                <w:sz w:val="24"/>
                <w:szCs w:val="24"/>
                <w:lang w:val="en-US" w:eastAsia="zh-CN" w:bidi="ar-SA"/>
              </w:rPr>
              <w:t>对于联合检查中发现的问题，各行政执法部门应依法依规进行处理，并及时向企业反馈处理结果</w:t>
            </w:r>
            <w:r>
              <w:rPr>
                <w:rFonts w:hint="eastAsia" w:ascii="仿宋_GB2312" w:hAnsi="仿宋_GB2312" w:eastAsia="仿宋_GB2312" w:cs="仿宋_GB2312"/>
                <w:kern w:val="2"/>
                <w:sz w:val="24"/>
                <w:szCs w:val="24"/>
                <w:lang w:val="en-US" w:eastAsia="zh-CN" w:bidi="ar-SA"/>
              </w:rPr>
              <w:t>”的意见，目前系统尚不具备此项功能，后续将结合此意见考虑对系统进行优化完善，另行政执法部门在检查中发现问题的，会通过制发行政执法文书的方式告知检查情况。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4.针对“</w:t>
            </w:r>
            <w:r>
              <w:rPr>
                <w:rFonts w:hint="default" w:ascii="仿宋_GB2312" w:hAnsi="仿宋_GB2312" w:eastAsia="仿宋_GB2312" w:cs="仿宋_GB2312"/>
                <w:kern w:val="2"/>
                <w:sz w:val="24"/>
                <w:szCs w:val="24"/>
                <w:lang w:val="en-US" w:eastAsia="zh-CN" w:bidi="ar-SA"/>
              </w:rPr>
              <w:t>同时，应加强信息共享和协作配合</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减轻企业负担</w:t>
            </w:r>
            <w:r>
              <w:rPr>
                <w:rFonts w:hint="eastAsia" w:ascii="仿宋_GB2312" w:hAnsi="仿宋_GB2312" w:eastAsia="仿宋_GB2312" w:cs="仿宋_GB2312"/>
                <w:kern w:val="2"/>
                <w:sz w:val="24"/>
                <w:szCs w:val="24"/>
                <w:lang w:val="en-US" w:eastAsia="zh-CN" w:bidi="ar-SA"/>
              </w:rPr>
              <w:t>”意见，目前系统开发建设的目的之一即是推动联合执法，减少对企业的重复检查等负担。</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建议修改为：“两个以上行政执法部门开展联合执法的，各行政执法部门均须</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扫码入企</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，系统自动关联联合检查信息，并仅记作一次涉企检查。”理由：作文字性细化调整，明确联合执法是“两个以上行政执法部门开展联合执法”，让行文更加符合逻辑。</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解释说明</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联合执法本身即表明需两个及以上行政执法部门。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建议修改为：“行政执法人员在开展涉企行政检查时应当提醒企业出示</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监督码</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。若企业尚未申请、无法出示</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监督码</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或者遇到系统无法为企业生成</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监督码</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等情形，行政执法部门可以搜索企业名称、统一社会信用代码等调出企业</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监督码</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并扫码登记。”理由：规定第八条已经明确监督码的申请遵循自愿原则，企业不存在出示监督码的强制性义务，故而也不存在所谓的“拒不出示”的情形，建议优化为对未申请或无法出示监督码的情况采取搜索登记，避免把不出示或不申请监督码异化为不配合执法。</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解释说明</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目前企业成功登录深i企，进入监督码系统后，系统将自动为企业生成二维码，无需企业进行申请。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第一款建议修改为：“监督码系统按以下规则设置检查次数提醒功能，为行政执法部门科学安排检查时间、频次等提供参考，行政执法部门应当根据企业已接受行政检查次数情况科学调整行政检查安排，优化行政检查计划：”理由：建议把行政执法部门可以根据企业已经</w:t>
            </w:r>
            <w:r>
              <w:rPr>
                <w:rFonts w:hint="eastAsia" w:ascii="仿宋_GB2312" w:hAnsi="仿宋_GB2312" w:eastAsia="仿宋_GB2312" w:cs="仿宋_GB2312"/>
                <w:kern w:val="2"/>
                <w:sz w:val="24"/>
                <w:szCs w:val="24"/>
                <w:lang w:val="en-US" w:eastAsia="zh-CN" w:bidi="ar-SA"/>
              </w:rPr>
              <w:t>接受</w:t>
            </w:r>
            <w:r>
              <w:rPr>
                <w:rFonts w:hint="default" w:ascii="仿宋_GB2312" w:hAnsi="仿宋_GB2312" w:eastAsia="仿宋_GB2312" w:cs="仿宋_GB2312"/>
                <w:kern w:val="2"/>
                <w:sz w:val="24"/>
                <w:szCs w:val="24"/>
                <w:lang w:val="en-US" w:eastAsia="zh-CN" w:bidi="ar-SA"/>
              </w:rPr>
              <w:t>检查次数情况调整安排修改为应当调整，否则该条所设置的预警提示功能将形同虚设。</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解释说明</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涉企行政检查计划仍以行政执法部门工作需要和职责要求进行设计和安排为主，系统仅提供检查次数提醒。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第一款第（三）项建议修改为：“（三）针对与行政检查无关的其他事项的。”理由：该条款前两项所列举之事项均为与行政检查行为无直接关联的其他行政法律问题，说明第一款所针对的例外事由均是不符合行政检查相关性的事宜，第三项作为兜底条款应当包括的是“其他”同样无关于行政检查的事项。</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采纳</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第一款第一项建议修改为“（一）针对法律宣传、政策宣传、指导培训、人口普查以及非行政检查的日常巡查等行为进行投诉的；”理由：将第十八条第一款第一项修改为“（一）针对法律宣传、政策宣传、指导培训、人口普查以及非行政检查的日常巡查等行为进行投诉的；”</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采纳</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17</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“投诉注意”改为“投诉要求”或“有效投诉”。理由：将注意改为要求或有效，表达更为准确书面。</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采纳</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18</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第（三）项建议修改为：“（三）投诉的事实和理由，并可以提供现场照片材料等佐证。”理由：原草案规定对企业设置了必要时提供证据材料的义务，但企业对行政检查中可能存在的违法行为没有举证的责任，而“必要时”是一个主观判断因素，容易被行政机关用于抬高投诉门槛。修改为“并可以”提交佐证材料有利于企业配合进行执法监督活动且明确了行政机关自身的监督调查责任。</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采纳</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19</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沈*刚</w:t>
            </w:r>
          </w:p>
        </w:tc>
        <w:tc>
          <w:tcPr>
            <w:tcW w:w="5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建议补充：对拒不配合或无理投诉形成诬告的企业，依照有关法律法规处理。理由：法律责任是双方的，不能只追究检查人员，对被检查对象也要明确规定。</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采纳</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24"/>
                <w:szCs w:val="24"/>
                <w:lang w:val="en-US" w:eastAsia="zh-CN" w:bidi="ar-SA"/>
              </w:rPr>
            </w:pPr>
          </w:p>
        </w:tc>
      </w:tr>
    </w:tbl>
    <w:p/>
    <w:sectPr>
      <w:pgSz w:w="16838" w:h="11906" w:orient="landscape"/>
      <w:pgMar w:top="1587" w:right="2098" w:bottom="1474" w:left="198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9A832"/>
    <w:rsid w:val="6CF9A832"/>
    <w:rsid w:val="7777E199"/>
    <w:rsid w:val="F2ECFA6F"/>
    <w:rsid w:val="F55F3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2024-08-20T11:48:00Z</dcterms:created>
  <dc:creator>fanguanghui</dc:creator>
  <cp:lastModifiedBy>胡欣欣</cp:lastModifiedBy>
  <dcterms:modified xsi:type="dcterms:W3CDTF">2024-08-21T16:49:31Z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34CF5DD4033DCB090B31C3661CF754D7_41</vt:lpwstr>
  </property>
</Properties>
</file>