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620" w:type="pct"/>
        <w:tblInd w:w="-1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4"/>
        <w:gridCol w:w="780"/>
        <w:gridCol w:w="875"/>
        <w:gridCol w:w="1091"/>
        <w:gridCol w:w="1630"/>
        <w:gridCol w:w="1025"/>
        <w:gridCol w:w="1380"/>
        <w:gridCol w:w="1644"/>
        <w:gridCol w:w="1317"/>
        <w:gridCol w:w="1210"/>
        <w:gridCol w:w="997"/>
        <w:gridCol w:w="900"/>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000" w:type="pct"/>
            <w:gridSpan w:val="13"/>
            <w:tcBorders>
              <w:top w:val="nil"/>
              <w:left w:val="nil"/>
              <w:bottom w:val="nil"/>
              <w:right w:val="nil"/>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000" w:type="pct"/>
            <w:gridSpan w:val="13"/>
            <w:tcBorders>
              <w:top w:val="nil"/>
              <w:left w:val="nil"/>
              <w:bottom w:val="nil"/>
              <w:right w:val="nil"/>
            </w:tcBorders>
            <w:noWrap w:val="0"/>
            <w:vAlign w:val="center"/>
          </w:tcPr>
          <w:p>
            <w:pPr>
              <w:keepNext w:val="0"/>
              <w:keepLines w:val="0"/>
              <w:widowControl/>
              <w:suppressLineNumbers w:val="0"/>
              <w:spacing w:line="340" w:lineRule="exact"/>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大鹏新区公共租赁住房房源信息表（2024年第二批）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1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位置</w:t>
            </w:r>
          </w:p>
        </w:tc>
        <w:tc>
          <w:tcPr>
            <w:tcW w:w="3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户型</w:t>
            </w:r>
          </w:p>
        </w:tc>
        <w:tc>
          <w:tcPr>
            <w:tcW w:w="5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建筑面积(㎡)（以测绘报告为准）</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供应数量（套）</w:t>
            </w:r>
          </w:p>
        </w:tc>
        <w:tc>
          <w:tcPr>
            <w:tcW w:w="4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配租申请标准</w:t>
            </w:r>
          </w:p>
        </w:tc>
        <w:tc>
          <w:tcPr>
            <w:tcW w:w="99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公共租赁住房租金</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（元/平方米/月）</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（根据家庭收入和财产状况确定）</w:t>
            </w:r>
          </w:p>
        </w:tc>
        <w:tc>
          <w:tcPr>
            <w:tcW w:w="4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物业服务费</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（元/平方米/月）</w:t>
            </w:r>
          </w:p>
        </w:tc>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物业专项维修资金（元/平方米/月）</w:t>
            </w:r>
          </w:p>
        </w:tc>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停车费（元/月）</w:t>
            </w: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其他费用（水电燃）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14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36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未提出核对或已提出核对但不符合条件</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已提出核对且符合条件</w:t>
            </w:r>
          </w:p>
        </w:tc>
        <w:tc>
          <w:tcPr>
            <w:tcW w:w="4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3"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鹏溪苑</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大鹏新区葵涌街道深葵路552号</w:t>
            </w:r>
          </w:p>
        </w:tc>
        <w:tc>
          <w:tcPr>
            <w:tcW w:w="367" w:type="pc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一房一厅</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1.一人及以上家庭可认租一房户型房源；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2.三人及以上家庭可认租两房户型房源；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3.四人及以上家庭可认租三房户型房源；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4.建筑面积超过70㎡的房源优先面向五人及以上家庭配租。</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16.8</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8.4</w:t>
            </w:r>
          </w:p>
        </w:tc>
        <w:tc>
          <w:tcPr>
            <w:tcW w:w="4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3.15</w:t>
            </w:r>
          </w:p>
        </w:tc>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0.25</w:t>
            </w:r>
          </w:p>
        </w:tc>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暂未办理停车场经营许可证，预估200，以最终实际为准</w:t>
            </w: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具体以相关部门收费标准为准，该费用由承租人自行承担。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nil"/>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67" w:type="pc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二房二厅</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eastAsia" w:ascii="宋体" w:hAnsi="宋体" w:eastAsia="宋体" w:cs="宋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4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nil"/>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67" w:type="pc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三房二厅</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eastAsia" w:ascii="宋体" w:hAnsi="宋体" w:eastAsia="宋体" w:cs="宋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nil"/>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917"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eastAsia" w:ascii="宋体" w:hAnsi="宋体" w:eastAsia="宋体" w:cs="宋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3"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招商东岸家园</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葵涌办事处葵新北路80号</w:t>
            </w:r>
          </w:p>
        </w:tc>
        <w:tc>
          <w:tcPr>
            <w:tcW w:w="367" w:type="pc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二房一厅</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bookmarkStart w:id="0" w:name="_GoBack"/>
            <w:bookmarkEnd w:id="0"/>
            <w:r>
              <w:rPr>
                <w:rFonts w:hint="eastAsia" w:ascii="宋体" w:hAnsi="宋体" w:eastAsia="宋体" w:cs="宋体"/>
                <w:i w:val="0"/>
                <w:iCs w:val="0"/>
                <w:color w:val="000000"/>
                <w:kern w:val="0"/>
                <w:sz w:val="18"/>
                <w:szCs w:val="18"/>
                <w:u w:val="none"/>
                <w:lang w:val="en-US" w:eastAsia="zh-CN" w:bidi="ar"/>
              </w:rPr>
              <w:t>-68㎡</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eastAsia" w:ascii="宋体" w:hAnsi="宋体" w:eastAsia="宋体" w:cs="宋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3.7</w:t>
            </w:r>
          </w:p>
        </w:tc>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0.25</w:t>
            </w:r>
          </w:p>
        </w:tc>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200</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nil"/>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917"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eastAsia" w:ascii="宋体" w:hAnsi="宋体" w:eastAsia="宋体" w:cs="宋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3"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南澳枫浪山花园一期</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南澳办事处新创南路</w:t>
            </w:r>
          </w:p>
        </w:tc>
        <w:tc>
          <w:tcPr>
            <w:tcW w:w="367" w:type="pc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二房二厅</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58㎡-63㎡</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eastAsia" w:ascii="宋体" w:hAnsi="宋体" w:eastAsia="宋体" w:cs="宋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2.44</w:t>
            </w:r>
          </w:p>
        </w:tc>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0.25</w:t>
            </w:r>
          </w:p>
        </w:tc>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200</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4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nil"/>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67" w:type="pct"/>
            <w:tcBorders>
              <w:top w:val="single" w:color="000000" w:sz="4" w:space="0"/>
              <w:left w:val="nil"/>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三房二厅</w:t>
            </w:r>
          </w:p>
        </w:tc>
        <w:tc>
          <w:tcPr>
            <w:tcW w:w="550" w:type="pct"/>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72㎡-76㎡</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eastAsia" w:ascii="宋体" w:hAnsi="宋体" w:eastAsia="宋体" w:cs="宋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nil"/>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917"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32</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eastAsia" w:ascii="宋体" w:hAnsi="宋体" w:eastAsia="宋体" w:cs="宋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62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123</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宋体" w:cs="宋体"/>
                <w:b/>
                <w:bCs/>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b/>
                <w:bCs/>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b/>
                <w:bCs/>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b/>
                <w:bCs/>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b/>
                <w:bCs/>
                <w:i w:val="0"/>
                <w:iCs w:val="0"/>
                <w:color w:val="000000"/>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5000" w:type="pct"/>
            <w:gridSpan w:val="1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60" w:lineRule="exact"/>
              <w:jc w:val="both"/>
              <w:textAlignment w:val="top"/>
              <w:rPr>
                <w:rStyle w:val="6"/>
                <w:sz w:val="18"/>
                <w:szCs w:val="18"/>
                <w:lang w:val="en-US" w:eastAsia="zh-CN" w:bidi="ar"/>
              </w:rPr>
            </w:pPr>
            <w:r>
              <w:rPr>
                <w:rStyle w:val="5"/>
                <w:sz w:val="18"/>
                <w:szCs w:val="18"/>
                <w:lang w:val="en-US" w:eastAsia="zh-CN" w:bidi="ar"/>
              </w:rPr>
              <w:t>重要提示：</w:t>
            </w:r>
            <w:r>
              <w:rPr>
                <w:rStyle w:val="6"/>
                <w:sz w:val="18"/>
                <w:szCs w:val="18"/>
                <w:lang w:val="en-US" w:eastAsia="zh-CN" w:bidi="ar"/>
              </w:rPr>
              <w:br w:type="textWrapping"/>
            </w:r>
            <w:r>
              <w:rPr>
                <w:rStyle w:val="6"/>
                <w:rFonts w:hint="eastAsia"/>
                <w:sz w:val="18"/>
                <w:szCs w:val="18"/>
                <w:lang w:val="en-US" w:eastAsia="zh-CN" w:bidi="ar"/>
              </w:rPr>
              <w:t>1.本次配租项目的市场参考租金是根据《深圳市公共租赁住房管理办法》有关规定，由市主管部门委托的专业机构评估测算确定。</w:t>
            </w:r>
            <w:r>
              <w:rPr>
                <w:rStyle w:val="6"/>
                <w:sz w:val="18"/>
                <w:szCs w:val="18"/>
                <w:lang w:val="en-US" w:eastAsia="zh-CN" w:bidi="ar"/>
              </w:rPr>
              <w:t>单套住房的具体租金在租金收费标准的基础上，考虑楼层、朝向等因素修正确定，最终以上级部门审批为准。此外，租金将根据相关规定进行动态调整。</w:t>
            </w:r>
            <w:r>
              <w:rPr>
                <w:rStyle w:val="6"/>
                <w:rFonts w:hint="eastAsia"/>
                <w:sz w:val="18"/>
                <w:szCs w:val="18"/>
                <w:lang w:val="en-US" w:eastAsia="zh-CN" w:bidi="ar"/>
              </w:rPr>
              <w:t>请各认租家庭仔细查看各项目租金标准及相关规定，结合家庭实际情况谨慎选择。提交认租申请后，即视为了解并认可上述租金标准。后续不得以不知晓、不明白和不接受该项目租金标准等事项为由，向深圳市大鹏新区住房和建设局提出诉求。</w:t>
            </w:r>
          </w:p>
          <w:p>
            <w:pPr>
              <w:keepNext w:val="0"/>
              <w:keepLines w:val="0"/>
              <w:widowControl/>
              <w:suppressLineNumbers w:val="0"/>
              <w:spacing w:line="260" w:lineRule="exact"/>
              <w:jc w:val="both"/>
              <w:textAlignment w:val="top"/>
              <w:rPr>
                <w:rFonts w:hint="eastAsia" w:ascii="宋体" w:hAnsi="宋体" w:eastAsia="宋体" w:cs="宋体"/>
                <w:b/>
                <w:bCs/>
                <w:i w:val="0"/>
                <w:iCs w:val="0"/>
                <w:color w:val="000000"/>
                <w:sz w:val="22"/>
                <w:szCs w:val="22"/>
                <w:u w:val="none"/>
              </w:rPr>
            </w:pPr>
            <w:r>
              <w:rPr>
                <w:rStyle w:val="6"/>
                <w:rFonts w:hint="eastAsia"/>
                <w:sz w:val="18"/>
                <w:szCs w:val="18"/>
                <w:lang w:val="en-US" w:eastAsia="zh-CN" w:bidi="ar"/>
              </w:rPr>
              <w:t>2</w:t>
            </w:r>
            <w:r>
              <w:rPr>
                <w:rStyle w:val="6"/>
                <w:sz w:val="18"/>
                <w:szCs w:val="18"/>
                <w:lang w:val="en-US" w:eastAsia="zh-CN" w:bidi="ar"/>
              </w:rPr>
              <w:t>.单套住房的实际建筑面积以深圳市地籍测绘大队出具的竣工测绘报告为准。</w:t>
            </w:r>
            <w:r>
              <w:rPr>
                <w:rStyle w:val="6"/>
                <w:sz w:val="18"/>
                <w:szCs w:val="18"/>
                <w:lang w:val="en-US" w:eastAsia="zh-CN" w:bidi="ar"/>
              </w:rPr>
              <w:br w:type="textWrapping"/>
            </w:r>
            <w:r>
              <w:rPr>
                <w:rStyle w:val="6"/>
                <w:rFonts w:hint="eastAsia"/>
                <w:sz w:val="18"/>
                <w:szCs w:val="18"/>
                <w:lang w:val="en-US" w:eastAsia="zh-CN" w:bidi="ar"/>
              </w:rPr>
              <w:t>3</w:t>
            </w:r>
            <w:r>
              <w:rPr>
                <w:rStyle w:val="6"/>
                <w:sz w:val="18"/>
                <w:szCs w:val="18"/>
                <w:lang w:val="en-US" w:eastAsia="zh-CN" w:bidi="ar"/>
              </w:rPr>
              <w:t>.物业服务相关费用按小区物业服务管理公司收费标准执行，合同期内相关费用标准可根据市场行情、人力成本等因素进行动态调整，该费用由承租人自行承担。如配租时物业管理费和停车管理费等费用标准还未确定，则后期管理单位按照相关部门统一的价格执行，收费标准不超过相关部门规定的价格上限。</w:t>
            </w:r>
          </w:p>
        </w:tc>
      </w:tr>
    </w:tbl>
    <w:p/>
    <w:sectPr>
      <w:pgSz w:w="16838" w:h="11906" w:orient="landscape"/>
      <w:pgMar w:top="1134" w:right="1701" w:bottom="1800" w:left="21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27F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font51"/>
    <w:basedOn w:val="4"/>
    <w:qFormat/>
    <w:uiPriority w:val="0"/>
    <w:rPr>
      <w:rFonts w:hint="eastAsia" w:ascii="宋体" w:hAnsi="宋体" w:eastAsia="宋体" w:cs="宋体"/>
      <w:b/>
      <w:bCs/>
      <w:color w:val="000000"/>
      <w:sz w:val="24"/>
      <w:szCs w:val="24"/>
      <w:u w:val="none"/>
    </w:rPr>
  </w:style>
  <w:style w:type="character" w:customStyle="1" w:styleId="6">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钟利娜</cp:lastModifiedBy>
  <dcterms:modified xsi:type="dcterms:W3CDTF">2024-11-01T16:46:56Z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69327906A3EB31A980952467142AEE98</vt:lpwstr>
  </property>
</Properties>
</file>