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ascii="黑体" w:hAnsi="黑体" w:eastAsia="黑体"/>
          <w:sz w:val="28"/>
          <w:szCs w:val="28"/>
        </w:rPr>
      </w:pPr>
      <w:r>
        <w:rPr>
          <w:rFonts w:hint="eastAsia" w:ascii="方正小标宋简体" w:eastAsia="方正小标宋简体"/>
          <w:b w:val="0"/>
          <w:bCs/>
          <w:sz w:val="44"/>
          <w:szCs w:val="44"/>
          <w:lang w:eastAsia="zh-CN"/>
        </w:rPr>
        <w:t>大鹏新区政法和社会工作局2024年度“双随机、一公开”检查情况及结果公示表</w:t>
      </w:r>
      <w:r>
        <w:rPr>
          <w:rFonts w:hint="eastAsia" w:ascii="黑体" w:hAnsi="黑体" w:eastAsia="黑体"/>
          <w:sz w:val="28"/>
          <w:szCs w:val="28"/>
          <w:lang w:val="en-US" w:eastAsia="zh-CN"/>
        </w:rPr>
        <w:t xml:space="preserve">          </w:t>
      </w:r>
      <w:bookmarkStart w:id="0" w:name="_GoBack"/>
      <w:bookmarkEnd w:id="0"/>
    </w:p>
    <w:tbl>
      <w:tblPr>
        <w:tblStyle w:val="2"/>
        <w:tblpPr w:leftFromText="45" w:rightFromText="45" w:topFromText="100" w:bottomFromText="100" w:vertAnchor="text" w:horzAnchor="margin" w:tblpXSpec="center" w:tblpY="130"/>
        <w:tblW w:w="1503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1"/>
        <w:gridCol w:w="992"/>
        <w:gridCol w:w="1355"/>
        <w:gridCol w:w="913"/>
        <w:gridCol w:w="1843"/>
        <w:gridCol w:w="2835"/>
        <w:gridCol w:w="2126"/>
        <w:gridCol w:w="1418"/>
        <w:gridCol w:w="1417"/>
        <w:gridCol w:w="12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7" w:hRule="atLeast"/>
        </w:trPr>
        <w:tc>
          <w:tcPr>
            <w:tcW w:w="86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黑体" w:eastAsia="黑体"/>
                <w:sz w:val="24"/>
                <w:szCs w:val="24"/>
              </w:rPr>
            </w:pPr>
            <w:r>
              <w:rPr>
                <w:rFonts w:hint="eastAsia" w:ascii="黑体" w:hAnsi="黑体" w:eastAsia="黑体"/>
                <w:sz w:val="24"/>
                <w:szCs w:val="24"/>
              </w:rPr>
              <w:t>抽查计划编号</w:t>
            </w:r>
          </w:p>
        </w:tc>
        <w:tc>
          <w:tcPr>
            <w:tcW w:w="99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黑体" w:eastAsia="黑体"/>
                <w:sz w:val="24"/>
                <w:szCs w:val="24"/>
              </w:rPr>
            </w:pPr>
            <w:r>
              <w:rPr>
                <w:rFonts w:hint="eastAsia" w:ascii="黑体" w:hAnsi="黑体" w:eastAsia="黑体"/>
                <w:sz w:val="24"/>
                <w:szCs w:val="24"/>
              </w:rPr>
              <w:t>抽查计划名称</w:t>
            </w:r>
          </w:p>
        </w:tc>
        <w:tc>
          <w:tcPr>
            <w:tcW w:w="135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黑体" w:eastAsia="黑体"/>
                <w:sz w:val="24"/>
                <w:szCs w:val="24"/>
              </w:rPr>
            </w:pPr>
            <w:r>
              <w:rPr>
                <w:rFonts w:hint="eastAsia" w:ascii="黑体" w:hAnsi="黑体" w:eastAsia="黑体"/>
                <w:sz w:val="24"/>
                <w:szCs w:val="24"/>
              </w:rPr>
              <w:t>抽查任务  名称</w:t>
            </w:r>
          </w:p>
        </w:tc>
        <w:tc>
          <w:tcPr>
            <w:tcW w:w="913" w:type="dxa"/>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黑体" w:eastAsia="黑体"/>
                <w:sz w:val="24"/>
                <w:szCs w:val="24"/>
              </w:rPr>
            </w:pPr>
            <w:r>
              <w:rPr>
                <w:rFonts w:hint="eastAsia" w:ascii="黑体" w:hAnsi="黑体" w:eastAsia="黑体"/>
                <w:sz w:val="24"/>
                <w:szCs w:val="24"/>
              </w:rPr>
              <w:t>抽查  类型</w:t>
            </w:r>
          </w:p>
        </w:tc>
        <w:tc>
          <w:tcPr>
            <w:tcW w:w="1843" w:type="dxa"/>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黑体" w:eastAsia="黑体"/>
                <w:sz w:val="24"/>
                <w:szCs w:val="24"/>
              </w:rPr>
            </w:pPr>
            <w:r>
              <w:rPr>
                <w:rFonts w:hint="eastAsia" w:ascii="黑体" w:hAnsi="黑体" w:eastAsia="黑体"/>
                <w:sz w:val="24"/>
                <w:szCs w:val="24"/>
              </w:rPr>
              <w:t>检查机关</w:t>
            </w:r>
          </w:p>
        </w:tc>
        <w:tc>
          <w:tcPr>
            <w:tcW w:w="283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黑体" w:hAnsi="黑体" w:eastAsia="黑体"/>
                <w:sz w:val="24"/>
                <w:szCs w:val="24"/>
              </w:rPr>
            </w:pPr>
            <w:r>
              <w:rPr>
                <w:rFonts w:hint="eastAsia" w:ascii="黑体" w:hAnsi="黑体" w:eastAsia="黑体"/>
                <w:sz w:val="24"/>
                <w:szCs w:val="24"/>
              </w:rPr>
              <w:t>抽查监管对象名称</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黑体" w:hAnsi="黑体" w:eastAsia="黑体"/>
                <w:sz w:val="24"/>
                <w:szCs w:val="24"/>
              </w:rPr>
            </w:pPr>
            <w:r>
              <w:rPr>
                <w:rFonts w:hint="eastAsia" w:ascii="黑体" w:hAnsi="黑体" w:eastAsia="黑体"/>
                <w:sz w:val="24"/>
                <w:szCs w:val="24"/>
              </w:rPr>
              <w:t>统一社会信用代码/注册号</w:t>
            </w:r>
          </w:p>
        </w:tc>
        <w:tc>
          <w:tcPr>
            <w:tcW w:w="141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黑体" w:hAnsi="黑体" w:eastAsia="黑体"/>
                <w:sz w:val="24"/>
                <w:szCs w:val="24"/>
              </w:rPr>
            </w:pPr>
            <w:r>
              <w:rPr>
                <w:rFonts w:hint="eastAsia" w:ascii="黑体" w:hAnsi="黑体" w:eastAsia="黑体"/>
                <w:sz w:val="24"/>
                <w:szCs w:val="24"/>
              </w:rPr>
              <w:t>检查完成  日期</w:t>
            </w:r>
          </w:p>
        </w:tc>
        <w:tc>
          <w:tcPr>
            <w:tcW w:w="1417"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黑体" w:hAnsi="黑体" w:eastAsia="黑体"/>
                <w:sz w:val="24"/>
                <w:szCs w:val="24"/>
              </w:rPr>
            </w:pPr>
            <w:r>
              <w:rPr>
                <w:rFonts w:hint="eastAsia" w:ascii="黑体" w:hAnsi="黑体" w:eastAsia="黑体"/>
                <w:sz w:val="24"/>
                <w:szCs w:val="24"/>
              </w:rPr>
              <w:t>检查结果</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黑体" w:hAnsi="黑体" w:eastAsia="黑体"/>
                <w:sz w:val="24"/>
                <w:szCs w:val="24"/>
              </w:rPr>
            </w:pPr>
            <w:r>
              <w:rPr>
                <w:rFonts w:hint="eastAsia" w:ascii="黑体" w:hAnsi="黑体" w:eastAsia="黑体"/>
                <w:sz w:val="24"/>
                <w:szCs w:val="24"/>
              </w:rPr>
              <w:t>备注     (文书号)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1" w:hRule="atLeast"/>
        </w:trPr>
        <w:tc>
          <w:tcPr>
            <w:tcW w:w="861" w:type="dxa"/>
            <w:tcBorders>
              <w:top w:val="single" w:color="auto" w:sz="8" w:space="0"/>
              <w:left w:val="single" w:color="auto" w:sz="8" w:space="0"/>
              <w:bottom w:val="single" w:color="auto" w:sz="8" w:space="0"/>
              <w:right w:val="single" w:color="auto" w:sz="8" w:space="0"/>
            </w:tcBorders>
            <w:noWrap w:val="0"/>
            <w:vAlign w:val="center"/>
          </w:tcPr>
          <w:p>
            <w:pPr>
              <w:widowControl/>
              <w:spacing w:line="336" w:lineRule="auto"/>
              <w:jc w:val="center"/>
              <w:rPr>
                <w:rFonts w:hint="eastAsia" w:ascii="仿宋_GB2312" w:hAnsi="仿宋_GB2312" w:eastAsia="仿宋_GB2312" w:cs="仿宋_GB2312"/>
                <w:szCs w:val="21"/>
              </w:rPr>
            </w:pPr>
            <w:r>
              <w:rPr>
                <w:rFonts w:hint="eastAsia" w:ascii="仿宋_GB2312" w:hAnsi="仿宋_GB2312" w:eastAsia="仿宋_GB2312" w:cs="仿宋_GB2312"/>
                <w:sz w:val="24"/>
                <w:szCs w:val="24"/>
                <w:lang w:val="en-US" w:eastAsia="zh-CN"/>
              </w:rPr>
              <w:t>1</w:t>
            </w:r>
          </w:p>
        </w:tc>
        <w:tc>
          <w:tcPr>
            <w:tcW w:w="992"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2024年大鹏新区司法局律师事务所及其律师年度书面双随机检查</w:t>
            </w:r>
          </w:p>
        </w:tc>
        <w:tc>
          <w:tcPr>
            <w:tcW w:w="1355"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第一次律师事务所及其律师年度书面双随机检查任务</w:t>
            </w:r>
          </w:p>
        </w:tc>
        <w:tc>
          <w:tcPr>
            <w:tcW w:w="913"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书面检查</w:t>
            </w:r>
          </w:p>
        </w:tc>
        <w:tc>
          <w:tcPr>
            <w:tcW w:w="1843"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default"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深圳市大鹏新区政法和社会工作局</w:t>
            </w:r>
          </w:p>
        </w:tc>
        <w:tc>
          <w:tcPr>
            <w:tcW w:w="2835"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广东良马（大鹏）律师事务所</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31440000MD0207586D</w:t>
            </w:r>
          </w:p>
        </w:tc>
        <w:tc>
          <w:tcPr>
            <w:tcW w:w="1418"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default"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20240628</w:t>
            </w:r>
          </w:p>
        </w:tc>
        <w:tc>
          <w:tcPr>
            <w:tcW w:w="1417"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未发现违法行为</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1" w:hRule="atLeast"/>
        </w:trPr>
        <w:tc>
          <w:tcPr>
            <w:tcW w:w="861" w:type="dxa"/>
            <w:tcBorders>
              <w:top w:val="single" w:color="auto" w:sz="8" w:space="0"/>
              <w:left w:val="single" w:color="auto" w:sz="8" w:space="0"/>
              <w:bottom w:val="single" w:color="auto" w:sz="8" w:space="0"/>
              <w:right w:val="single" w:color="auto" w:sz="8" w:space="0"/>
            </w:tcBorders>
            <w:noWrap w:val="0"/>
            <w:vAlign w:val="center"/>
          </w:tcPr>
          <w:p>
            <w:pPr>
              <w:widowControl/>
              <w:spacing w:line="336"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992"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2024年大鹏新区政法和社会工作局市市场监督管理局大鹏监管局律师事务所及其律师“双随机、一公开”跨部门联合抽查计划</w:t>
            </w:r>
          </w:p>
        </w:tc>
        <w:tc>
          <w:tcPr>
            <w:tcW w:w="1355"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第一次律师事务所及其律师双随机检查任务</w:t>
            </w:r>
          </w:p>
        </w:tc>
        <w:tc>
          <w:tcPr>
            <w:tcW w:w="913"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现场检查</w:t>
            </w:r>
          </w:p>
        </w:tc>
        <w:tc>
          <w:tcPr>
            <w:tcW w:w="1843"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深圳市大鹏新区政法和社会工作局、深圳市市场监督管理局大鹏监管局</w:t>
            </w:r>
          </w:p>
        </w:tc>
        <w:tc>
          <w:tcPr>
            <w:tcW w:w="2835"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广东中熙（大鹏）律师事务所</w:t>
            </w:r>
          </w:p>
        </w:tc>
        <w:tc>
          <w:tcPr>
            <w:tcW w:w="2126"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31440000MD0264994P</w:t>
            </w:r>
          </w:p>
        </w:tc>
        <w:tc>
          <w:tcPr>
            <w:tcW w:w="1418"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20241015</w:t>
            </w:r>
          </w:p>
        </w:tc>
        <w:tc>
          <w:tcPr>
            <w:tcW w:w="1417"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r>
              <w:rPr>
                <w:rStyle w:val="4"/>
                <w:rFonts w:hint="eastAsia" w:ascii="仿宋_GB2312" w:hAnsi="仿宋_GB2312" w:eastAsia="仿宋_GB2312" w:cs="仿宋_GB2312"/>
                <w:color w:val="auto"/>
                <w:sz w:val="21"/>
                <w:szCs w:val="21"/>
                <w:lang w:val="en-US" w:eastAsia="zh-CN"/>
              </w:rPr>
              <w:t>未发现违法行为</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jc w:val="center"/>
              <w:rPr>
                <w:rStyle w:val="4"/>
                <w:rFonts w:hint="eastAsia" w:ascii="仿宋_GB2312" w:hAnsi="仿宋_GB2312" w:eastAsia="仿宋_GB2312" w:cs="仿宋_GB2312"/>
                <w:color w:val="auto"/>
                <w:sz w:val="21"/>
                <w:szCs w:val="21"/>
                <w:lang w:val="en-US" w:eastAsia="zh-CN"/>
              </w:rPr>
            </w:pPr>
          </w:p>
        </w:tc>
      </w:tr>
    </w:tbl>
    <w:p>
      <w:pPr>
        <w:wordWrap w:val="0"/>
        <w:ind w:right="640"/>
        <w:jc w:val="left"/>
        <w:rPr>
          <w:rFonts w:hint="eastAsia" w:ascii="方正小标宋简体" w:eastAsia="方正小标宋简体"/>
          <w:b/>
          <w:sz w:val="28"/>
          <w:szCs w:val="28"/>
        </w:rPr>
      </w:pPr>
      <w:r>
        <w:rPr>
          <w:rFonts w:hint="eastAsia" w:ascii="仿宋_GB2312" w:hAnsi="仿宋_GB2312" w:eastAsia="仿宋_GB2312" w:cs="仿宋_GB2312"/>
          <w:szCs w:val="21"/>
        </w:rPr>
        <w:t>注意：该表仅供参考，各部门按照上级业务指导部门要求进行公示，但应当包含“双随机”检查的抽查情况和查处结果。</w:t>
      </w:r>
    </w:p>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DFD34FF"/>
    <w:rsid w:val="4A1947CF"/>
    <w:rsid w:val="4DDFB76A"/>
    <w:rsid w:val="5FF5F24C"/>
    <w:rsid w:val="6FBF85DF"/>
    <w:rsid w:val="716DFB2F"/>
    <w:rsid w:val="77DC2127"/>
    <w:rsid w:val="796DA22D"/>
    <w:rsid w:val="7F5FA257"/>
    <w:rsid w:val="8D8D3549"/>
    <w:rsid w:val="DFFF6060"/>
    <w:rsid w:val="E68DA868"/>
    <w:rsid w:val="FBBDD6F5"/>
    <w:rsid w:val="FFFDD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99"/>
    <w:rPr>
      <w:rFonts w:hint="eastAsia" w:ascii="宋体" w:hAnsi="宋体" w:eastAsia="宋体" w:cs="宋体"/>
      <w:color w:val="3D3D3D"/>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胡欣欣</cp:lastModifiedBy>
  <dcterms:modified xsi:type="dcterms:W3CDTF">2024-11-04T17:13:18Z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D0A50B5A8A0ED17F695320671E326D80</vt:lpwstr>
  </property>
</Properties>
</file>