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Lines="0" w:afterLines="0" w:line="720" w:lineRule="exact"/>
        <w:jc w:val="center"/>
        <w:rPr>
          <w:rStyle w:val="4"/>
          <w:rFonts w:hint="eastAsia"/>
          <w:highlight w:val="none"/>
        </w:rPr>
      </w:pPr>
    </w:p>
    <w:p>
      <w:pPr>
        <w:pStyle w:val="5"/>
        <w:adjustRightInd w:val="0"/>
        <w:snapToGrid w:val="0"/>
        <w:spacing w:beforeLines="0" w:afterLines="0" w:line="72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 w:color="auto"/>
        </w:rPr>
      </w:pPr>
      <w:r>
        <w:rPr>
          <w:rStyle w:val="4"/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 w:color="auto"/>
        </w:rPr>
        <w:t>深圳市</w:t>
      </w:r>
      <w:r>
        <w:rPr>
          <w:rStyle w:val="4"/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 w:color="auto"/>
          <w:lang w:val="en-US" w:eastAsia="zh-CN"/>
        </w:rPr>
        <w:t>公办养老机构入住</w:t>
      </w:r>
      <w:r>
        <w:rPr>
          <w:rStyle w:val="4"/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 w:color="auto"/>
        </w:rPr>
        <w:t>评估轮候综合评价指标及分值表</w:t>
      </w:r>
    </w:p>
    <w:p>
      <w:pPr>
        <w:pStyle w:val="5"/>
        <w:adjustRightInd w:val="0"/>
        <w:snapToGrid w:val="0"/>
        <w:spacing w:beforeLines="0" w:afterLines="0" w:line="480" w:lineRule="exact"/>
        <w:jc w:val="center"/>
        <w:rPr>
          <w:rStyle w:val="4"/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30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559"/>
        <w:gridCol w:w="1276"/>
        <w:gridCol w:w="26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</w:trPr>
        <w:tc>
          <w:tcPr>
            <w:tcW w:w="1242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u w:val="none" w:color="auto"/>
              </w:rPr>
              <w:t>一级指标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u w:val="none" w:color="auto"/>
              </w:rPr>
              <w:t>二级指标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u w:val="none" w:color="auto"/>
              </w:rPr>
              <w:t>三级指标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u w:val="none" w:color="auto"/>
              </w:rPr>
              <w:t>指标分值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u w:val="none" w:color="auto"/>
              </w:rPr>
              <w:t>实施说明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u w:val="none" w:color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2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  <w:t>个体情况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  <w:t>年龄情况</w:t>
            </w:r>
          </w:p>
          <w:p>
            <w:pPr>
              <w:pStyle w:val="5"/>
              <w:widowControl/>
              <w:snapToGrid w:val="0"/>
              <w:spacing w:line="2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  <w:t>（权重：25%）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spacing w:line="2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  <w:t>60周岁及以上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pStyle w:val="5"/>
              <w:snapToGrid w:val="0"/>
              <w:spacing w:line="2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  <w:t>Y=X</w:t>
            </w: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  <w:vertAlign w:val="superscript"/>
              </w:rPr>
              <w:t>2</w:t>
            </w: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  <w:t>/80-25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  <w:t>Y为本项指标所得分值，保留小数点后2位；X为申请入住时实际年龄。适用范围为60～100周岁的老年人。比如60周岁老年人Y=60</w:t>
            </w: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  <w:vertAlign w:val="superscript"/>
              </w:rPr>
              <w:t>2/</w:t>
            </w: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  <w:t>80-25，Y值得分为20，乘以年龄指标所占权重25%，最终该项指标取值5分。100周岁及以上取值25分，60周岁（含）到100周岁（不含）之间用公式计算出分值。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  <w:t>能力评估等级（权重：75%）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  <w:t>能力完好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  <w:t>0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  <w:t>以评估机构评定的结果为准。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  <w:t>能力轻度受损</w:t>
            </w:r>
          </w:p>
          <w:p>
            <w:pPr>
              <w:pStyle w:val="2"/>
              <w:ind w:left="0" w:leftChars="0" w:firstLine="0" w:firstLineChars="0"/>
              <w:jc w:val="left"/>
              <w:rPr>
                <w:rStyle w:val="4"/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u w:val="none" w:color="auto"/>
                <w:lang w:eastAsia="zh-CN"/>
              </w:rPr>
              <w:t>（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u w:val="none" w:color="auto"/>
                <w:lang w:val="en-US" w:eastAsia="zh-CN"/>
              </w:rPr>
              <w:t>轻度失能）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  <w:t>30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5"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  <w:t>能力中度受损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Style w:val="4"/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  <w:lang w:eastAsia="zh-CN"/>
              </w:rPr>
              <w:t>（</w:t>
            </w: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  <w:lang w:val="en-US" w:eastAsia="zh-CN"/>
              </w:rPr>
              <w:t>中度失能）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  <w:t>80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5"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  <w:t>能力重度受损</w:t>
            </w:r>
          </w:p>
          <w:p>
            <w:pPr>
              <w:pStyle w:val="2"/>
              <w:ind w:left="0" w:leftChars="0" w:firstLine="0" w:firstLineChars="0"/>
              <w:rPr>
                <w:rStyle w:val="4"/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  <w:lang w:eastAsia="zh-CN"/>
              </w:rPr>
              <w:t>（</w:t>
            </w: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  <w:lang w:val="en-US" w:eastAsia="zh-CN"/>
              </w:rPr>
              <w:t>重度失能）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  <w:lang w:val="en-US" w:eastAsia="zh-CN"/>
              </w:rPr>
              <w:t>100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5"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</w:rPr>
              <w:t>能力完全丧失</w:t>
            </w:r>
          </w:p>
          <w:p>
            <w:pPr>
              <w:pStyle w:val="2"/>
              <w:ind w:left="0" w:leftChars="0" w:firstLine="0" w:firstLineChars="0"/>
              <w:rPr>
                <w:rStyle w:val="4"/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  <w:lang w:eastAsia="zh-CN"/>
              </w:rPr>
              <w:t>（</w:t>
            </w: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  <w:lang w:val="en-US" w:eastAsia="zh-CN"/>
              </w:rPr>
              <w:t>完全失能）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u w:val="none" w:color="auto"/>
                <w:lang w:val="en-US" w:eastAsia="zh-CN"/>
              </w:rPr>
              <w:t>140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pStyle w:val="5"/>
              <w:widowControl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322" w:type="dxa"/>
            <w:gridSpan w:val="6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  <w:t>综合分值C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u w:val="none" w:color="auto"/>
              </w:rPr>
              <w:t>=∑</w:t>
            </w: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  <w:t>（I×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u w:val="none" w:color="auto"/>
              </w:rPr>
              <w:t>权重</w:t>
            </w: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  <w:t>）</w:t>
            </w:r>
          </w:p>
          <w:p>
            <w:pPr>
              <w:pStyle w:val="5"/>
              <w:adjustRightInd w:val="0"/>
              <w:snapToGrid w:val="0"/>
              <w:spacing w:line="240" w:lineRule="exact"/>
              <w:ind w:firstLine="3976" w:firstLineChars="1657"/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u w:val="none" w:color="auto"/>
              </w:rPr>
              <w:t>C为综合评价指标分数;</w:t>
            </w:r>
          </w:p>
          <w:p>
            <w:pPr>
              <w:pStyle w:val="5"/>
              <w:adjustRightInd w:val="0"/>
              <w:snapToGrid w:val="0"/>
              <w:spacing w:line="240" w:lineRule="exact"/>
              <w:ind w:firstLine="3976" w:firstLineChars="1657"/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u w:val="none" w:color="auto"/>
              </w:rPr>
              <w:t>I为各个体情况指标分值；</w:t>
            </w:r>
          </w:p>
          <w:p>
            <w:pPr>
              <w:pStyle w:val="5"/>
              <w:adjustRightInd w:val="0"/>
              <w:snapToGrid w:val="0"/>
              <w:spacing w:line="240" w:lineRule="exact"/>
              <w:ind w:firstLine="3976" w:firstLineChars="1657"/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u w:val="none" w:color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u w:val="none" w:color="auto"/>
              </w:rPr>
              <w:t>∑为个体情况二项指标分值求和。</w:t>
            </w:r>
          </w:p>
          <w:p>
            <w:pPr>
              <w:pStyle w:val="5"/>
              <w:widowControl/>
              <w:snapToGrid w:val="0"/>
              <w:spacing w:line="24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 w:color="auto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630" w:hanging="660" w:hangingChars="300"/>
        <w:textAlignment w:val="auto"/>
        <w:rPr>
          <w:rStyle w:val="4"/>
          <w:rFonts w:hint="eastAsia" w:ascii="仿宋_GB2312" w:hAnsi="仿宋_GB2312" w:eastAsia="仿宋_GB2312" w:cs="仿宋_GB2312"/>
          <w:color w:val="040404"/>
          <w:kern w:val="0"/>
          <w:sz w:val="22"/>
          <w:szCs w:val="22"/>
          <w:highlight w:val="none"/>
          <w:u w:val="none" w:color="auto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color w:val="040404"/>
          <w:kern w:val="0"/>
          <w:sz w:val="22"/>
          <w:szCs w:val="22"/>
          <w:highlight w:val="none"/>
          <w:u w:val="none" w:color="auto"/>
        </w:rPr>
        <w:t>注：</w:t>
      </w:r>
      <w:r>
        <w:rPr>
          <w:rStyle w:val="4"/>
          <w:rFonts w:hint="eastAsia" w:ascii="仿宋_GB2312" w:hAnsi="仿宋_GB2312" w:eastAsia="仿宋_GB2312" w:cs="仿宋_GB2312"/>
          <w:color w:val="040404"/>
          <w:kern w:val="0"/>
          <w:sz w:val="22"/>
          <w:szCs w:val="22"/>
          <w:highlight w:val="none"/>
          <w:u w:val="none" w:color="auto"/>
          <w:lang w:val="en-US" w:eastAsia="zh-CN"/>
        </w:rPr>
        <w:t>1.总分满分=100</w:t>
      </w:r>
      <w:r>
        <w:rPr>
          <w:rStyle w:val="4"/>
          <w:rFonts w:hint="eastAsia" w:ascii="仿宋_GB2312" w:hAnsi="仿宋_GB2312" w:eastAsia="仿宋_GB2312" w:cs="仿宋_GB2312"/>
          <w:kern w:val="0"/>
          <w:sz w:val="22"/>
          <w:szCs w:val="22"/>
          <w:highlight w:val="none"/>
          <w:u w:val="none" w:color="auto"/>
        </w:rPr>
        <w:t>周岁</w:t>
      </w:r>
      <w:r>
        <w:rPr>
          <w:rStyle w:val="4"/>
          <w:rFonts w:hint="eastAsia" w:ascii="仿宋_GB2312" w:hAnsi="仿宋_GB2312" w:eastAsia="仿宋_GB2312" w:cs="仿宋_GB2312"/>
          <w:color w:val="040404"/>
          <w:kern w:val="0"/>
          <w:sz w:val="22"/>
          <w:szCs w:val="22"/>
          <w:highlight w:val="none"/>
          <w:u w:val="none" w:color="auto"/>
          <w:lang w:val="en-US" w:eastAsia="zh-CN"/>
        </w:rPr>
        <w:t>及以上取值25分+能力完全丧失140分×权重75%=130分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619" w:leftChars="190" w:hanging="220" w:hangingChars="100"/>
        <w:textAlignment w:val="auto"/>
        <w:rPr>
          <w:rStyle w:val="4"/>
          <w:rFonts w:hint="eastAsia" w:ascii="仿宋_GB2312" w:hAnsi="仿宋_GB2312" w:eastAsia="仿宋_GB2312" w:cs="仿宋_GB2312"/>
          <w:sz w:val="22"/>
          <w:szCs w:val="22"/>
          <w:highlight w:val="none"/>
          <w:u w:val="none" w:color="auto"/>
        </w:rPr>
      </w:pPr>
      <w:r>
        <w:rPr>
          <w:rStyle w:val="4"/>
          <w:rFonts w:hint="eastAsia" w:ascii="仿宋_GB2312" w:hAnsi="仿宋_GB2312" w:eastAsia="仿宋_GB2312" w:cs="仿宋_GB2312"/>
          <w:color w:val="040404"/>
          <w:kern w:val="0"/>
          <w:sz w:val="22"/>
          <w:szCs w:val="22"/>
          <w:highlight w:val="none"/>
          <w:u w:val="none" w:color="auto"/>
          <w:lang w:val="en-US" w:eastAsia="zh-CN"/>
        </w:rPr>
        <w:t>2.</w:t>
      </w:r>
      <w:r>
        <w:rPr>
          <w:rStyle w:val="4"/>
          <w:rFonts w:hint="eastAsia" w:ascii="仿宋_GB2312" w:hAnsi="仿宋_GB2312" w:eastAsia="仿宋_GB2312" w:cs="仿宋_GB2312"/>
          <w:color w:val="040404"/>
          <w:kern w:val="0"/>
          <w:sz w:val="22"/>
          <w:szCs w:val="22"/>
          <w:highlight w:val="none"/>
          <w:u w:val="none" w:color="auto"/>
        </w:rPr>
        <w:t>申请人分数相同时，按申请时间先后顺序在其归属通道进行轮候。涉及通道变更的，轮候申请时间重新计算。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bullet"/>
      <w:lvlText w:val=""/>
      <w:lvlJc w:val="left"/>
      <w:pPr>
        <w:ind w:left="18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2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4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3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ind w:firstLine="720" w:firstLineChars="200"/>
    </w:pPr>
    <w:rPr>
      <w:rFonts w:cs="Times New Roman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麦晓君</cp:lastModifiedBy>
  <dcterms:modified xsi:type="dcterms:W3CDTF">2024-12-09T12:02:51Z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D40ECC4BA2FADC0AEB6B566736711AF6</vt:lpwstr>
  </property>
</Properties>
</file>