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both"/>
        <w:rPr>
          <w:rFonts w:hint="default"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4</w:t>
      </w:r>
    </w:p>
    <w:p>
      <w:pPr>
        <w:pStyle w:val="2"/>
        <w:jc w:val="center"/>
        <w:rPr>
          <w:rFonts w:hint="eastAsia" w:ascii="方正小标宋简体" w:hAnsi="方正小标宋简体" w:eastAsia="方正小标宋简体" w:cs="方正小标宋简体"/>
        </w:rPr>
      </w:pPr>
      <w:r>
        <w:rPr>
          <w:rFonts w:hint="eastAsia" w:ascii="方正小标宋简体" w:hAnsi="方正小标宋简体" w:eastAsia="方正小标宋简体" w:cs="方正小标宋简体"/>
        </w:rPr>
        <w:t>深圳市大鹏新区旅游住宿业项目</w:t>
      </w:r>
    </w:p>
    <w:p>
      <w:pPr>
        <w:pStyle w:val="2"/>
        <w:rPr>
          <w:rFonts w:hint="eastAsia" w:ascii="方正小标宋简体" w:hAnsi="方正小标宋简体" w:eastAsia="方正小标宋简体" w:cs="方正小标宋简体"/>
        </w:rPr>
      </w:pPr>
      <w:r>
        <w:rPr>
          <w:rFonts w:hint="default" w:ascii="方正小标宋简体" w:hAnsi="方正小标宋简体" w:eastAsia="方正小标宋简体" w:cs="方正小标宋简体"/>
        </w:rPr>
        <w:t>民宿连锁化</w:t>
      </w:r>
      <w:r>
        <w:rPr>
          <w:rFonts w:hint="eastAsia" w:ascii="方正小标宋简体" w:hAnsi="方正小标宋简体" w:eastAsia="方正小标宋简体" w:cs="方正小标宋简体"/>
        </w:rPr>
        <w:t>申报指南</w:t>
      </w:r>
    </w:p>
    <w:p>
      <w:pPr>
        <w:ind w:firstLine="632"/>
      </w:pPr>
    </w:p>
    <w:p>
      <w:pPr>
        <w:pStyle w:val="3"/>
        <w:numPr>
          <w:ilvl w:val="0"/>
          <w:numId w:val="1"/>
        </w:numPr>
        <w:ind w:left="-2" w:leftChars="0" w:firstLineChars="0"/>
      </w:pPr>
      <w:r>
        <w:rPr>
          <w:rFonts w:hint="eastAsia"/>
        </w:rPr>
        <w:t>审批内容</w:t>
      </w:r>
    </w:p>
    <w:p>
      <w:pPr>
        <w:pStyle w:val="3"/>
        <w:numPr>
          <w:ilvl w:val="0"/>
          <w:numId w:val="0"/>
        </w:numPr>
        <w:ind w:firstLine="632" w:firstLineChars="200"/>
        <w:rPr>
          <w:rFonts w:hint="default" w:ascii="仿宋_GB2312" w:hAnsi="仿宋_GB2312" w:eastAsia="仿宋_GB2312"/>
          <w:color w:val="000000"/>
          <w:sz w:val="32"/>
          <w:szCs w:val="32"/>
        </w:rPr>
      </w:pPr>
      <w:r>
        <w:rPr>
          <w:rFonts w:hint="eastAsia" w:ascii="仿宋_GB2312" w:hAnsi="仿宋_GB2312" w:eastAsia="仿宋_GB2312"/>
          <w:color w:val="000000"/>
          <w:sz w:val="32"/>
          <w:szCs w:val="32"/>
        </w:rPr>
        <w:t>新区品牌</w:t>
      </w:r>
      <w:r>
        <w:rPr>
          <w:rFonts w:ascii="仿宋_GB2312" w:hAnsi="仿宋_GB2312" w:eastAsia="仿宋_GB2312"/>
          <w:color w:val="000000"/>
          <w:sz w:val="32"/>
          <w:szCs w:val="32"/>
        </w:rPr>
        <w:t>民宿企业以连锁化经营方式对现有存量民宿主体进行升级改造和品质提升。</w:t>
      </w:r>
    </w:p>
    <w:p>
      <w:pPr>
        <w:pStyle w:val="3"/>
        <w:numPr>
          <w:ilvl w:val="0"/>
          <w:numId w:val="0"/>
        </w:numPr>
        <w:ind w:firstLine="632" w:firstLineChars="200"/>
      </w:pPr>
      <w:r>
        <w:rPr>
          <w:rFonts w:hint="default"/>
        </w:rPr>
        <w:t>二、</w:t>
      </w:r>
      <w:r>
        <w:rPr>
          <w:rFonts w:hint="eastAsia"/>
        </w:rPr>
        <w:t>设定依据</w:t>
      </w:r>
    </w:p>
    <w:p>
      <w:pPr>
        <w:ind w:firstLine="632"/>
        <w:rPr>
          <w:rFonts w:ascii="黑体" w:hAnsi="黑体" w:eastAsia="黑体"/>
          <w:color w:val="000000"/>
          <w:sz w:val="32"/>
          <w:szCs w:val="32"/>
        </w:rPr>
      </w:pPr>
      <w:r>
        <w:rPr>
          <w:rFonts w:hint="eastAsia" w:ascii="仿宋_GB2312" w:hAnsi="仿宋_GB2312" w:eastAsia="仿宋_GB2312" w:cs="仿宋_GB2312"/>
        </w:rPr>
        <w:t>（一）《深圳市大鹏新区扶持旅游住宿业高质量发展的若干措施》（深鹏办规〔2024〕4号）</w:t>
      </w:r>
      <w:r>
        <w:rPr>
          <w:rFonts w:hint="default" w:ascii="仿宋_GB2312" w:hAnsi="仿宋_GB2312" w:eastAsia="仿宋_GB2312" w:cs="仿宋_GB2312"/>
        </w:rPr>
        <w:t>第五条“</w:t>
      </w:r>
      <w:r>
        <w:rPr>
          <w:rFonts w:ascii="仿宋_GB2312" w:hAnsi="仿宋_GB2312" w:eastAsia="仿宋_GB2312"/>
          <w:color w:val="000000"/>
          <w:sz w:val="32"/>
          <w:szCs w:val="32"/>
        </w:rPr>
        <w:t>推动民宿业规范化、品牌化、连锁化发展</w:t>
      </w:r>
      <w:r>
        <w:rPr>
          <w:rFonts w:hint="default" w:ascii="仿宋_GB2312" w:hAnsi="仿宋_GB2312" w:eastAsia="仿宋_GB2312" w:cs="仿宋_GB2312"/>
        </w:rPr>
        <w:t>”：</w:t>
      </w:r>
      <w:r>
        <w:rPr>
          <w:rFonts w:hint="eastAsia" w:ascii="仿宋_GB2312" w:hAnsi="仿宋_GB2312" w:eastAsia="仿宋_GB2312"/>
          <w:color w:val="000000"/>
          <w:sz w:val="32"/>
          <w:szCs w:val="32"/>
        </w:rPr>
        <w:t>新区品牌</w:t>
      </w:r>
      <w:r>
        <w:rPr>
          <w:rFonts w:ascii="仿宋_GB2312" w:hAnsi="仿宋_GB2312" w:eastAsia="仿宋_GB2312"/>
          <w:color w:val="000000"/>
          <w:sz w:val="32"/>
          <w:szCs w:val="32"/>
        </w:rPr>
        <w:t>民宿企业以连锁化经营方式对现有存量民宿主体进行升级改造和品质提升</w:t>
      </w:r>
      <w:r>
        <w:rPr>
          <w:rFonts w:hint="eastAsia" w:ascii="仿宋_GB2312" w:hAnsi="仿宋_GB2312" w:eastAsia="仿宋_GB2312"/>
          <w:color w:val="000000"/>
          <w:sz w:val="32"/>
          <w:szCs w:val="32"/>
        </w:rPr>
        <w:t>的</w:t>
      </w:r>
      <w:r>
        <w:rPr>
          <w:rFonts w:ascii="仿宋_GB2312" w:hAnsi="仿宋_GB2312" w:eastAsia="仿宋_GB2312"/>
          <w:color w:val="000000"/>
          <w:sz w:val="32"/>
          <w:szCs w:val="32"/>
        </w:rPr>
        <w:t>，</w:t>
      </w:r>
      <w:r>
        <w:rPr>
          <w:rFonts w:hint="eastAsia" w:ascii="仿宋_GB2312" w:hAnsi="仿宋_GB2312" w:eastAsia="仿宋_GB2312"/>
          <w:color w:val="000000"/>
          <w:sz w:val="32"/>
          <w:szCs w:val="32"/>
        </w:rPr>
        <w:t>每</w:t>
      </w:r>
      <w:r>
        <w:rPr>
          <w:rFonts w:ascii="仿宋_GB2312" w:hAnsi="仿宋_GB2312" w:eastAsia="仿宋_GB2312"/>
          <w:color w:val="000000"/>
          <w:sz w:val="32"/>
          <w:szCs w:val="32"/>
        </w:rPr>
        <w:t>升级改造</w:t>
      </w:r>
      <w:r>
        <w:rPr>
          <w:rFonts w:hint="eastAsia" w:ascii="仿宋_GB2312" w:hAnsi="仿宋_GB2312" w:eastAsia="仿宋_GB2312"/>
          <w:color w:val="000000"/>
          <w:sz w:val="32"/>
          <w:szCs w:val="32"/>
        </w:rPr>
        <w:t>1家，</w:t>
      </w:r>
      <w:r>
        <w:rPr>
          <w:rFonts w:ascii="仿宋_GB2312" w:hAnsi="仿宋_GB2312" w:eastAsia="仿宋_GB2312"/>
          <w:color w:val="000000"/>
          <w:sz w:val="32"/>
          <w:szCs w:val="32"/>
        </w:rPr>
        <w:t>给予一次性5万元奖励。</w:t>
      </w:r>
    </w:p>
    <w:p>
      <w:pPr>
        <w:pStyle w:val="31"/>
        <w:spacing w:line="560" w:lineRule="exact"/>
        <w:ind w:firstLine="632" w:firstLineChars="200"/>
        <w:rPr>
          <w:rFonts w:hint="eastAsia"/>
          <w:sz w:val="32"/>
          <w:szCs w:val="32"/>
        </w:rPr>
      </w:pPr>
      <w:r>
        <w:rPr>
          <w:rFonts w:hint="eastAsia"/>
        </w:rPr>
        <w:t>（</w:t>
      </w:r>
      <w:r>
        <w:rPr>
          <w:rFonts w:hint="default"/>
        </w:rPr>
        <w:t>二</w:t>
      </w:r>
      <w:r>
        <w:rPr>
          <w:rFonts w:hint="eastAsia"/>
        </w:rPr>
        <w:t>）</w:t>
      </w:r>
      <w:r>
        <w:rPr>
          <w:rFonts w:hint="eastAsia"/>
          <w:sz w:val="32"/>
          <w:szCs w:val="32"/>
        </w:rPr>
        <w:t>《</w:t>
      </w:r>
      <w:r>
        <w:rPr>
          <w:rFonts w:hint="default"/>
          <w:sz w:val="32"/>
          <w:szCs w:val="32"/>
        </w:rPr>
        <w:t>深圳市</w:t>
      </w:r>
      <w:r>
        <w:rPr>
          <w:rFonts w:hint="eastAsia"/>
          <w:sz w:val="32"/>
          <w:szCs w:val="32"/>
        </w:rPr>
        <w:t>大鹏新区科技创新和产业发展专项资金管理办法》（深鹏</w:t>
      </w:r>
      <w:r>
        <w:rPr>
          <w:rFonts w:hint="default"/>
          <w:sz w:val="32"/>
          <w:szCs w:val="32"/>
        </w:rPr>
        <w:t>办</w:t>
      </w:r>
      <w:r>
        <w:rPr>
          <w:rFonts w:hint="eastAsia"/>
          <w:sz w:val="32"/>
          <w:szCs w:val="32"/>
        </w:rPr>
        <w:t>规〔20</w:t>
      </w:r>
      <w:r>
        <w:rPr>
          <w:rFonts w:hint="default"/>
          <w:sz w:val="32"/>
          <w:szCs w:val="32"/>
        </w:rPr>
        <w:t>23</w:t>
      </w:r>
      <w:r>
        <w:rPr>
          <w:rFonts w:hint="eastAsia"/>
          <w:sz w:val="32"/>
          <w:szCs w:val="32"/>
        </w:rPr>
        <w:t>〕</w:t>
      </w:r>
      <w:r>
        <w:rPr>
          <w:rFonts w:hint="default"/>
          <w:sz w:val="32"/>
          <w:szCs w:val="32"/>
        </w:rPr>
        <w:t>9</w:t>
      </w:r>
      <w:r>
        <w:rPr>
          <w:rFonts w:hint="eastAsia"/>
          <w:sz w:val="32"/>
          <w:szCs w:val="32"/>
        </w:rPr>
        <w:t>号）</w:t>
      </w:r>
    </w:p>
    <w:p>
      <w:pPr>
        <w:pStyle w:val="3"/>
        <w:numPr>
          <w:ilvl w:val="0"/>
          <w:numId w:val="0"/>
        </w:numPr>
        <w:ind w:left="630" w:leftChars="0"/>
      </w:pPr>
      <w:r>
        <w:rPr>
          <w:rFonts w:hint="default"/>
        </w:rPr>
        <w:t>三、</w:t>
      </w:r>
      <w:r>
        <w:rPr>
          <w:rFonts w:hint="eastAsia"/>
        </w:rPr>
        <w:t>审批数量和方式</w:t>
      </w:r>
    </w:p>
    <w:p>
      <w:pPr>
        <w:ind w:firstLine="632"/>
        <w:rPr>
          <w:rFonts w:hint="eastAsia" w:ascii="仿宋_GB2312" w:hAnsi="仿宋_GB2312" w:eastAsia="仿宋_GB2312" w:cs="仿宋_GB2312"/>
        </w:rPr>
      </w:pPr>
      <w:r>
        <w:rPr>
          <w:rFonts w:hint="eastAsia" w:ascii="仿宋_GB2312" w:hAnsi="仿宋_GB2312" w:eastAsia="仿宋_GB2312" w:cs="仿宋_GB2312"/>
        </w:rPr>
        <w:t>审批数量：有数量限制，受新区科技创新和产业发展专项资金年度总额控制。</w:t>
      </w:r>
    </w:p>
    <w:p>
      <w:pPr>
        <w:ind w:firstLine="632"/>
        <w:rPr>
          <w:rFonts w:hint="eastAsia" w:ascii="仿宋_GB2312" w:hAnsi="仿宋_GB2312" w:eastAsia="仿宋_GB2312" w:cs="仿宋_GB2312"/>
        </w:rPr>
      </w:pPr>
      <w:r>
        <w:rPr>
          <w:rFonts w:hint="eastAsia" w:ascii="仿宋_GB2312" w:hAnsi="仿宋_GB2312" w:eastAsia="仿宋_GB2312" w:cs="仿宋_GB2312"/>
        </w:rPr>
        <w:t>审批方式：自愿申报、部门审查、社会公示、政府审核。</w:t>
      </w:r>
    </w:p>
    <w:p>
      <w:pPr>
        <w:pStyle w:val="3"/>
        <w:numPr>
          <w:ilvl w:val="0"/>
          <w:numId w:val="0"/>
        </w:numPr>
        <w:ind w:firstLine="632" w:firstLineChars="200"/>
      </w:pPr>
      <w:r>
        <w:rPr>
          <w:rFonts w:hint="default"/>
        </w:rPr>
        <w:t>四、</w:t>
      </w:r>
      <w:r>
        <w:rPr>
          <w:rFonts w:hint="eastAsia"/>
        </w:rPr>
        <w:t>申报条件</w:t>
      </w:r>
    </w:p>
    <w:p>
      <w:pPr>
        <w:keepNext w:val="0"/>
        <w:keepLines w:val="0"/>
        <w:pageBreakBefore w:val="0"/>
        <w:widowControl/>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（一）申报主体未违反国家、省、市联合惩戒政策和制度规定，未被列为失信联合惩戒对象。</w:t>
      </w:r>
    </w:p>
    <w:p>
      <w:pPr>
        <w:keepNext w:val="0"/>
        <w:keepLines w:val="0"/>
        <w:pageBreakBefore w:val="0"/>
        <w:widowControl/>
        <w:kinsoku/>
        <w:wordWrap/>
        <w:overflowPunct/>
        <w:topLinePunct w:val="0"/>
        <w:autoSpaceDE/>
        <w:autoSpaceDN/>
        <w:bidi w:val="0"/>
        <w:adjustRightInd/>
        <w:snapToGrid/>
        <w:spacing w:line="560" w:lineRule="exact"/>
        <w:ind w:firstLine="632"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default" w:ascii="仿宋_GB2312" w:hAnsi="仿宋_GB2312" w:eastAsia="仿宋_GB2312" w:cs="仿宋_GB2312"/>
          <w:sz w:val="32"/>
          <w:szCs w:val="32"/>
        </w:rPr>
        <w:t>申报主体需为新区已纳统</w:t>
      </w:r>
      <w:r>
        <w:rPr>
          <w:rFonts w:hint="eastAsia" w:ascii="仿宋_GB2312" w:hAnsi="仿宋_GB2312" w:eastAsia="仿宋_GB2312" w:cs="仿宋_GB2312"/>
          <w:sz w:val="32"/>
          <w:szCs w:val="32"/>
        </w:rPr>
        <w:t>企业</w:t>
      </w:r>
      <w:r>
        <w:rPr>
          <w:rFonts w:hint="default"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32" w:firstLineChars="20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（三）申报主体需</w:t>
      </w:r>
      <w:r>
        <w:rPr>
          <w:rFonts w:ascii="仿宋_GB2312" w:hAnsi="仿宋_GB2312" w:eastAsia="仿宋_GB2312" w:cs="仿宋_GB2312"/>
          <w:sz w:val="32"/>
          <w:szCs w:val="32"/>
        </w:rPr>
        <w:t>依法申请商事登记取得营业执照和旅馆业特种行业许可证</w:t>
      </w:r>
      <w:r>
        <w:rPr>
          <w:rFonts w:hint="default"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32"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default" w:ascii="仿宋_GB2312" w:hAnsi="仿宋_GB2312" w:eastAsia="仿宋_GB2312" w:cs="仿宋_GB2312"/>
          <w:sz w:val="32"/>
          <w:szCs w:val="32"/>
        </w:rPr>
        <w:t>四）申报项目实施时间为本措施发布后。</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default" w:ascii="仿宋_GB2312" w:hAnsi="仿宋_GB2312" w:eastAsia="仿宋_GB2312" w:cs="仿宋_GB2312"/>
          <w:sz w:val="32"/>
          <w:szCs w:val="32"/>
        </w:rPr>
        <w:t>五</w:t>
      </w:r>
      <w:r>
        <w:rPr>
          <w:rFonts w:hint="eastAsia" w:ascii="仿宋_GB2312" w:hAnsi="仿宋_GB2312" w:eastAsia="仿宋_GB2312" w:cs="仿宋_GB2312"/>
          <w:sz w:val="32"/>
          <w:szCs w:val="32"/>
        </w:rPr>
        <w:t>）从事行业类别符合《深圳市大鹏新区科技创新和产业发展专项资金管理办法》规定的新区产业导向</w:t>
      </w:r>
      <w:r>
        <w:rPr>
          <w:rFonts w:hint="eastAsia" w:ascii="仿宋_GB2312" w:hAnsi="仿宋_GB2312" w:eastAsia="仿宋_GB2312" w:cs="仿宋_GB2312"/>
          <w:sz w:val="32"/>
          <w:szCs w:val="32"/>
          <w:lang w:eastAsia="zh-CN"/>
        </w:rPr>
        <w:t>及支持条件</w:t>
      </w:r>
      <w:r>
        <w:rPr>
          <w:rFonts w:hint="default" w:ascii="仿宋_GB2312" w:hAnsi="仿宋_GB2312" w:eastAsia="仿宋_GB2312" w:cs="仿宋_GB2312"/>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default" w:ascii="仿宋_GB2312" w:hAnsi="仿宋_GB2312" w:eastAsia="仿宋_GB2312" w:cs="仿宋_GB2312"/>
          <w:sz w:val="32"/>
          <w:szCs w:val="32"/>
        </w:rPr>
        <w:t>六</w:t>
      </w:r>
      <w:r>
        <w:rPr>
          <w:rFonts w:hint="eastAsia" w:ascii="仿宋_GB2312" w:hAnsi="仿宋_GB2312" w:eastAsia="仿宋_GB2312" w:cs="仿宋_GB2312"/>
          <w:sz w:val="32"/>
          <w:szCs w:val="32"/>
        </w:rPr>
        <w:t>）申报项目已完成。项目开展</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实施</w:t>
      </w:r>
      <w:r>
        <w:rPr>
          <w:rFonts w:hint="default" w:ascii="仿宋_GB2312" w:hAnsi="仿宋_GB2312" w:eastAsia="仿宋_GB2312" w:cs="仿宋_GB2312"/>
          <w:sz w:val="32"/>
          <w:szCs w:val="32"/>
        </w:rPr>
        <w:t>时间为2024年8月3日</w:t>
      </w:r>
      <w:r>
        <w:rPr>
          <w:rFonts w:hint="eastAsia" w:ascii="仿宋_GB2312" w:hAnsi="仿宋_GB2312" w:eastAsia="仿宋_GB2312" w:cs="仿宋_GB2312"/>
          <w:sz w:val="32"/>
          <w:szCs w:val="32"/>
        </w:rPr>
        <w:t>至</w:t>
      </w:r>
      <w:r>
        <w:rPr>
          <w:rFonts w:hint="default" w:ascii="仿宋_GB2312" w:hAnsi="仿宋_GB2312" w:eastAsia="仿宋_GB2312" w:cs="仿宋_GB2312"/>
          <w:sz w:val="32"/>
          <w:szCs w:val="32"/>
        </w:rPr>
        <w:t>2024年12月31日</w:t>
      </w:r>
      <w:r>
        <w:rPr>
          <w:rFonts w:hint="eastAsia" w:ascii="仿宋_GB2312" w:hAnsi="仿宋_GB2312" w:eastAsia="仿宋_GB2312" w:cs="仿宋_GB2312"/>
          <w:sz w:val="32"/>
          <w:szCs w:val="32"/>
        </w:rPr>
        <w:t>。</w:t>
      </w:r>
    </w:p>
    <w:p>
      <w:pPr>
        <w:pStyle w:val="3"/>
        <w:numPr>
          <w:ilvl w:val="0"/>
          <w:numId w:val="0"/>
        </w:numPr>
        <w:ind w:left="632" w:leftChars="0"/>
      </w:pPr>
      <w:r>
        <w:rPr>
          <w:rFonts w:hint="default"/>
        </w:rPr>
        <w:t>五、申报单位应提供下列</w:t>
      </w:r>
      <w:r>
        <w:rPr>
          <w:rFonts w:hint="eastAsia"/>
        </w:rPr>
        <w:t>材料</w:t>
      </w:r>
    </w:p>
    <w:p>
      <w:pPr>
        <w:ind w:firstLine="632"/>
        <w:rPr>
          <w:rFonts w:hint="eastAsia" w:ascii="仿宋_GB2312" w:hAnsi="仿宋_GB2312" w:eastAsia="仿宋_GB2312" w:cs="仿宋_GB2312"/>
        </w:rPr>
      </w:pPr>
      <w:r>
        <w:rPr>
          <w:rFonts w:hint="eastAsia" w:ascii="仿宋_GB2312" w:hAnsi="仿宋_GB2312" w:eastAsia="仿宋_GB2312" w:cs="仿宋_GB2312"/>
        </w:rPr>
        <w:t>本次项目申报采用线下验证纸质材料的形式进行。</w:t>
      </w:r>
    </w:p>
    <w:p>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1.《大鹏新区旅游住宿业发展专项资金支持申请书》原件（盖章并签名）。</w:t>
      </w:r>
    </w:p>
    <w:p>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2.申请单位承诺书。对申请表内容真实性、准确性、完整性、守法经营及履行安全生产责任</w:t>
      </w:r>
      <w:r>
        <w:rPr>
          <w:rFonts w:hint="eastAsia" w:ascii="仿宋_GB2312" w:hAnsi="仿宋_GB2312" w:eastAsia="仿宋_GB2312" w:cs="仿宋_GB2312"/>
          <w:sz w:val="32"/>
          <w:szCs w:val="32"/>
          <w:lang w:eastAsia="zh-CN"/>
        </w:rPr>
        <w:t>，</w:t>
      </w:r>
      <w:bookmarkStart w:id="1" w:name="_GoBack"/>
      <w:bookmarkEnd w:id="1"/>
      <w:r>
        <w:rPr>
          <w:rFonts w:hint="eastAsia" w:ascii="仿宋_GB2312" w:hAnsi="仿宋_GB2312" w:eastAsia="仿宋_GB2312" w:cs="仿宋_GB2312"/>
          <w:sz w:val="32"/>
          <w:szCs w:val="32"/>
        </w:rPr>
        <w:t>以及未重复申报等进行承诺，如虚假申报应当承担相应责任。</w:t>
      </w:r>
    </w:p>
    <w:p>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3.营业执照、法人代表身份证、税务登记证书（复印件并签字）。</w:t>
      </w:r>
    </w:p>
    <w:p>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4.申报单位及申报项目简介。</w:t>
      </w:r>
    </w:p>
    <w:p>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5.申报单位纳统证明材料</w:t>
      </w:r>
      <w:r>
        <w:rPr>
          <w:rFonts w:hint="default"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rPr>
      </w:pPr>
      <w:r>
        <w:rPr>
          <w:rFonts w:hint="eastAsia" w:ascii="仿宋_GB2312" w:hAnsi="仿宋_GB2312" w:eastAsia="仿宋_GB2312" w:cs="仿宋_GB2312"/>
          <w:sz w:val="32"/>
          <w:szCs w:val="32"/>
        </w:rPr>
        <w:t>6.连锁经营的证明材料</w:t>
      </w:r>
      <w:r>
        <w:rPr>
          <w:rFonts w:hint="default"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7.近两年获得政府财政资金资助、奖励的详细情况说明</w:t>
      </w:r>
      <w:r>
        <w:rPr>
          <w:rFonts w:hint="default"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8.近两年的纳税证明</w:t>
      </w:r>
      <w:r>
        <w:rPr>
          <w:rFonts w:hint="default"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9.会计师事务所出具的申请单位上年度财务审计报告复印件</w:t>
      </w:r>
      <w:r>
        <w:rPr>
          <w:rFonts w:hint="default"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10.申请单位提供的企业信用报告。</w:t>
      </w:r>
    </w:p>
    <w:p>
      <w:pPr>
        <w:keepNext w:val="0"/>
        <w:keepLines w:val="0"/>
        <w:pageBreakBefore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rPr>
      </w:pPr>
      <w:r>
        <w:rPr>
          <w:rFonts w:hint="eastAsia" w:ascii="仿宋_GB2312" w:hAnsi="仿宋_GB2312" w:eastAsia="仿宋_GB2312" w:cs="仿宋_GB2312"/>
          <w:sz w:val="32"/>
          <w:szCs w:val="32"/>
        </w:rPr>
        <w:t>以上复印件材料均需验原件，</w:t>
      </w:r>
      <w:r>
        <w:rPr>
          <w:rFonts w:hint="eastAsia" w:ascii="仿宋_GB2312" w:hAnsi="仿宋_GB2312" w:eastAsia="仿宋_GB2312" w:cs="仿宋_GB2312"/>
        </w:rPr>
        <w:t>按A4纸型制作，申报表和附件统一装订，按顺序编制目录、页码，正反打印胶装订成册，整册盖骑缝章，纸质申报材料一式两份；电子文档1份刻录光盘或U盘</w:t>
      </w:r>
      <w:r>
        <w:rPr>
          <w:rFonts w:hint="default" w:ascii="仿宋_GB2312" w:hAnsi="仿宋_GB2312" w:eastAsia="仿宋_GB2312" w:cs="仿宋_GB2312"/>
        </w:rPr>
        <w:t>，且</w:t>
      </w:r>
      <w:r>
        <w:rPr>
          <w:rFonts w:hint="eastAsia" w:ascii="仿宋_GB2312" w:hAnsi="仿宋_GB2312" w:eastAsia="仿宋_GB2312" w:cs="仿宋_GB2312"/>
        </w:rPr>
        <w:t>与纸质文件内容保持一致。</w:t>
      </w:r>
    </w:p>
    <w:p>
      <w:pPr>
        <w:pStyle w:val="11"/>
        <w:keepNext w:val="0"/>
        <w:keepLines w:val="0"/>
        <w:pageBreakBefore w:val="0"/>
        <w:kinsoku/>
        <w:wordWrap/>
        <w:overflowPunct/>
        <w:topLinePunct w:val="0"/>
        <w:autoSpaceDE/>
        <w:autoSpaceDN/>
        <w:bidi w:val="0"/>
        <w:adjustRightInd/>
        <w:snapToGrid/>
        <w:spacing w:line="560" w:lineRule="exact"/>
        <w:ind w:firstLine="632" w:firstLineChars="200"/>
        <w:textAlignment w:val="auto"/>
      </w:pPr>
      <w:r>
        <w:rPr>
          <w:rFonts w:hint="default" w:ascii="Times New Roman" w:hAnsi="Times New Roman" w:eastAsia="黑体" w:cs="Times New Roman"/>
          <w:kern w:val="2"/>
          <w:sz w:val="32"/>
          <w:szCs w:val="28"/>
          <w:lang w:eastAsia="zh-CN" w:bidi="ar-SA"/>
        </w:rPr>
        <w:t>六</w:t>
      </w:r>
      <w:r>
        <w:rPr>
          <w:rFonts w:hint="default" w:ascii="Times New Roman" w:hAnsi="Times New Roman" w:eastAsia="黑体" w:cs="Times New Roman"/>
          <w:kern w:val="2"/>
          <w:sz w:val="32"/>
          <w:szCs w:val="28"/>
          <w:lang w:val="en-US" w:eastAsia="zh-CN" w:bidi="ar-SA"/>
        </w:rPr>
        <w:t>、</w:t>
      </w:r>
      <w:r>
        <w:rPr>
          <w:rFonts w:hint="eastAsia" w:ascii="Times New Roman" w:hAnsi="Times New Roman" w:eastAsia="黑体" w:cs="Times New Roman"/>
          <w:kern w:val="2"/>
          <w:sz w:val="32"/>
          <w:szCs w:val="28"/>
          <w:lang w:val="en-US" w:eastAsia="zh-CN" w:bidi="ar-SA"/>
        </w:rPr>
        <w:t>受理机关</w:t>
      </w:r>
    </w:p>
    <w:p>
      <w:pPr>
        <w:ind w:firstLine="632"/>
        <w:rPr>
          <w:rFonts w:hint="eastAsia" w:ascii="仿宋_GB2312" w:hAnsi="仿宋_GB2312" w:eastAsia="仿宋_GB2312" w:cs="仿宋_GB2312"/>
        </w:rPr>
      </w:pPr>
      <w:r>
        <w:rPr>
          <w:rFonts w:hint="eastAsia" w:ascii="仿宋_GB2312" w:hAnsi="仿宋_GB2312" w:eastAsia="仿宋_GB2312" w:cs="仿宋_GB2312"/>
        </w:rPr>
        <w:t>受理机关：深圳市大鹏新区旅游发展和文化体育局</w:t>
      </w:r>
    </w:p>
    <w:p>
      <w:pPr>
        <w:ind w:firstLine="632"/>
        <w:rPr>
          <w:rFonts w:hint="eastAsia" w:ascii="仿宋_GB2312" w:hAnsi="仿宋_GB2312" w:eastAsia="仿宋_GB2312" w:cs="仿宋_GB2312"/>
        </w:rPr>
      </w:pPr>
      <w:r>
        <w:rPr>
          <w:rFonts w:hint="eastAsia" w:ascii="仿宋_GB2312" w:hAnsi="仿宋_GB2312" w:eastAsia="仿宋_GB2312" w:cs="仿宋_GB2312"/>
        </w:rPr>
        <w:t>受理地点：深圳市大鹏新区葵涌奔康工业区A</w:t>
      </w:r>
      <w:r>
        <w:rPr>
          <w:rFonts w:hint="default" w:ascii="仿宋_GB2312" w:hAnsi="仿宋_GB2312" w:eastAsia="仿宋_GB2312" w:cs="仿宋_GB2312"/>
        </w:rPr>
        <w:t>8</w:t>
      </w:r>
      <w:r>
        <w:rPr>
          <w:rFonts w:hint="eastAsia" w:ascii="仿宋_GB2312" w:hAnsi="仿宋_GB2312" w:eastAsia="仿宋_GB2312" w:cs="仿宋_GB2312"/>
        </w:rPr>
        <w:t>栋</w:t>
      </w:r>
      <w:r>
        <w:rPr>
          <w:rFonts w:hint="default" w:ascii="仿宋_GB2312" w:hAnsi="仿宋_GB2312" w:eastAsia="仿宋_GB2312" w:cs="仿宋_GB2312"/>
        </w:rPr>
        <w:t>317</w:t>
      </w:r>
      <w:r>
        <w:rPr>
          <w:rFonts w:hint="eastAsia" w:ascii="仿宋_GB2312" w:hAnsi="仿宋_GB2312" w:eastAsia="仿宋_GB2312" w:cs="仿宋_GB2312"/>
        </w:rPr>
        <w:t>室</w:t>
      </w:r>
    </w:p>
    <w:p>
      <w:pPr>
        <w:ind w:firstLine="632"/>
        <w:rPr>
          <w:rFonts w:hint="eastAsia" w:ascii="仿宋_GB2312" w:hAnsi="仿宋_GB2312" w:eastAsia="仿宋_GB2312" w:cs="仿宋_GB2312"/>
        </w:rPr>
      </w:pPr>
      <w:r>
        <w:rPr>
          <w:rFonts w:hint="eastAsia" w:ascii="仿宋_GB2312" w:hAnsi="仿宋_GB2312" w:eastAsia="仿宋_GB2312" w:cs="仿宋_GB2312"/>
        </w:rPr>
        <w:t xml:space="preserve">咨询电话：0755-28333465 </w:t>
      </w:r>
      <w:r>
        <w:rPr>
          <w:rFonts w:hint="default" w:ascii="仿宋_GB2312" w:hAnsi="仿宋_GB2312" w:eastAsia="仿宋_GB2312" w:cs="仿宋_GB2312"/>
        </w:rPr>
        <w:t>谢</w:t>
      </w:r>
      <w:r>
        <w:rPr>
          <w:rFonts w:hint="eastAsia" w:ascii="仿宋_GB2312" w:hAnsi="仿宋_GB2312" w:eastAsia="仿宋_GB2312" w:cs="仿宋_GB2312"/>
        </w:rPr>
        <w:t>工</w:t>
      </w:r>
    </w:p>
    <w:p>
      <w:pPr>
        <w:ind w:firstLine="2212" w:firstLineChars="700"/>
        <w:rPr>
          <w:rFonts w:hint="eastAsia" w:ascii="仿宋_GB2312" w:hAnsi="仿宋_GB2312" w:eastAsia="仿宋_GB2312" w:cs="仿宋_GB2312"/>
        </w:rPr>
      </w:pPr>
      <w:r>
        <w:rPr>
          <w:rFonts w:hint="eastAsia" w:ascii="仿宋_GB2312" w:hAnsi="仿宋_GB2312" w:eastAsia="仿宋_GB2312" w:cs="仿宋_GB2312"/>
        </w:rPr>
        <w:t xml:space="preserve">0755-28336229 </w:t>
      </w:r>
      <w:r>
        <w:rPr>
          <w:rFonts w:hint="default" w:ascii="仿宋_GB2312" w:hAnsi="仿宋_GB2312" w:eastAsia="仿宋_GB2312" w:cs="仿宋_GB2312"/>
        </w:rPr>
        <w:t>袁</w:t>
      </w:r>
      <w:r>
        <w:rPr>
          <w:rFonts w:hint="eastAsia" w:ascii="仿宋_GB2312" w:hAnsi="仿宋_GB2312" w:eastAsia="仿宋_GB2312" w:cs="仿宋_GB2312"/>
        </w:rPr>
        <w:t xml:space="preserve">工   </w:t>
      </w:r>
    </w:p>
    <w:p>
      <w:pPr>
        <w:pStyle w:val="3"/>
        <w:numPr>
          <w:ilvl w:val="0"/>
          <w:numId w:val="0"/>
        </w:numPr>
        <w:ind w:left="632" w:leftChars="0"/>
      </w:pPr>
      <w:r>
        <w:rPr>
          <w:rFonts w:hint="default"/>
        </w:rPr>
        <w:t>七、</w:t>
      </w:r>
      <w:r>
        <w:rPr>
          <w:rFonts w:hint="eastAsia"/>
        </w:rPr>
        <w:t>决定机构</w:t>
      </w:r>
    </w:p>
    <w:p>
      <w:pPr>
        <w:ind w:firstLine="632"/>
        <w:rPr>
          <w:rFonts w:hint="eastAsia" w:ascii="仿宋_GB2312" w:hAnsi="仿宋_GB2312" w:eastAsia="仿宋_GB2312" w:cs="仿宋_GB2312"/>
        </w:rPr>
      </w:pPr>
      <w:r>
        <w:rPr>
          <w:rFonts w:hint="eastAsia" w:ascii="仿宋_GB2312" w:hAnsi="仿宋_GB2312" w:eastAsia="仿宋_GB2312" w:cs="仿宋_GB2312"/>
        </w:rPr>
        <w:t>大鹏新区科技创新和产业发展专项资金部门联席会议</w:t>
      </w:r>
    </w:p>
    <w:p>
      <w:pPr>
        <w:pStyle w:val="3"/>
        <w:numPr>
          <w:ilvl w:val="0"/>
          <w:numId w:val="0"/>
        </w:numPr>
        <w:ind w:left="632" w:leftChars="0"/>
      </w:pPr>
      <w:r>
        <w:rPr>
          <w:rFonts w:hint="default"/>
        </w:rPr>
        <w:t>八、</w:t>
      </w:r>
      <w:r>
        <w:rPr>
          <w:rFonts w:hint="eastAsia"/>
        </w:rPr>
        <w:t>受理时间</w:t>
      </w:r>
    </w:p>
    <w:p>
      <w:pPr>
        <w:ind w:firstLine="632"/>
        <w:rPr>
          <w:rFonts w:hint="eastAsia" w:ascii="仿宋_GB2312" w:hAnsi="仿宋_GB2312" w:eastAsia="仿宋_GB2312" w:cs="仿宋_GB2312"/>
        </w:rPr>
      </w:pPr>
      <w:r>
        <w:rPr>
          <w:rFonts w:hint="eastAsia" w:ascii="仿宋_GB2312" w:hAnsi="仿宋_GB2312" w:eastAsia="仿宋_GB2312" w:cs="仿宋_GB2312"/>
        </w:rPr>
        <w:t xml:space="preserve">即日起至 </w:t>
      </w:r>
      <w:r>
        <w:rPr>
          <w:rFonts w:hint="default" w:ascii="仿宋_GB2312" w:hAnsi="仿宋_GB2312" w:eastAsia="仿宋_GB2312" w:cs="仿宋_GB2312"/>
        </w:rPr>
        <w:t>2025年2月25日</w:t>
      </w:r>
    </w:p>
    <w:p>
      <w:pPr>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eastAsia" w:ascii="黑体" w:hAnsi="黑体" w:eastAsia="黑体"/>
          <w:sz w:val="32"/>
          <w:szCs w:val="32"/>
          <w:highlight w:val="none"/>
        </w:rPr>
      </w:pPr>
      <w:r>
        <w:rPr>
          <w:rFonts w:hint="default" w:ascii="黑体" w:hAnsi="黑体" w:eastAsia="黑体"/>
          <w:sz w:val="32"/>
          <w:szCs w:val="32"/>
          <w:highlight w:val="none"/>
        </w:rPr>
        <w:t>九、</w:t>
      </w:r>
      <w:r>
        <w:rPr>
          <w:rFonts w:hint="eastAsia" w:ascii="黑体" w:hAnsi="黑体" w:eastAsia="黑体"/>
          <w:sz w:val="32"/>
          <w:szCs w:val="32"/>
          <w:highlight w:val="none"/>
        </w:rPr>
        <w:t>申报审批程序</w:t>
      </w:r>
    </w:p>
    <w:p>
      <w:pPr>
        <w:pageBreakBefore w:val="0"/>
        <w:kinsoku/>
        <w:wordWrap/>
        <w:overflowPunct/>
        <w:topLinePunct w:val="0"/>
        <w:autoSpaceDE/>
        <w:autoSpaceDN/>
        <w:bidi w:val="0"/>
        <w:adjustRightInd/>
        <w:ind w:firstLine="632"/>
        <w:textAlignment w:val="auto"/>
        <w:rPr>
          <w:rFonts w:hAnsi="仿宋"/>
          <w:szCs w:val="32"/>
        </w:rPr>
      </w:pPr>
      <w:r>
        <w:rPr>
          <w:rFonts w:hint="eastAsia" w:ascii="仿宋_GB2312" w:hAnsi="仿宋_GB2312" w:eastAsia="仿宋_GB2312" w:cs="仿宋_GB2312"/>
          <w:sz w:val="32"/>
          <w:szCs w:val="32"/>
          <w:highlight w:val="none"/>
        </w:rPr>
        <w:t>申请人向资金主管部门（</w:t>
      </w:r>
      <w:r>
        <w:rPr>
          <w:rFonts w:hint="default" w:ascii="仿宋_GB2312" w:hAnsi="仿宋_GB2312" w:eastAsia="仿宋_GB2312" w:cs="仿宋_GB2312"/>
          <w:sz w:val="32"/>
          <w:szCs w:val="32"/>
          <w:highlight w:val="none"/>
          <w:lang w:val="en-US"/>
        </w:rPr>
        <w:t>大鹏新区</w:t>
      </w:r>
      <w:r>
        <w:rPr>
          <w:rFonts w:hint="default" w:ascii="仿宋_GB2312" w:hAnsi="仿宋_GB2312" w:eastAsia="仿宋_GB2312" w:cs="仿宋_GB2312"/>
          <w:sz w:val="32"/>
          <w:szCs w:val="32"/>
          <w:highlight w:val="none"/>
        </w:rPr>
        <w:t>旅游发展和文化体育局</w:t>
      </w:r>
      <w:r>
        <w:rPr>
          <w:rFonts w:hint="eastAsia" w:ascii="仿宋_GB2312" w:hAnsi="仿宋_GB2312" w:eastAsia="仿宋_GB2312" w:cs="仿宋_GB2312"/>
          <w:sz w:val="32"/>
          <w:szCs w:val="32"/>
          <w:highlight w:val="none"/>
        </w:rPr>
        <w:t>）提交纸质申请材料——申请材料初审——资金主管部门审核——</w:t>
      </w:r>
      <w:r>
        <w:rPr>
          <w:rFonts w:hint="eastAsia" w:ascii="仿宋_GB2312" w:hAnsi="仿宋_GB2312" w:eastAsia="仿宋_GB2312" w:cs="仿宋_GB2312"/>
          <w:sz w:val="32"/>
          <w:szCs w:val="32"/>
          <w:highlight w:val="none"/>
          <w:lang w:eastAsia="zh-CN"/>
        </w:rPr>
        <w:t>大鹏新区科技创新和产业发展专项资金联席会议</w:t>
      </w:r>
      <w:r>
        <w:rPr>
          <w:rFonts w:hint="eastAsia" w:ascii="仿宋_GB2312" w:hAnsi="仿宋_GB2312" w:eastAsia="仿宋_GB2312" w:cs="仿宋_GB2312"/>
          <w:sz w:val="32"/>
          <w:szCs w:val="32"/>
          <w:highlight w:val="none"/>
        </w:rPr>
        <w:t>审议——拟扶持社会公示——</w:t>
      </w:r>
      <w:r>
        <w:rPr>
          <w:rFonts w:hint="eastAsia" w:ascii="仿宋_GB2312" w:hAnsi="仿宋_GB2312" w:eastAsia="仿宋_GB2312" w:cs="仿宋_GB2312"/>
          <w:sz w:val="32"/>
          <w:szCs w:val="32"/>
          <w:highlight w:val="none"/>
          <w:lang w:eastAsia="zh-CN"/>
        </w:rPr>
        <w:t>大鹏新区管理委员会</w:t>
      </w:r>
      <w:r>
        <w:rPr>
          <w:rFonts w:hint="eastAsia" w:ascii="仿宋_GB2312" w:hAnsi="仿宋_GB2312" w:eastAsia="仿宋_GB2312" w:cs="仿宋_GB2312"/>
          <w:sz w:val="32"/>
          <w:szCs w:val="32"/>
          <w:highlight w:val="none"/>
        </w:rPr>
        <w:t>批复——下达扶持计划——签订合同——下达扶持资金。</w:t>
      </w:r>
    </w:p>
    <w:p>
      <w:pPr>
        <w:pStyle w:val="3"/>
        <w:pageBreakBefore w:val="0"/>
        <w:numPr>
          <w:ilvl w:val="0"/>
          <w:numId w:val="0"/>
        </w:numPr>
        <w:kinsoku/>
        <w:wordWrap/>
        <w:overflowPunct/>
        <w:topLinePunct w:val="0"/>
        <w:autoSpaceDE/>
        <w:autoSpaceDN/>
        <w:bidi w:val="0"/>
        <w:adjustRightInd/>
        <w:ind w:left="632" w:leftChars="0"/>
        <w:textAlignment w:val="auto"/>
      </w:pPr>
      <w:bookmarkStart w:id="0" w:name="_Toc508645043"/>
      <w:r>
        <w:rPr>
          <w:rFonts w:hint="default"/>
        </w:rPr>
        <w:t>十、</w:t>
      </w:r>
      <w:r>
        <w:rPr>
          <w:rFonts w:hint="eastAsia"/>
        </w:rPr>
        <w:t>管理监督</w:t>
      </w:r>
      <w:bookmarkEnd w:id="0"/>
    </w:p>
    <w:p>
      <w:pPr>
        <w:pageBreakBefore w:val="0"/>
        <w:kinsoku/>
        <w:wordWrap/>
        <w:overflowPunct/>
        <w:topLinePunct w:val="0"/>
        <w:autoSpaceDE/>
        <w:autoSpaceDN/>
        <w:bidi w:val="0"/>
        <w:adjustRightInd/>
        <w:ind w:firstLine="632"/>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（一）同一项目，适用于多项</w:t>
      </w:r>
      <w:r>
        <w:rPr>
          <w:rFonts w:hint="default" w:ascii="仿宋_GB2312" w:hAnsi="仿宋_GB2312" w:eastAsia="仿宋_GB2312" w:cs="仿宋_GB2312"/>
          <w:sz w:val="32"/>
          <w:szCs w:val="32"/>
          <w:highlight w:val="none"/>
        </w:rPr>
        <w:t>支持</w:t>
      </w:r>
      <w:r>
        <w:rPr>
          <w:rFonts w:hint="eastAsia" w:ascii="仿宋_GB2312" w:hAnsi="仿宋_GB2312" w:eastAsia="仿宋_GB2312" w:cs="仿宋_GB2312"/>
          <w:sz w:val="32"/>
          <w:szCs w:val="32"/>
          <w:highlight w:val="none"/>
        </w:rPr>
        <w:t>措施时，按照</w:t>
      </w:r>
      <w:r>
        <w:rPr>
          <w:rFonts w:hint="default" w:ascii="仿宋_GB2312" w:hAnsi="仿宋_GB2312" w:eastAsia="仿宋_GB2312" w:cs="仿宋_GB2312"/>
          <w:sz w:val="32"/>
          <w:szCs w:val="32"/>
          <w:highlight w:val="none"/>
        </w:rPr>
        <w:t>支持</w:t>
      </w:r>
      <w:r>
        <w:rPr>
          <w:rFonts w:hint="eastAsia" w:ascii="仿宋_GB2312" w:hAnsi="仿宋_GB2312" w:eastAsia="仿宋_GB2312" w:cs="仿宋_GB2312"/>
          <w:sz w:val="32"/>
          <w:szCs w:val="32"/>
          <w:highlight w:val="none"/>
        </w:rPr>
        <w:t>额度较高的标准执行，不予重复</w:t>
      </w:r>
      <w:r>
        <w:rPr>
          <w:rFonts w:hint="default" w:ascii="仿宋_GB2312" w:hAnsi="仿宋_GB2312" w:eastAsia="仿宋_GB2312" w:cs="仿宋_GB2312"/>
          <w:sz w:val="32"/>
          <w:szCs w:val="32"/>
          <w:highlight w:val="none"/>
        </w:rPr>
        <w:t>支持</w:t>
      </w:r>
      <w:r>
        <w:rPr>
          <w:rFonts w:hint="eastAsia" w:ascii="仿宋_GB2312" w:hAnsi="仿宋_GB2312" w:eastAsia="仿宋_GB2312" w:cs="仿宋_GB2312"/>
          <w:sz w:val="32"/>
          <w:szCs w:val="32"/>
          <w:highlight w:val="none"/>
        </w:rPr>
        <w:t>。</w:t>
      </w:r>
    </w:p>
    <w:p>
      <w:pPr>
        <w:pageBreakBefore w:val="0"/>
        <w:kinsoku/>
        <w:wordWrap/>
        <w:overflowPunct/>
        <w:topLinePunct w:val="0"/>
        <w:autoSpaceDE/>
        <w:autoSpaceDN/>
        <w:bidi w:val="0"/>
        <w:adjustRightInd/>
        <w:ind w:firstLine="632"/>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（二）违反前款规定的，责令退回已获得的补助款。</w:t>
      </w:r>
    </w:p>
    <w:p>
      <w:pPr>
        <w:pStyle w:val="3"/>
        <w:numPr>
          <w:ilvl w:val="0"/>
          <w:numId w:val="0"/>
        </w:numPr>
        <w:ind w:left="632" w:leftChars="0"/>
        <w:rPr>
          <w:rFonts w:hint="default"/>
        </w:rPr>
      </w:pPr>
      <w:r>
        <w:rPr>
          <w:rFonts w:hint="default"/>
        </w:rPr>
        <w:t>十一、限制性措施</w:t>
      </w:r>
    </w:p>
    <w:p>
      <w:pPr>
        <w:keepNext w:val="0"/>
        <w:keepLines w:val="0"/>
        <w:pageBreakBefore w:val="0"/>
        <w:widowControl/>
        <w:kinsoku/>
        <w:wordWrap/>
        <w:overflowPunct/>
        <w:topLinePunct w:val="0"/>
        <w:autoSpaceDE/>
        <w:autoSpaceDN/>
        <w:bidi w:val="0"/>
        <w:adjustRightInd/>
        <w:snapToGrid/>
        <w:spacing w:line="560" w:lineRule="exact"/>
        <w:ind w:firstLine="632"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default" w:ascii="仿宋_GB2312" w:hAnsi="仿宋_GB2312" w:eastAsia="仿宋_GB2312" w:cs="仿宋_GB2312"/>
          <w:sz w:val="32"/>
          <w:szCs w:val="32"/>
        </w:rPr>
        <w:t>申报单位或个人有以下情形之一的，不予以扶持：</w:t>
      </w:r>
    </w:p>
    <w:p>
      <w:pPr>
        <w:keepNext w:val="0"/>
        <w:keepLines w:val="0"/>
        <w:pageBreakBefore w:val="0"/>
        <w:widowControl/>
        <w:kinsoku/>
        <w:wordWrap/>
        <w:overflowPunct/>
        <w:topLinePunct w:val="0"/>
        <w:autoSpaceDE/>
        <w:autoSpaceDN/>
        <w:bidi w:val="0"/>
        <w:adjustRightInd/>
        <w:snapToGrid/>
        <w:spacing w:line="560" w:lineRule="exact"/>
        <w:ind w:firstLine="632" w:firstLineChars="20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（一）有可能影响重大经营活动的诉讼或仲裁的。</w:t>
      </w:r>
    </w:p>
    <w:p>
      <w:pPr>
        <w:keepNext w:val="0"/>
        <w:keepLines w:val="0"/>
        <w:pageBreakBefore w:val="0"/>
        <w:widowControl/>
        <w:kinsoku/>
        <w:wordWrap/>
        <w:overflowPunct/>
        <w:topLinePunct w:val="0"/>
        <w:autoSpaceDE/>
        <w:autoSpaceDN/>
        <w:bidi w:val="0"/>
        <w:adjustRightInd/>
        <w:snapToGrid/>
        <w:spacing w:line="560" w:lineRule="exact"/>
        <w:ind w:firstLine="632" w:firstLineChars="20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（二）主要财产因债务纠纷已被人民法院采取保全措施的。</w:t>
      </w:r>
    </w:p>
    <w:p>
      <w:pPr>
        <w:keepNext w:val="0"/>
        <w:keepLines w:val="0"/>
        <w:pageBreakBefore w:val="0"/>
        <w:widowControl/>
        <w:kinsoku/>
        <w:wordWrap/>
        <w:overflowPunct/>
        <w:topLinePunct w:val="0"/>
        <w:autoSpaceDE/>
        <w:autoSpaceDN/>
        <w:bidi w:val="0"/>
        <w:adjustRightInd/>
        <w:snapToGrid/>
        <w:spacing w:line="560" w:lineRule="exact"/>
        <w:ind w:firstLine="632" w:firstLineChars="20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（三）被相关部门责令停止经营或暂扣经营许可证的。</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32" w:firstLineChars="20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（四）申报前两年内，在税收、环保、消防安全、安全生产、食品安全、劳动等方面受到有关部门行政处罚且单项处罚金额达到20万元以上，或相关职能部门不建议支持的其他情形。</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32"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default" w:ascii="仿宋_GB2312" w:hAnsi="仿宋_GB2312" w:eastAsia="仿宋_GB2312" w:cs="仿宋_GB2312"/>
          <w:sz w:val="32"/>
          <w:szCs w:val="32"/>
        </w:rPr>
        <w:t>在申报专项资金过程中弄虚作假，或拒绝配合专项资金绩效评价和监督检查的。</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32" w:firstLineChars="20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（六）同一主体就同一事项多头重复申报并获得支持的。</w:t>
      </w:r>
    </w:p>
    <w:p>
      <w:pPr>
        <w:rPr>
          <w:rFonts w:hint="default" w:ascii="仿宋_GB2312" w:hAnsi="仿宋_GB2312" w:eastAsia="仿宋_GB2312" w:cs="仿宋_GB2312"/>
          <w:sz w:val="32"/>
          <w:szCs w:val="32"/>
        </w:rPr>
      </w:pPr>
    </w:p>
    <w:p/>
    <w:p>
      <w:pPr>
        <w:ind w:left="0" w:leftChars="0" w:firstLine="0" w:firstLineChars="0"/>
      </w:pPr>
    </w:p>
    <w:sectPr>
      <w:headerReference r:id="rId7" w:type="first"/>
      <w:footerReference r:id="rId10" w:type="first"/>
      <w:headerReference r:id="rId5" w:type="default"/>
      <w:footerReference r:id="rId8" w:type="default"/>
      <w:headerReference r:id="rId6" w:type="even"/>
      <w:footerReference r:id="rId9" w:type="even"/>
      <w:pgSz w:w="11907" w:h="16840"/>
      <w:pgMar w:top="2098" w:right="1474" w:bottom="1985" w:left="1588" w:header="851" w:footer="1418" w:gutter="0"/>
      <w:cols w:space="425" w:num="1"/>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6439F2"/>
    <w:multiLevelType w:val="multilevel"/>
    <w:tmpl w:val="076439F2"/>
    <w:lvl w:ilvl="0" w:tentative="0">
      <w:start w:val="1"/>
      <w:numFmt w:val="chineseCountingThousand"/>
      <w:suff w:val="space"/>
      <w:lvlText w:val="%1、"/>
      <w:lvlJc w:val="left"/>
      <w:pPr>
        <w:ind w:left="0" w:firstLine="632"/>
      </w:pPr>
      <w:rPr>
        <w:rFonts w:hint="eastAsia"/>
      </w:rPr>
    </w:lvl>
    <w:lvl w:ilvl="1" w:tentative="0">
      <w:start w:val="1"/>
      <w:numFmt w:val="lowerLetter"/>
      <w:lvlText w:val="%2)"/>
      <w:lvlJc w:val="left"/>
      <w:pPr>
        <w:ind w:left="1472" w:hanging="420"/>
      </w:pPr>
    </w:lvl>
    <w:lvl w:ilvl="2" w:tentative="0">
      <w:start w:val="1"/>
      <w:numFmt w:val="lowerRoman"/>
      <w:lvlText w:val="%3."/>
      <w:lvlJc w:val="right"/>
      <w:pPr>
        <w:ind w:left="1892" w:hanging="420"/>
      </w:pPr>
    </w:lvl>
    <w:lvl w:ilvl="3" w:tentative="0">
      <w:start w:val="1"/>
      <w:numFmt w:val="decimal"/>
      <w:lvlText w:val="%4."/>
      <w:lvlJc w:val="left"/>
      <w:pPr>
        <w:ind w:left="2312" w:hanging="420"/>
      </w:pPr>
    </w:lvl>
    <w:lvl w:ilvl="4" w:tentative="0">
      <w:start w:val="1"/>
      <w:numFmt w:val="lowerLetter"/>
      <w:lvlText w:val="%5)"/>
      <w:lvlJc w:val="left"/>
      <w:pPr>
        <w:ind w:left="2732" w:hanging="420"/>
      </w:pPr>
    </w:lvl>
    <w:lvl w:ilvl="5" w:tentative="0">
      <w:start w:val="1"/>
      <w:numFmt w:val="lowerRoman"/>
      <w:lvlText w:val="%6."/>
      <w:lvlJc w:val="right"/>
      <w:pPr>
        <w:ind w:left="3152" w:hanging="420"/>
      </w:pPr>
    </w:lvl>
    <w:lvl w:ilvl="6" w:tentative="0">
      <w:start w:val="1"/>
      <w:numFmt w:val="decimal"/>
      <w:lvlText w:val="%7."/>
      <w:lvlJc w:val="left"/>
      <w:pPr>
        <w:ind w:left="3572" w:hanging="420"/>
      </w:pPr>
    </w:lvl>
    <w:lvl w:ilvl="7" w:tentative="0">
      <w:start w:val="1"/>
      <w:numFmt w:val="lowerLetter"/>
      <w:lvlText w:val="%8)"/>
      <w:lvlJc w:val="left"/>
      <w:pPr>
        <w:ind w:left="3992" w:hanging="420"/>
      </w:pPr>
    </w:lvl>
    <w:lvl w:ilvl="8" w:tentative="0">
      <w:start w:val="1"/>
      <w:numFmt w:val="lowerRoman"/>
      <w:lvlText w:val="%9."/>
      <w:lvlJc w:val="right"/>
      <w:pPr>
        <w:ind w:left="441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58"/>
  <w:drawingGridVerticalSpacing w:val="579"/>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970"/>
    <w:rsid w:val="000929FA"/>
    <w:rsid w:val="00093970"/>
    <w:rsid w:val="000D75FE"/>
    <w:rsid w:val="0016310E"/>
    <w:rsid w:val="00163BD1"/>
    <w:rsid w:val="00232FFC"/>
    <w:rsid w:val="00240B24"/>
    <w:rsid w:val="00266C69"/>
    <w:rsid w:val="002A2B56"/>
    <w:rsid w:val="002A6E93"/>
    <w:rsid w:val="002C76B3"/>
    <w:rsid w:val="00333A66"/>
    <w:rsid w:val="00372432"/>
    <w:rsid w:val="003C6470"/>
    <w:rsid w:val="00430841"/>
    <w:rsid w:val="0045324A"/>
    <w:rsid w:val="00457833"/>
    <w:rsid w:val="00561FCF"/>
    <w:rsid w:val="005D5A03"/>
    <w:rsid w:val="00616C2C"/>
    <w:rsid w:val="0061737C"/>
    <w:rsid w:val="006B6935"/>
    <w:rsid w:val="0078604D"/>
    <w:rsid w:val="007E0A50"/>
    <w:rsid w:val="00820241"/>
    <w:rsid w:val="00866DC8"/>
    <w:rsid w:val="00911DE5"/>
    <w:rsid w:val="009451BE"/>
    <w:rsid w:val="0097018C"/>
    <w:rsid w:val="00995ACA"/>
    <w:rsid w:val="009A19F3"/>
    <w:rsid w:val="00B02659"/>
    <w:rsid w:val="00B226D5"/>
    <w:rsid w:val="00C03CFF"/>
    <w:rsid w:val="00C52B94"/>
    <w:rsid w:val="00C63A14"/>
    <w:rsid w:val="00CE2D4E"/>
    <w:rsid w:val="00D9427D"/>
    <w:rsid w:val="00DB62BD"/>
    <w:rsid w:val="00E51537"/>
    <w:rsid w:val="00EA6565"/>
    <w:rsid w:val="00F813CB"/>
    <w:rsid w:val="00FC6C35"/>
    <w:rsid w:val="0F317626"/>
    <w:rsid w:val="0FE5225A"/>
    <w:rsid w:val="1FF70341"/>
    <w:rsid w:val="2F772B54"/>
    <w:rsid w:val="358F58C8"/>
    <w:rsid w:val="379A1DE7"/>
    <w:rsid w:val="37DC40E0"/>
    <w:rsid w:val="38E4D709"/>
    <w:rsid w:val="3ABDE9FD"/>
    <w:rsid w:val="3AFEF1DC"/>
    <w:rsid w:val="3AFF8E2C"/>
    <w:rsid w:val="3DB83A06"/>
    <w:rsid w:val="447EF723"/>
    <w:rsid w:val="4EFF060B"/>
    <w:rsid w:val="57DE7EBD"/>
    <w:rsid w:val="5BFD24E0"/>
    <w:rsid w:val="5FFC0F29"/>
    <w:rsid w:val="63EB54DD"/>
    <w:rsid w:val="67ED39AA"/>
    <w:rsid w:val="6AE2462C"/>
    <w:rsid w:val="6B987F74"/>
    <w:rsid w:val="6BFFD1E1"/>
    <w:rsid w:val="6F6EA6C0"/>
    <w:rsid w:val="6FFF2B28"/>
    <w:rsid w:val="73902DDE"/>
    <w:rsid w:val="73F55E6F"/>
    <w:rsid w:val="74E79F52"/>
    <w:rsid w:val="77BF910F"/>
    <w:rsid w:val="77DDD8D0"/>
    <w:rsid w:val="79FE5902"/>
    <w:rsid w:val="7AE4AFCF"/>
    <w:rsid w:val="7B1E7511"/>
    <w:rsid w:val="7B7B83F9"/>
    <w:rsid w:val="7BF063DE"/>
    <w:rsid w:val="7D1F9F2F"/>
    <w:rsid w:val="7DF7209E"/>
    <w:rsid w:val="7E7E02E5"/>
    <w:rsid w:val="7EFBDF38"/>
    <w:rsid w:val="7F388D97"/>
    <w:rsid w:val="7F712355"/>
    <w:rsid w:val="7FBF214F"/>
    <w:rsid w:val="7FBF240C"/>
    <w:rsid w:val="9DBF25C5"/>
    <w:rsid w:val="9EBFD3B8"/>
    <w:rsid w:val="BB779713"/>
    <w:rsid w:val="BE9F3331"/>
    <w:rsid w:val="BEFF2627"/>
    <w:rsid w:val="BF7B20B8"/>
    <w:rsid w:val="BFEB00BD"/>
    <w:rsid w:val="CCDFCB6B"/>
    <w:rsid w:val="D76BFAF2"/>
    <w:rsid w:val="D9CD0562"/>
    <w:rsid w:val="DEAB7B82"/>
    <w:rsid w:val="DF3B5995"/>
    <w:rsid w:val="DF5644BB"/>
    <w:rsid w:val="DF7B55CB"/>
    <w:rsid w:val="E5975443"/>
    <w:rsid w:val="E5E1A9B2"/>
    <w:rsid w:val="ECFA52B9"/>
    <w:rsid w:val="EF771721"/>
    <w:rsid w:val="EF8F23ED"/>
    <w:rsid w:val="F377A17D"/>
    <w:rsid w:val="F4DBB665"/>
    <w:rsid w:val="F59D36CF"/>
    <w:rsid w:val="F5FCD902"/>
    <w:rsid w:val="F65DC41D"/>
    <w:rsid w:val="F779A883"/>
    <w:rsid w:val="F7F31917"/>
    <w:rsid w:val="F8FB07B2"/>
    <w:rsid w:val="F9DD586A"/>
    <w:rsid w:val="FCBFF9AD"/>
    <w:rsid w:val="FDFF163B"/>
    <w:rsid w:val="FEDFA317"/>
    <w:rsid w:val="FEEE6202"/>
    <w:rsid w:val="FF5D56F0"/>
    <w:rsid w:val="FFAF3708"/>
    <w:rsid w:val="FFBEE68D"/>
    <w:rsid w:val="FFDE8C14"/>
    <w:rsid w:val="FFDF0A48"/>
    <w:rsid w:val="FFFE1272"/>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60" w:lineRule="exact"/>
      <w:ind w:firstLine="200" w:firstLineChars="200"/>
      <w:jc w:val="both"/>
    </w:pPr>
    <w:rPr>
      <w:rFonts w:ascii="仿宋" w:eastAsia="仿宋" w:hAnsiTheme="minorHAnsi" w:cstheme="minorBidi"/>
      <w:kern w:val="2"/>
      <w:sz w:val="32"/>
      <w:szCs w:val="22"/>
      <w:lang w:val="en-US" w:eastAsia="zh-CN" w:bidi="ar-SA"/>
    </w:rPr>
  </w:style>
  <w:style w:type="paragraph" w:styleId="2">
    <w:name w:val="heading 1"/>
    <w:basedOn w:val="1"/>
    <w:next w:val="1"/>
    <w:link w:val="18"/>
    <w:qFormat/>
    <w:uiPriority w:val="9"/>
    <w:pPr>
      <w:keepNext/>
      <w:keepLines/>
      <w:ind w:firstLine="0" w:firstLineChars="0"/>
      <w:jc w:val="center"/>
      <w:outlineLvl w:val="0"/>
    </w:pPr>
    <w:rPr>
      <w:rFonts w:ascii="Times New Roman" w:hAnsi="Times New Roman" w:eastAsia="宋体" w:cstheme="majorBidi"/>
      <w:sz w:val="44"/>
      <w:szCs w:val="32"/>
    </w:rPr>
  </w:style>
  <w:style w:type="paragraph" w:styleId="3">
    <w:name w:val="heading 2"/>
    <w:basedOn w:val="1"/>
    <w:next w:val="1"/>
    <w:link w:val="19"/>
    <w:qFormat/>
    <w:uiPriority w:val="9"/>
    <w:pPr>
      <w:ind w:firstLine="0" w:firstLineChars="0"/>
      <w:outlineLvl w:val="1"/>
    </w:pPr>
    <w:rPr>
      <w:rFonts w:ascii="Times New Roman" w:hAnsi="Times New Roman" w:eastAsia="黑体" w:cs="Times New Roman"/>
      <w:szCs w:val="28"/>
    </w:rPr>
  </w:style>
  <w:style w:type="paragraph" w:styleId="4">
    <w:name w:val="heading 3"/>
    <w:basedOn w:val="1"/>
    <w:next w:val="1"/>
    <w:link w:val="20"/>
    <w:qFormat/>
    <w:uiPriority w:val="9"/>
    <w:pPr>
      <w:keepNext/>
      <w:keepLines/>
      <w:outlineLvl w:val="2"/>
    </w:pPr>
    <w:rPr>
      <w:rFonts w:ascii="楷体" w:hAnsi="Times New Roman" w:eastAsia="楷体" w:cs="Times New Roman"/>
      <w:szCs w:val="24"/>
    </w:rPr>
  </w:style>
  <w:style w:type="paragraph" w:styleId="5">
    <w:name w:val="heading 4"/>
    <w:basedOn w:val="1"/>
    <w:next w:val="1"/>
    <w:link w:val="21"/>
    <w:qFormat/>
    <w:uiPriority w:val="9"/>
    <w:pPr>
      <w:keepNext/>
      <w:keepLines/>
      <w:outlineLvl w:val="3"/>
    </w:pPr>
    <w:rPr>
      <w:rFonts w:hAnsi="Times New Roman" w:cs="Times New Roman"/>
      <w:b/>
      <w:iCs/>
    </w:rPr>
  </w:style>
  <w:style w:type="paragraph" w:styleId="6">
    <w:name w:val="heading 6"/>
    <w:basedOn w:val="1"/>
    <w:next w:val="1"/>
    <w:link w:val="22"/>
    <w:semiHidden/>
    <w:unhideWhenUsed/>
    <w:qFormat/>
    <w:uiPriority w:val="9"/>
    <w:pPr>
      <w:keepNext/>
      <w:keepLines/>
      <w:spacing w:before="40"/>
      <w:outlineLvl w:val="5"/>
    </w:pPr>
    <w:rPr>
      <w:rFonts w:ascii="Times New Roman" w:hAnsi="Times New Roman" w:eastAsia="宋体" w:cstheme="majorBidi"/>
      <w:color w:val="1F3864"/>
      <w:kern w:val="0"/>
      <w:sz w:val="22"/>
    </w:rPr>
  </w:style>
  <w:style w:type="paragraph" w:styleId="7">
    <w:name w:val="heading 7"/>
    <w:basedOn w:val="1"/>
    <w:next w:val="1"/>
    <w:link w:val="23"/>
    <w:semiHidden/>
    <w:unhideWhenUsed/>
    <w:qFormat/>
    <w:uiPriority w:val="9"/>
    <w:pPr>
      <w:keepNext/>
      <w:keepLines/>
      <w:spacing w:before="40"/>
      <w:outlineLvl w:val="6"/>
    </w:pPr>
    <w:rPr>
      <w:rFonts w:ascii="Times New Roman" w:hAnsi="Times New Roman" w:eastAsia="宋体" w:cstheme="majorBidi"/>
      <w:i/>
      <w:iCs/>
      <w:color w:val="1F3864"/>
      <w:kern w:val="0"/>
      <w:sz w:val="22"/>
    </w:rPr>
  </w:style>
  <w:style w:type="paragraph" w:styleId="8">
    <w:name w:val="heading 8"/>
    <w:basedOn w:val="1"/>
    <w:next w:val="1"/>
    <w:link w:val="24"/>
    <w:semiHidden/>
    <w:unhideWhenUsed/>
    <w:qFormat/>
    <w:uiPriority w:val="9"/>
    <w:pPr>
      <w:keepNext/>
      <w:keepLines/>
      <w:spacing w:before="40"/>
      <w:outlineLvl w:val="7"/>
    </w:pPr>
    <w:rPr>
      <w:rFonts w:ascii="Times New Roman" w:hAnsi="Times New Roman" w:eastAsia="宋体" w:cstheme="majorBidi"/>
      <w:color w:val="262626"/>
      <w:kern w:val="0"/>
      <w:sz w:val="22"/>
      <w:szCs w:val="21"/>
    </w:rPr>
  </w:style>
  <w:style w:type="paragraph" w:styleId="9">
    <w:name w:val="heading 9"/>
    <w:basedOn w:val="1"/>
    <w:next w:val="1"/>
    <w:link w:val="25"/>
    <w:semiHidden/>
    <w:unhideWhenUsed/>
    <w:qFormat/>
    <w:uiPriority w:val="9"/>
    <w:pPr>
      <w:keepNext/>
      <w:keepLines/>
      <w:spacing w:before="40"/>
      <w:outlineLvl w:val="8"/>
    </w:pPr>
    <w:rPr>
      <w:rFonts w:ascii="Times New Roman" w:hAnsi="Times New Roman" w:eastAsia="宋体" w:cstheme="majorBidi"/>
      <w:i/>
      <w:iCs/>
      <w:color w:val="262626"/>
      <w:kern w:val="0"/>
      <w:sz w:val="22"/>
      <w:szCs w:val="21"/>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0">
    <w:name w:val="caption"/>
    <w:basedOn w:val="1"/>
    <w:next w:val="1"/>
    <w:semiHidden/>
    <w:unhideWhenUsed/>
    <w:qFormat/>
    <w:uiPriority w:val="35"/>
    <w:pPr>
      <w:spacing w:after="200" w:line="240" w:lineRule="auto"/>
    </w:pPr>
    <w:rPr>
      <w:i/>
      <w:iCs/>
      <w:color w:val="44546A"/>
      <w:sz w:val="18"/>
      <w:szCs w:val="18"/>
    </w:rPr>
  </w:style>
  <w:style w:type="paragraph" w:styleId="11">
    <w:name w:val="Body Text"/>
    <w:basedOn w:val="1"/>
    <w:next w:val="12"/>
    <w:qFormat/>
    <w:uiPriority w:val="1"/>
    <w:rPr>
      <w:rFonts w:ascii="仿宋_GB2312" w:hAnsi="仿宋_GB2312" w:eastAsia="仿宋_GB2312"/>
    </w:rPr>
  </w:style>
  <w:style w:type="paragraph" w:styleId="12">
    <w:name w:val="Body Text First Indent"/>
    <w:basedOn w:val="11"/>
    <w:next w:val="1"/>
    <w:qFormat/>
    <w:uiPriority w:val="0"/>
    <w:pPr>
      <w:ind w:firstLine="420" w:firstLineChars="100"/>
    </w:pPr>
  </w:style>
  <w:style w:type="paragraph" w:styleId="13">
    <w:name w:val="footer"/>
    <w:basedOn w:val="1"/>
    <w:link w:val="30"/>
    <w:unhideWhenUsed/>
    <w:qFormat/>
    <w:uiPriority w:val="99"/>
    <w:pPr>
      <w:tabs>
        <w:tab w:val="center" w:pos="4153"/>
        <w:tab w:val="right" w:pos="8306"/>
      </w:tabs>
      <w:snapToGrid w:val="0"/>
      <w:spacing w:line="240" w:lineRule="atLeast"/>
      <w:jc w:val="left"/>
    </w:pPr>
    <w:rPr>
      <w:sz w:val="18"/>
      <w:szCs w:val="18"/>
    </w:rPr>
  </w:style>
  <w:style w:type="paragraph" w:styleId="14">
    <w:name w:val="header"/>
    <w:basedOn w:val="1"/>
    <w:link w:val="29"/>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styleId="17">
    <w:name w:val="Emphasis"/>
    <w:qFormat/>
    <w:uiPriority w:val="20"/>
    <w:rPr>
      <w:iCs/>
      <w:color w:val="FF0000"/>
    </w:rPr>
  </w:style>
  <w:style w:type="character" w:customStyle="1" w:styleId="18">
    <w:name w:val="标题 1 Char"/>
    <w:link w:val="2"/>
    <w:qFormat/>
    <w:uiPriority w:val="9"/>
    <w:rPr>
      <w:rFonts w:ascii="Times New Roman" w:hAnsi="Times New Roman" w:eastAsia="宋体" w:cstheme="majorBidi"/>
      <w:sz w:val="44"/>
      <w:szCs w:val="32"/>
    </w:rPr>
  </w:style>
  <w:style w:type="character" w:customStyle="1" w:styleId="19">
    <w:name w:val="标题 2 Char"/>
    <w:link w:val="3"/>
    <w:qFormat/>
    <w:uiPriority w:val="9"/>
    <w:rPr>
      <w:rFonts w:ascii="Times New Roman" w:hAnsi="Times New Roman" w:eastAsia="黑体" w:cs="Times New Roman"/>
      <w:sz w:val="32"/>
      <w:szCs w:val="28"/>
    </w:rPr>
  </w:style>
  <w:style w:type="character" w:customStyle="1" w:styleId="20">
    <w:name w:val="标题 3 Char"/>
    <w:link w:val="4"/>
    <w:qFormat/>
    <w:uiPriority w:val="9"/>
    <w:rPr>
      <w:rFonts w:ascii="楷体" w:hAnsi="Times New Roman" w:eastAsia="楷体" w:cs="Times New Roman"/>
      <w:sz w:val="32"/>
      <w:szCs w:val="24"/>
    </w:rPr>
  </w:style>
  <w:style w:type="character" w:customStyle="1" w:styleId="21">
    <w:name w:val="标题 4 Char"/>
    <w:link w:val="5"/>
    <w:qFormat/>
    <w:uiPriority w:val="9"/>
    <w:rPr>
      <w:rFonts w:ascii="仿宋" w:hAnsi="Times New Roman" w:eastAsia="仿宋" w:cs="Times New Roman"/>
      <w:b/>
      <w:iCs/>
      <w:sz w:val="32"/>
    </w:rPr>
  </w:style>
  <w:style w:type="character" w:customStyle="1" w:styleId="22">
    <w:name w:val="标题 6 Char"/>
    <w:link w:val="6"/>
    <w:semiHidden/>
    <w:qFormat/>
    <w:uiPriority w:val="9"/>
    <w:rPr>
      <w:rFonts w:ascii="Times New Roman" w:hAnsi="Times New Roman" w:eastAsia="宋体" w:cstheme="majorBidi"/>
      <w:color w:val="1F3864"/>
      <w:kern w:val="0"/>
    </w:rPr>
  </w:style>
  <w:style w:type="character" w:customStyle="1" w:styleId="23">
    <w:name w:val="标题 7 Char"/>
    <w:link w:val="7"/>
    <w:semiHidden/>
    <w:qFormat/>
    <w:uiPriority w:val="9"/>
    <w:rPr>
      <w:rFonts w:ascii="Times New Roman" w:hAnsi="Times New Roman" w:eastAsia="宋体" w:cstheme="majorBidi"/>
      <w:i/>
      <w:iCs/>
      <w:color w:val="1F3864"/>
      <w:kern w:val="0"/>
    </w:rPr>
  </w:style>
  <w:style w:type="character" w:customStyle="1" w:styleId="24">
    <w:name w:val="标题 8 Char"/>
    <w:link w:val="8"/>
    <w:semiHidden/>
    <w:qFormat/>
    <w:uiPriority w:val="9"/>
    <w:rPr>
      <w:rFonts w:ascii="Times New Roman" w:hAnsi="Times New Roman" w:eastAsia="宋体" w:cstheme="majorBidi"/>
      <w:color w:val="262626"/>
      <w:kern w:val="0"/>
      <w:szCs w:val="21"/>
    </w:rPr>
  </w:style>
  <w:style w:type="character" w:customStyle="1" w:styleId="25">
    <w:name w:val="标题 9 Char"/>
    <w:link w:val="9"/>
    <w:semiHidden/>
    <w:qFormat/>
    <w:uiPriority w:val="9"/>
    <w:rPr>
      <w:rFonts w:ascii="Times New Roman" w:hAnsi="Times New Roman" w:eastAsia="宋体" w:cstheme="majorBidi"/>
      <w:i/>
      <w:iCs/>
      <w:color w:val="262626"/>
      <w:kern w:val="0"/>
      <w:szCs w:val="21"/>
    </w:rPr>
  </w:style>
  <w:style w:type="paragraph" w:styleId="26">
    <w:name w:val="No Spacing"/>
    <w:basedOn w:val="1"/>
    <w:next w:val="1"/>
    <w:qFormat/>
    <w:uiPriority w:val="1"/>
    <w:pPr>
      <w:ind w:firstLine="0" w:firstLineChars="0"/>
    </w:pPr>
    <w:rPr>
      <w:kern w:val="0"/>
    </w:rPr>
  </w:style>
  <w:style w:type="paragraph" w:customStyle="1" w:styleId="27">
    <w:name w:val="TOC 标题1"/>
    <w:basedOn w:val="2"/>
    <w:next w:val="1"/>
    <w:semiHidden/>
    <w:unhideWhenUsed/>
    <w:qFormat/>
    <w:uiPriority w:val="39"/>
    <w:pPr>
      <w:outlineLvl w:val="9"/>
    </w:pPr>
  </w:style>
  <w:style w:type="paragraph" w:styleId="28">
    <w:name w:val="List Paragraph"/>
    <w:basedOn w:val="1"/>
    <w:qFormat/>
    <w:uiPriority w:val="34"/>
    <w:pPr>
      <w:widowControl w:val="0"/>
      <w:spacing w:line="240" w:lineRule="auto"/>
      <w:ind w:firstLine="420"/>
    </w:pPr>
    <w:rPr>
      <w:rFonts w:ascii="Times New Roman" w:hAnsi="Times New Roman" w:eastAsia="宋体" w:cs="Times New Roman"/>
      <w:sz w:val="21"/>
      <w:szCs w:val="20"/>
    </w:rPr>
  </w:style>
  <w:style w:type="character" w:customStyle="1" w:styleId="29">
    <w:name w:val="页眉 Char"/>
    <w:basedOn w:val="16"/>
    <w:link w:val="14"/>
    <w:qFormat/>
    <w:uiPriority w:val="99"/>
    <w:rPr>
      <w:rFonts w:ascii="仿宋" w:eastAsia="仿宋"/>
      <w:sz w:val="18"/>
      <w:szCs w:val="18"/>
    </w:rPr>
  </w:style>
  <w:style w:type="character" w:customStyle="1" w:styleId="30">
    <w:name w:val="页脚 Char"/>
    <w:basedOn w:val="16"/>
    <w:link w:val="13"/>
    <w:qFormat/>
    <w:uiPriority w:val="99"/>
    <w:rPr>
      <w:rFonts w:ascii="仿宋" w:eastAsia="仿宋"/>
      <w:sz w:val="18"/>
      <w:szCs w:val="18"/>
    </w:rPr>
  </w:style>
  <w:style w:type="paragraph" w:customStyle="1" w:styleId="31">
    <w:name w:val="正文文本1"/>
    <w:basedOn w:val="1"/>
    <w:qFormat/>
    <w:uiPriority w:val="0"/>
    <w:rPr>
      <w:rFonts w:ascii="仿宋_GB2312" w:hAnsi="仿宋_GB2312" w:eastAsia="仿宋_GB2312"/>
    </w:rPr>
  </w:style>
  <w:style w:type="paragraph" w:customStyle="1" w:styleId="32">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政府公文">
      <a:majorFont>
        <a:latin typeface="Times New Roman"/>
        <a:ea typeface="宋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大鹏新区文体旅游局</Company>
  <Pages>4</Pages>
  <Words>232</Words>
  <Characters>1324</Characters>
  <Lines>11</Lines>
  <Paragraphs>3</Paragraphs>
  <TotalTime>0</TotalTime>
  <ScaleCrop>false</ScaleCrop>
  <LinksUpToDate>false</LinksUpToDate>
  <CharactersWithSpaces>1553</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2018-06-24T14:52:00Z</dcterms:created>
  <dc:creator>吕 嘉</dc:creator>
  <cp:lastModifiedBy>张纯真</cp:lastModifiedBy>
  <cp:lastPrinted>2024-07-26T10:58:00Z</cp:lastPrinted>
  <dcterms:modified xsi:type="dcterms:W3CDTF">2025-01-20T16:59:02Z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11AB55C774F0C63D460D8E67F4322DD6</vt:lpwstr>
  </property>
</Properties>
</file>