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default" w:ascii="方正小标宋简体" w:hAnsi="方正小标宋简体" w:eastAsia="方正小标宋简体" w:cs="方正小标宋简体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</w:rPr>
      </w:pPr>
      <w:r>
        <w:rPr>
          <w:rFonts w:hint="eastAsia" w:ascii="方正小标宋简体" w:hAnsi="方正小标宋简体" w:eastAsia="方正小标宋简体" w:cs="方正小标宋简体"/>
        </w:rPr>
        <w:t>深圳市大鹏新区旅游住宿业项目</w:t>
      </w:r>
    </w:p>
    <w:p>
      <w:pPr>
        <w:pStyle w:val="2"/>
        <w:rPr>
          <w:rFonts w:hint="eastAsia" w:ascii="方正小标宋简体" w:hAnsi="方正小标宋简体" w:eastAsia="方正小标宋简体" w:cs="方正小标宋简体"/>
        </w:rPr>
      </w:pPr>
      <w:r>
        <w:rPr>
          <w:rFonts w:hint="default" w:ascii="方正小标宋简体" w:hAnsi="方正小标宋简体" w:eastAsia="方正小标宋简体" w:cs="方正小标宋简体"/>
        </w:rPr>
        <w:t>品牌酒店投资</w:t>
      </w:r>
      <w:r>
        <w:rPr>
          <w:rFonts w:hint="eastAsia" w:ascii="方正小标宋简体" w:hAnsi="方正小标宋简体" w:eastAsia="方正小标宋简体" w:cs="方正小标宋简体"/>
        </w:rPr>
        <w:t>申报指南</w:t>
      </w:r>
    </w:p>
    <w:p>
      <w:pPr>
        <w:ind w:firstLine="632"/>
      </w:pP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审批内容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新建国际、国内知名品牌酒店；对新区酒店或闲置物业进行改造升级并引入国际、国内知名高端酒店品牌的。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设定依据</w:t>
      </w:r>
    </w:p>
    <w:p>
      <w:pPr>
        <w:ind w:firstLine="632"/>
        <w:rPr>
          <w:rFonts w:ascii="仿宋_GB2312" w:hAns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t>（一）《深圳市大鹏新区扶持旅游住宿业高质量发展的若干措施》（深鹏</w:t>
      </w:r>
      <w:r>
        <w:rPr>
          <w:rFonts w:hint="default" w:ascii="仿宋_GB2312" w:hAnsi="仿宋_GB2312" w:eastAsia="仿宋_GB2312" w:cs="仿宋_GB2312"/>
        </w:rPr>
        <w:t>办</w:t>
      </w:r>
      <w:r>
        <w:rPr>
          <w:rFonts w:hint="eastAsia" w:ascii="仿宋_GB2312" w:hAnsi="仿宋_GB2312" w:eastAsia="仿宋_GB2312" w:cs="仿宋_GB2312"/>
        </w:rPr>
        <w:t>规〔202</w:t>
      </w:r>
      <w:r>
        <w:rPr>
          <w:rFonts w:hint="default" w:ascii="仿宋_GB2312" w:hAnsi="仿宋_GB2312" w:eastAsia="仿宋_GB2312" w:cs="仿宋_GB2312"/>
          <w:lang w:val="en-US"/>
        </w:rPr>
        <w:t>4</w:t>
      </w:r>
      <w:r>
        <w:rPr>
          <w:rFonts w:hint="eastAsia" w:ascii="仿宋_GB2312" w:hAnsi="仿宋_GB2312" w:eastAsia="仿宋_GB2312" w:cs="仿宋_GB2312"/>
        </w:rPr>
        <w:t>〕</w:t>
      </w:r>
      <w:r>
        <w:rPr>
          <w:rFonts w:hint="default" w:ascii="仿宋_GB2312" w:hAnsi="仿宋_GB2312" w:eastAsia="仿宋_GB2312" w:cs="仿宋_GB2312"/>
        </w:rPr>
        <w:t>4</w:t>
      </w:r>
      <w:r>
        <w:rPr>
          <w:rFonts w:hint="eastAsia" w:ascii="仿宋_GB2312" w:hAnsi="仿宋_GB2312" w:eastAsia="仿宋_GB2312" w:cs="仿宋_GB2312"/>
        </w:rPr>
        <w:t>号）第</w:t>
      </w:r>
      <w:r>
        <w:rPr>
          <w:rFonts w:hint="default" w:ascii="仿宋_GB2312" w:hAnsi="仿宋_GB2312" w:eastAsia="仿宋_GB2312" w:cs="仿宋_GB2312"/>
        </w:rPr>
        <w:t>三</w:t>
      </w:r>
      <w:r>
        <w:rPr>
          <w:rFonts w:hint="eastAsia" w:ascii="仿宋_GB2312" w:hAnsi="仿宋_GB2312" w:eastAsia="仿宋_GB2312" w:cs="仿宋_GB2312"/>
        </w:rPr>
        <w:t>条</w:t>
      </w:r>
      <w:r>
        <w:rPr>
          <w:rFonts w:hint="default" w:ascii="仿宋_GB2312" w:hAnsi="仿宋_GB2312" w:eastAsia="仿宋_GB2312" w:cs="仿宋_GB2312"/>
        </w:rPr>
        <w:t>“</w:t>
      </w:r>
      <w:r>
        <w:rPr>
          <w:rFonts w:hint="default" w:ascii="仿宋_GB2312" w:hAnsi="仿宋_GB2312" w:eastAsia="仿宋_GB2312" w:cs="仿宋_GB2312"/>
          <w:lang w:val="en-US"/>
        </w:rPr>
        <w:t xml:space="preserve"> </w:t>
      </w:r>
      <w:r>
        <w:rPr>
          <w:rFonts w:hint="eastAsia" w:ascii="仿宋_GB2312" w:hAnsi="仿宋_GB2312" w:eastAsia="仿宋_GB2312" w:cs="仿宋_GB2312"/>
        </w:rPr>
        <w:t>大力支持国际国内知名品牌酒店投资</w:t>
      </w:r>
      <w:r>
        <w:rPr>
          <w:rFonts w:hint="default" w:ascii="仿宋_GB2312" w:hAnsi="仿宋_GB2312" w:eastAsia="仿宋_GB2312" w:cs="仿宋_GB2312"/>
        </w:rPr>
        <w:t>”：</w:t>
      </w:r>
      <w:r>
        <w:rPr>
          <w:rFonts w:hint="eastAsia" w:ascii="仿宋_GB2312" w:hAnsi="仿宋_GB2312" w:eastAsia="仿宋_GB2312" w:cs="仿宋_GB2312"/>
        </w:rPr>
        <w:t>在新区新建国际、国内知名高端品牌酒店，按固定投资额的10%给予扶持，最高不超过3000万元。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对新区酒店或闲置物业进行整体改</w:t>
      </w:r>
      <w:r>
        <w:rPr>
          <w:rFonts w:ascii="仿宋_GB2312" w:hAnsi="仿宋_GB2312" w:eastAsia="仿宋_GB2312"/>
          <w:color w:val="000000"/>
          <w:sz w:val="32"/>
          <w:szCs w:val="32"/>
        </w:rPr>
        <w:t>造升级并引入国际、国内知名高端酒店品牌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的</w:t>
      </w:r>
      <w:r>
        <w:rPr>
          <w:rFonts w:ascii="仿宋_GB2312" w:hAns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正常运营后且</w:t>
      </w:r>
      <w:r>
        <w:rPr>
          <w:rFonts w:ascii="仿宋_GB2312" w:hAnsi="仿宋_GB2312" w:eastAsia="仿宋_GB2312"/>
          <w:color w:val="000000"/>
          <w:sz w:val="32"/>
          <w:szCs w:val="32"/>
        </w:rPr>
        <w:t>年营业额首次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达到1.5亿元、1亿元、5000万元的企业，</w:t>
      </w:r>
      <w:r>
        <w:rPr>
          <w:rFonts w:ascii="仿宋_GB2312" w:hAnsi="仿宋_GB2312" w:eastAsia="仿宋_GB2312"/>
          <w:color w:val="000000"/>
          <w:sz w:val="32"/>
          <w:szCs w:val="32"/>
        </w:rPr>
        <w:t>分别给予酒店业主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一次性</w:t>
      </w:r>
      <w:r>
        <w:rPr>
          <w:rFonts w:ascii="仿宋_GB2312" w:hAnsi="仿宋_GB2312" w:eastAsia="仿宋_GB2312"/>
          <w:color w:val="000000"/>
          <w:sz w:val="32"/>
          <w:szCs w:val="32"/>
        </w:rPr>
        <w:t>200万元、100万元</w:t>
      </w:r>
      <w:r>
        <w:rPr>
          <w:rFonts w:hint="eastAsia" w:ascii="仿宋_GB2312" w:hAnsi="仿宋_GB2312" w:eastAsia="仿宋_GB2312"/>
          <w:color w:val="000000"/>
          <w:sz w:val="32"/>
          <w:szCs w:val="32"/>
        </w:rPr>
        <w:t>、50万元的奖励</w:t>
      </w:r>
      <w:r>
        <w:rPr>
          <w:rFonts w:ascii="仿宋_GB2312" w:hAnsi="仿宋_GB2312" w:eastAsia="仿宋_GB2312"/>
          <w:color w:val="000000"/>
          <w:sz w:val="32"/>
          <w:szCs w:val="32"/>
        </w:rPr>
        <w:t>。已享受过上述奖励的，再次升级只给予差额奖励。</w:t>
      </w:r>
    </w:p>
    <w:p>
      <w:pPr>
        <w:pStyle w:val="31"/>
        <w:spacing w:line="560" w:lineRule="exact"/>
        <w:ind w:firstLine="632" w:firstLineChars="200"/>
        <w:rPr>
          <w:rFonts w:hint="eastAsia"/>
          <w:sz w:val="32"/>
          <w:szCs w:val="32"/>
        </w:rPr>
      </w:pPr>
      <w:r>
        <w:rPr>
          <w:rFonts w:hint="eastAsia"/>
        </w:rPr>
        <w:t>（</w:t>
      </w:r>
      <w:r>
        <w:rPr>
          <w:rFonts w:hint="default"/>
        </w:rPr>
        <w:t>二</w:t>
      </w:r>
      <w:r>
        <w:rPr>
          <w:rFonts w:hint="eastAsia"/>
        </w:rPr>
        <w:t>）</w:t>
      </w:r>
      <w:r>
        <w:rPr>
          <w:rFonts w:hint="eastAsia"/>
          <w:sz w:val="32"/>
          <w:szCs w:val="32"/>
        </w:rPr>
        <w:t>《</w:t>
      </w:r>
      <w:r>
        <w:rPr>
          <w:rFonts w:hint="default"/>
          <w:sz w:val="32"/>
          <w:szCs w:val="32"/>
        </w:rPr>
        <w:t>深圳市</w:t>
      </w:r>
      <w:r>
        <w:rPr>
          <w:rFonts w:hint="eastAsia"/>
          <w:sz w:val="32"/>
          <w:szCs w:val="32"/>
        </w:rPr>
        <w:t>大鹏新区科技创新和产业发展专项资金管理办法》（深鹏</w:t>
      </w:r>
      <w:r>
        <w:rPr>
          <w:rFonts w:hint="default"/>
          <w:sz w:val="32"/>
          <w:szCs w:val="32"/>
        </w:rPr>
        <w:t>办</w:t>
      </w:r>
      <w:r>
        <w:rPr>
          <w:rFonts w:hint="eastAsia"/>
          <w:sz w:val="32"/>
          <w:szCs w:val="32"/>
        </w:rPr>
        <w:t>规〔20</w:t>
      </w:r>
      <w:r>
        <w:rPr>
          <w:rFonts w:hint="default"/>
          <w:sz w:val="32"/>
          <w:szCs w:val="32"/>
        </w:rPr>
        <w:t>23</w:t>
      </w:r>
      <w:r>
        <w:rPr>
          <w:rFonts w:hint="eastAsia"/>
          <w:sz w:val="32"/>
          <w:szCs w:val="32"/>
        </w:rPr>
        <w:t>〕</w:t>
      </w:r>
      <w:r>
        <w:rPr>
          <w:rFonts w:hint="default"/>
          <w:sz w:val="32"/>
          <w:szCs w:val="32"/>
        </w:rPr>
        <w:t>9</w:t>
      </w:r>
      <w:r>
        <w:rPr>
          <w:rFonts w:hint="eastAsia"/>
          <w:sz w:val="32"/>
          <w:szCs w:val="32"/>
        </w:rPr>
        <w:t>号）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审批数量和方式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审批数量：有数量限制，受新区科技创新和产业发展专项资金年度总额控制。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审批方式：自愿申报、部门审查、社会公示、政府审核。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申报条件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（一）申报主体未违反国家、省、市联合惩戒政策和制度规定，未被列为失信联合惩戒对象。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</w:rPr>
        <w:t>申报主体需</w:t>
      </w:r>
      <w:r>
        <w:rPr>
          <w:rFonts w:ascii="仿宋_GB2312" w:hAnsi="仿宋_GB2312" w:eastAsia="仿宋_GB2312" w:cs="仿宋_GB2312"/>
          <w:sz w:val="32"/>
          <w:szCs w:val="32"/>
        </w:rPr>
        <w:t>依法申请商事登记取得营业执照和旅馆业特种行业许可证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三）申报项目实施时间为本措施发布后。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）从事行业类别符合《深圳市大鹏新区科技创新和产业发展专项资金管理办法》规定的新区产业导向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及支持条件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）申报项目已完成。项目开展</w:t>
      </w:r>
      <w:r>
        <w:rPr>
          <w:rFonts w:hint="default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default" w:ascii="仿宋_GB2312" w:hAnsi="仿宋_GB2312" w:eastAsia="仿宋_GB2312" w:cs="仿宋_GB2312"/>
          <w:sz w:val="32"/>
          <w:szCs w:val="32"/>
        </w:rPr>
        <w:t>时间为2024年8月3日以后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五、申报单位应提供下列</w:t>
      </w:r>
      <w:r>
        <w:rPr>
          <w:rFonts w:hint="eastAsia"/>
        </w:rPr>
        <w:t>材料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本次项目申报采用线下验证纸质材料的形式进行。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1.《大鹏新区旅游住宿业发展专项资金支持申请书》原件（盖章并签名）。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2.申请单位承诺书。对申请表内容真实性、准确性、完整性、守法经营及履行安全生产责任、未重复申报等进行承诺，如虚假申报应当承担相应责任。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3.营业执照、法人代表身份证、税务登记证书（复印件并签字）。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4.申报单位及申报项目简介。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.申请实际投入补助的，需提供用于本项目上的财务开支明细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.近两年获得政府财政资金资助、奖励的详细情况说明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.会计师事务所出具的申请单位上年度财务审计报告复印件</w:t>
      </w:r>
      <w:r>
        <w:rPr>
          <w:rFonts w:hint="default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.申请单位提供的企业信用报告。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以上复印件材料均需验原件，</w:t>
      </w:r>
      <w:r>
        <w:rPr>
          <w:rFonts w:hint="eastAsia" w:ascii="仿宋_GB2312" w:hAnsi="仿宋_GB2312" w:eastAsia="仿宋_GB2312" w:cs="仿宋_GB2312"/>
        </w:rPr>
        <w:t>按A4纸型制作，申报表和附件统一装订，按顺序编制目录、页码，正反打印胶装订成册，整册盖骑缝章，纸质申报材料一式两份；电子文档1份刻录光盘或U盘与纸质文件内容保持一致。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</w:pPr>
      <w:r>
        <w:rPr>
          <w:rFonts w:hint="default" w:ascii="Times New Roman" w:hAnsi="Times New Roman" w:eastAsia="黑体" w:cs="Times New Roman"/>
          <w:kern w:val="2"/>
          <w:sz w:val="32"/>
          <w:szCs w:val="28"/>
          <w:lang w:eastAsia="zh-CN" w:bidi="ar-SA"/>
        </w:rPr>
        <w:t>六</w:t>
      </w:r>
      <w:r>
        <w:rPr>
          <w:rFonts w:hint="default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kern w:val="2"/>
          <w:sz w:val="32"/>
          <w:szCs w:val="28"/>
          <w:lang w:val="en-US" w:eastAsia="zh-CN" w:bidi="ar-SA"/>
        </w:rPr>
        <w:t>受理机关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受理机关：深圳市大鹏新区旅游发展和文化体育局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受理地点：深圳市大鹏新区葵涌奔康工业区A</w:t>
      </w:r>
      <w:r>
        <w:rPr>
          <w:rFonts w:hint="default" w:ascii="仿宋_GB2312" w:hAnsi="仿宋_GB2312" w:eastAsia="仿宋_GB2312" w:cs="仿宋_GB2312"/>
        </w:rPr>
        <w:t>8</w:t>
      </w:r>
      <w:r>
        <w:rPr>
          <w:rFonts w:hint="eastAsia" w:ascii="仿宋_GB2312" w:hAnsi="仿宋_GB2312" w:eastAsia="仿宋_GB2312" w:cs="仿宋_GB2312"/>
        </w:rPr>
        <w:t>栋</w:t>
      </w:r>
      <w:r>
        <w:rPr>
          <w:rFonts w:hint="default" w:ascii="仿宋_GB2312" w:hAnsi="仿宋_GB2312" w:eastAsia="仿宋_GB2312" w:cs="仿宋_GB2312"/>
        </w:rPr>
        <w:t>317</w:t>
      </w:r>
      <w:r>
        <w:rPr>
          <w:rFonts w:hint="eastAsia" w:ascii="仿宋_GB2312" w:hAnsi="仿宋_GB2312" w:eastAsia="仿宋_GB2312" w:cs="仿宋_GB2312"/>
        </w:rPr>
        <w:t>室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咨询电话：0755-28336229 </w:t>
      </w:r>
      <w:r>
        <w:rPr>
          <w:rFonts w:hint="default" w:ascii="仿宋_GB2312" w:hAnsi="仿宋_GB2312" w:eastAsia="仿宋_GB2312" w:cs="仿宋_GB2312"/>
        </w:rPr>
        <w:t>袁</w:t>
      </w:r>
      <w:r>
        <w:rPr>
          <w:rFonts w:hint="eastAsia" w:ascii="仿宋_GB2312" w:hAnsi="仿宋_GB2312" w:eastAsia="仿宋_GB2312" w:cs="仿宋_GB2312"/>
        </w:rPr>
        <w:t xml:space="preserve">工   </w:t>
      </w:r>
    </w:p>
    <w:p>
      <w:pPr>
        <w:ind w:firstLine="2212" w:firstLineChars="7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0755-28333465 </w:t>
      </w:r>
      <w:r>
        <w:rPr>
          <w:rFonts w:hint="default" w:ascii="仿宋_GB2312" w:hAnsi="仿宋_GB2312" w:eastAsia="仿宋_GB2312" w:cs="仿宋_GB2312"/>
        </w:rPr>
        <w:t>谢</w:t>
      </w:r>
      <w:r>
        <w:rPr>
          <w:rFonts w:hint="eastAsia" w:ascii="仿宋_GB2312" w:hAnsi="仿宋_GB2312" w:eastAsia="仿宋_GB2312" w:cs="仿宋_GB2312"/>
        </w:rPr>
        <w:t>工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七、</w:t>
      </w:r>
      <w:r>
        <w:rPr>
          <w:rFonts w:hint="eastAsia"/>
        </w:rPr>
        <w:t>决定机构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大鹏新区科技创新和产业发展专项资金部门联席会议</w:t>
      </w:r>
    </w:p>
    <w:p>
      <w:pPr>
        <w:pStyle w:val="3"/>
        <w:numPr>
          <w:ilvl w:val="0"/>
          <w:numId w:val="0"/>
        </w:numPr>
        <w:ind w:left="632" w:leftChars="0"/>
      </w:pPr>
      <w:r>
        <w:rPr>
          <w:rFonts w:hint="default"/>
        </w:rPr>
        <w:t>八、</w:t>
      </w:r>
      <w:r>
        <w:rPr>
          <w:rFonts w:hint="eastAsia"/>
        </w:rPr>
        <w:t>受理时间</w:t>
      </w:r>
    </w:p>
    <w:p>
      <w:pPr>
        <w:ind w:firstLine="632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即日起至 </w:t>
      </w:r>
      <w:r>
        <w:rPr>
          <w:rFonts w:hint="default" w:ascii="仿宋_GB2312" w:hAnsi="仿宋_GB2312" w:eastAsia="仿宋_GB2312" w:cs="仿宋_GB2312"/>
        </w:rPr>
        <w:t>2025年2月25日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/>
        <w:textAlignment w:val="auto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default" w:ascii="黑体" w:hAnsi="黑体" w:eastAsia="黑体"/>
          <w:sz w:val="32"/>
          <w:szCs w:val="32"/>
          <w:highlight w:val="none"/>
        </w:rPr>
        <w:t>九、</w:t>
      </w:r>
      <w:r>
        <w:rPr>
          <w:rFonts w:hint="eastAsia" w:ascii="黑体" w:hAnsi="黑体" w:eastAsia="黑体"/>
          <w:sz w:val="32"/>
          <w:szCs w:val="32"/>
          <w:highlight w:val="none"/>
        </w:rPr>
        <w:t>申报审批程序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Ansi="仿宋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申请人向资金主管部门（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大鹏新区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旅游发展和文化体育局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）提交纸质申请材料——申请材料初审——资金主管部门审核——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大鹏新区科技创新和产业发展专项资金联席会议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审议——拟扶持社会公示——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大鹏新区管理委员会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批复——下达扶持计划——签订合同——下达扶持资金。</w:t>
      </w:r>
    </w:p>
    <w:p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ind w:left="632" w:leftChars="0"/>
        <w:textAlignment w:val="auto"/>
      </w:pPr>
      <w:bookmarkStart w:id="0" w:name="_Toc508645043"/>
      <w:r>
        <w:rPr>
          <w:rFonts w:hint="default"/>
        </w:rPr>
        <w:t>十、</w:t>
      </w:r>
      <w:r>
        <w:rPr>
          <w:rFonts w:hint="eastAsia"/>
        </w:rPr>
        <w:t>管理监督</w:t>
      </w:r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（一）同一项目，适用于多项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措施时，按照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额度较高的标准执行，不予重复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firstLine="632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（二）违反前款规定的，责令退回已获得的补助款。</w:t>
      </w:r>
    </w:p>
    <w:p>
      <w:pPr>
        <w:pStyle w:val="3"/>
        <w:numPr>
          <w:ilvl w:val="0"/>
          <w:numId w:val="0"/>
        </w:numPr>
        <w:ind w:left="632" w:leftChars="0"/>
        <w:rPr>
          <w:rFonts w:hint="default"/>
        </w:rPr>
      </w:pPr>
      <w:r>
        <w:rPr>
          <w:rFonts w:hint="default"/>
        </w:rPr>
        <w:t>十一、限制性措施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</w:rPr>
        <w:t>申报单位或个人有以下情形之一的，不予以扶持：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（一）有可能影响重大经营活动的诉讼或仲裁的。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（二）主要财产因债务纠纷已被人民法院采取保全措施的。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（三）被相关部门责令停止经营或暂扣经营许可证的。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（四）申报前两年内，在税收、环保、消防安全、安全生产、食品安全、劳动等方面受到有关部门行政处罚且单项处罚金额达到20万元以上，或相关职能部门不建议支持的其他情形。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</w:t>
      </w:r>
      <w:r>
        <w:rPr>
          <w:rFonts w:hint="default" w:ascii="仿宋_GB2312" w:hAnsi="仿宋_GB2312" w:eastAsia="仿宋_GB2312" w:cs="仿宋_GB2312"/>
          <w:sz w:val="32"/>
          <w:szCs w:val="32"/>
        </w:rPr>
        <w:t>在申报专项资金过程中弄虚作假，或拒绝配合专项资金绩效评价和监督检查的。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</w:rPr>
        <w:t>（六）同一主体就同一事项多头重复申报并获得支持的。</w:t>
      </w:r>
    </w:p>
    <w:p>
      <w:bookmarkStart w:id="1" w:name="_GoBack"/>
      <w:bookmarkEnd w:id="1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40"/>
      <w:pgMar w:top="2098" w:right="1474" w:bottom="1985" w:left="1588" w:header="851" w:footer="1418" w:gutter="0"/>
      <w:cols w:space="425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2"/>
      </w:pPr>
      <w:r>
        <w:separator/>
      </w:r>
    </w:p>
  </w:endnote>
  <w:endnote w:type="continuationSeparator" w:id="1">
    <w:p>
      <w:pPr>
        <w:spacing w:line="240" w:lineRule="auto"/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2"/>
      </w:pPr>
      <w:r>
        <w:separator/>
      </w:r>
    </w:p>
  </w:footnote>
  <w:footnote w:type="continuationSeparator" w:id="1">
    <w:p>
      <w:pPr>
        <w:spacing w:line="240" w:lineRule="auto"/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6439F2"/>
    <w:multiLevelType w:val="multilevel"/>
    <w:tmpl w:val="076439F2"/>
    <w:lvl w:ilvl="0" w:tentative="0">
      <w:start w:val="1"/>
      <w:numFmt w:val="chineseCountingThousand"/>
      <w:suff w:val="space"/>
      <w:lvlText w:val="%1、"/>
      <w:lvlJc w:val="left"/>
      <w:pPr>
        <w:ind w:left="0" w:firstLine="6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72" w:hanging="420"/>
      </w:pPr>
    </w:lvl>
    <w:lvl w:ilvl="2" w:tentative="0">
      <w:start w:val="1"/>
      <w:numFmt w:val="lowerRoman"/>
      <w:lvlText w:val="%3."/>
      <w:lvlJc w:val="right"/>
      <w:pPr>
        <w:ind w:left="1892" w:hanging="420"/>
      </w:pPr>
    </w:lvl>
    <w:lvl w:ilvl="3" w:tentative="0">
      <w:start w:val="1"/>
      <w:numFmt w:val="decimal"/>
      <w:lvlText w:val="%4."/>
      <w:lvlJc w:val="left"/>
      <w:pPr>
        <w:ind w:left="2312" w:hanging="420"/>
      </w:pPr>
    </w:lvl>
    <w:lvl w:ilvl="4" w:tentative="0">
      <w:start w:val="1"/>
      <w:numFmt w:val="lowerLetter"/>
      <w:lvlText w:val="%5)"/>
      <w:lvlJc w:val="left"/>
      <w:pPr>
        <w:ind w:left="2732" w:hanging="420"/>
      </w:pPr>
    </w:lvl>
    <w:lvl w:ilvl="5" w:tentative="0">
      <w:start w:val="1"/>
      <w:numFmt w:val="lowerRoman"/>
      <w:lvlText w:val="%6."/>
      <w:lvlJc w:val="right"/>
      <w:pPr>
        <w:ind w:left="3152" w:hanging="420"/>
      </w:pPr>
    </w:lvl>
    <w:lvl w:ilvl="6" w:tentative="0">
      <w:start w:val="1"/>
      <w:numFmt w:val="decimal"/>
      <w:lvlText w:val="%7."/>
      <w:lvlJc w:val="left"/>
      <w:pPr>
        <w:ind w:left="3572" w:hanging="420"/>
      </w:pPr>
    </w:lvl>
    <w:lvl w:ilvl="7" w:tentative="0">
      <w:start w:val="1"/>
      <w:numFmt w:val="lowerLetter"/>
      <w:lvlText w:val="%8)"/>
      <w:lvlJc w:val="left"/>
      <w:pPr>
        <w:ind w:left="3992" w:hanging="420"/>
      </w:pPr>
    </w:lvl>
    <w:lvl w:ilvl="8" w:tentative="0">
      <w:start w:val="1"/>
      <w:numFmt w:val="lowerRoman"/>
      <w:lvlText w:val="%9."/>
      <w:lvlJc w:val="right"/>
      <w:pPr>
        <w:ind w:left="44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70"/>
    <w:rsid w:val="000929FA"/>
    <w:rsid w:val="00093970"/>
    <w:rsid w:val="000D75FE"/>
    <w:rsid w:val="0016310E"/>
    <w:rsid w:val="00163BD1"/>
    <w:rsid w:val="00232FFC"/>
    <w:rsid w:val="00240B24"/>
    <w:rsid w:val="00266C69"/>
    <w:rsid w:val="002A2B56"/>
    <w:rsid w:val="002A6E93"/>
    <w:rsid w:val="002C76B3"/>
    <w:rsid w:val="00333A66"/>
    <w:rsid w:val="00372432"/>
    <w:rsid w:val="003C6470"/>
    <w:rsid w:val="00430841"/>
    <w:rsid w:val="0045324A"/>
    <w:rsid w:val="00457833"/>
    <w:rsid w:val="00561FCF"/>
    <w:rsid w:val="005D5A03"/>
    <w:rsid w:val="00616C2C"/>
    <w:rsid w:val="0061737C"/>
    <w:rsid w:val="006B6935"/>
    <w:rsid w:val="0078604D"/>
    <w:rsid w:val="007E0A50"/>
    <w:rsid w:val="00820241"/>
    <w:rsid w:val="00866DC8"/>
    <w:rsid w:val="00911DE5"/>
    <w:rsid w:val="009451BE"/>
    <w:rsid w:val="0097018C"/>
    <w:rsid w:val="00995ACA"/>
    <w:rsid w:val="009A19F3"/>
    <w:rsid w:val="00B02659"/>
    <w:rsid w:val="00B226D5"/>
    <w:rsid w:val="00C03CFF"/>
    <w:rsid w:val="00C52B94"/>
    <w:rsid w:val="00C63A14"/>
    <w:rsid w:val="00CE2D4E"/>
    <w:rsid w:val="00D9427D"/>
    <w:rsid w:val="00DB62BD"/>
    <w:rsid w:val="00E51537"/>
    <w:rsid w:val="00EA6565"/>
    <w:rsid w:val="00F813CB"/>
    <w:rsid w:val="00FC6C35"/>
    <w:rsid w:val="0F317626"/>
    <w:rsid w:val="0FE5225A"/>
    <w:rsid w:val="1FF70341"/>
    <w:rsid w:val="27E1E0E5"/>
    <w:rsid w:val="2F772B54"/>
    <w:rsid w:val="339F348D"/>
    <w:rsid w:val="358F58C8"/>
    <w:rsid w:val="379A1DE7"/>
    <w:rsid w:val="37DC40E0"/>
    <w:rsid w:val="38E4D709"/>
    <w:rsid w:val="3ABDE9FD"/>
    <w:rsid w:val="3AFEF1DC"/>
    <w:rsid w:val="3DB83A06"/>
    <w:rsid w:val="447EF723"/>
    <w:rsid w:val="4EFF060B"/>
    <w:rsid w:val="57DE7EBD"/>
    <w:rsid w:val="5BFD24E0"/>
    <w:rsid w:val="5FFC0F29"/>
    <w:rsid w:val="63EB54DD"/>
    <w:rsid w:val="67ED39AA"/>
    <w:rsid w:val="6B987F74"/>
    <w:rsid w:val="6BFFD1E1"/>
    <w:rsid w:val="6E1DEF86"/>
    <w:rsid w:val="6F6EA6C0"/>
    <w:rsid w:val="73902DDE"/>
    <w:rsid w:val="73F55E6F"/>
    <w:rsid w:val="74E79F52"/>
    <w:rsid w:val="77DDD8D0"/>
    <w:rsid w:val="79FE5902"/>
    <w:rsid w:val="7AE4AFCF"/>
    <w:rsid w:val="7B1E7511"/>
    <w:rsid w:val="7B7B83F9"/>
    <w:rsid w:val="7BF063DE"/>
    <w:rsid w:val="7DF7209E"/>
    <w:rsid w:val="7E34EFD5"/>
    <w:rsid w:val="7E7E02E5"/>
    <w:rsid w:val="7EFBDF38"/>
    <w:rsid w:val="7F388D97"/>
    <w:rsid w:val="7F712355"/>
    <w:rsid w:val="7FBF214F"/>
    <w:rsid w:val="7FBF240C"/>
    <w:rsid w:val="8BFBB81E"/>
    <w:rsid w:val="9DBF25C5"/>
    <w:rsid w:val="BB779713"/>
    <w:rsid w:val="BE9F3331"/>
    <w:rsid w:val="BEFF2627"/>
    <w:rsid w:val="BF7B20B8"/>
    <w:rsid w:val="BFEB00BD"/>
    <w:rsid w:val="CCDFCB6B"/>
    <w:rsid w:val="D76BFAF2"/>
    <w:rsid w:val="D77D32DD"/>
    <w:rsid w:val="D9CD0562"/>
    <w:rsid w:val="DEAB7B82"/>
    <w:rsid w:val="DF3B5995"/>
    <w:rsid w:val="DF5644BB"/>
    <w:rsid w:val="DF7B55CB"/>
    <w:rsid w:val="E5975443"/>
    <w:rsid w:val="E5E1A9B2"/>
    <w:rsid w:val="ECFA52B9"/>
    <w:rsid w:val="EF771721"/>
    <w:rsid w:val="EF8F23ED"/>
    <w:rsid w:val="F377A17D"/>
    <w:rsid w:val="F3FF9E7C"/>
    <w:rsid w:val="F59D36CF"/>
    <w:rsid w:val="F5FCD902"/>
    <w:rsid w:val="F65DC41D"/>
    <w:rsid w:val="F779A883"/>
    <w:rsid w:val="F7F31917"/>
    <w:rsid w:val="F8FB07B2"/>
    <w:rsid w:val="F97FB016"/>
    <w:rsid w:val="F9DD586A"/>
    <w:rsid w:val="FCBFF9AD"/>
    <w:rsid w:val="FDFF163B"/>
    <w:rsid w:val="FEDFA317"/>
    <w:rsid w:val="FEEE6202"/>
    <w:rsid w:val="FF5D56F0"/>
    <w:rsid w:val="FFAF3708"/>
    <w:rsid w:val="FFBEE68D"/>
    <w:rsid w:val="FFDE8C14"/>
    <w:rsid w:val="FFDF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ind w:firstLine="200" w:firstLineChars="200"/>
      <w:jc w:val="both"/>
    </w:pPr>
    <w:rPr>
      <w:rFonts w:ascii="仿宋" w:eastAsia="仿宋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ind w:firstLine="0" w:firstLineChars="0"/>
      <w:jc w:val="center"/>
      <w:outlineLvl w:val="0"/>
    </w:pPr>
    <w:rPr>
      <w:rFonts w:ascii="Times New Roman" w:hAnsi="Times New Roman" w:eastAsia="宋体" w:cstheme="majorBidi"/>
      <w:sz w:val="44"/>
      <w:szCs w:val="32"/>
    </w:rPr>
  </w:style>
  <w:style w:type="paragraph" w:styleId="3">
    <w:name w:val="heading 2"/>
    <w:basedOn w:val="1"/>
    <w:next w:val="1"/>
    <w:link w:val="19"/>
    <w:qFormat/>
    <w:uiPriority w:val="9"/>
    <w:pPr>
      <w:ind w:firstLine="0" w:firstLineChars="0"/>
      <w:outlineLvl w:val="1"/>
    </w:pPr>
    <w:rPr>
      <w:rFonts w:ascii="Times New Roman" w:hAnsi="Times New Roman" w:eastAsia="黑体" w:cs="Times New Roman"/>
      <w:szCs w:val="28"/>
    </w:rPr>
  </w:style>
  <w:style w:type="paragraph" w:styleId="4">
    <w:name w:val="heading 3"/>
    <w:basedOn w:val="1"/>
    <w:next w:val="1"/>
    <w:link w:val="20"/>
    <w:qFormat/>
    <w:uiPriority w:val="9"/>
    <w:pPr>
      <w:keepNext/>
      <w:keepLines/>
      <w:outlineLvl w:val="2"/>
    </w:pPr>
    <w:rPr>
      <w:rFonts w:ascii="楷体" w:hAnsi="Times New Roman" w:eastAsia="楷体" w:cs="Times New Roman"/>
      <w:szCs w:val="24"/>
    </w:rPr>
  </w:style>
  <w:style w:type="paragraph" w:styleId="5">
    <w:name w:val="heading 4"/>
    <w:basedOn w:val="1"/>
    <w:next w:val="1"/>
    <w:link w:val="21"/>
    <w:qFormat/>
    <w:uiPriority w:val="9"/>
    <w:pPr>
      <w:keepNext/>
      <w:keepLines/>
      <w:outlineLvl w:val="3"/>
    </w:pPr>
    <w:rPr>
      <w:rFonts w:hAnsi="Times New Roman" w:cs="Times New Roman"/>
      <w:b/>
      <w:iCs/>
    </w:rPr>
  </w:style>
  <w:style w:type="paragraph" w:styleId="6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="Times New Roman" w:hAnsi="Times New Roman" w:eastAsia="宋体" w:cstheme="majorBidi"/>
      <w:color w:val="1F3864"/>
      <w:kern w:val="0"/>
      <w:sz w:val="22"/>
    </w:rPr>
  </w:style>
  <w:style w:type="paragraph" w:styleId="7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="Times New Roman" w:hAnsi="Times New Roman" w:eastAsia="宋体" w:cstheme="majorBidi"/>
      <w:i/>
      <w:iCs/>
      <w:color w:val="1F3864"/>
      <w:kern w:val="0"/>
      <w:sz w:val="22"/>
    </w:rPr>
  </w:style>
  <w:style w:type="paragraph" w:styleId="8">
    <w:name w:val="heading 8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7"/>
    </w:pPr>
    <w:rPr>
      <w:rFonts w:ascii="Times New Roman" w:hAnsi="Times New Roman" w:eastAsia="宋体" w:cstheme="majorBidi"/>
      <w:color w:val="262626"/>
      <w:kern w:val="0"/>
      <w:sz w:val="22"/>
      <w:szCs w:val="21"/>
    </w:rPr>
  </w:style>
  <w:style w:type="paragraph" w:styleId="9">
    <w:name w:val="heading 9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8"/>
    </w:pPr>
    <w:rPr>
      <w:rFonts w:ascii="Times New Roman" w:hAnsi="Times New Roman" w:eastAsia="宋体" w:cstheme="majorBidi"/>
      <w:i/>
      <w:iCs/>
      <w:color w:val="262626"/>
      <w:kern w:val="0"/>
      <w:sz w:val="22"/>
      <w:szCs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1">
    <w:name w:val="Body Text"/>
    <w:basedOn w:val="1"/>
    <w:next w:val="12"/>
    <w:qFormat/>
    <w:uiPriority w:val="1"/>
    <w:rPr>
      <w:rFonts w:ascii="仿宋_GB2312" w:hAnsi="仿宋_GB2312" w:eastAsia="仿宋_GB2312"/>
    </w:rPr>
  </w:style>
  <w:style w:type="paragraph" w:styleId="12">
    <w:name w:val="Body Text First Indent"/>
    <w:basedOn w:val="11"/>
    <w:next w:val="1"/>
    <w:qFormat/>
    <w:uiPriority w:val="0"/>
    <w:pPr>
      <w:ind w:firstLine="420" w:firstLineChars="100"/>
    </w:pPr>
  </w:style>
  <w:style w:type="paragraph" w:styleId="13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4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7">
    <w:name w:val="Emphasis"/>
    <w:qFormat/>
    <w:uiPriority w:val="20"/>
    <w:rPr>
      <w:iCs/>
      <w:color w:val="FF0000"/>
    </w:rPr>
  </w:style>
  <w:style w:type="character" w:customStyle="1" w:styleId="18">
    <w:name w:val="标题 1 Char"/>
    <w:link w:val="2"/>
    <w:qFormat/>
    <w:uiPriority w:val="9"/>
    <w:rPr>
      <w:rFonts w:ascii="Times New Roman" w:hAnsi="Times New Roman" w:eastAsia="宋体" w:cstheme="majorBidi"/>
      <w:sz w:val="44"/>
      <w:szCs w:val="32"/>
    </w:rPr>
  </w:style>
  <w:style w:type="character" w:customStyle="1" w:styleId="19">
    <w:name w:val="标题 2 Char"/>
    <w:link w:val="3"/>
    <w:qFormat/>
    <w:uiPriority w:val="9"/>
    <w:rPr>
      <w:rFonts w:ascii="Times New Roman" w:hAnsi="Times New Roman" w:eastAsia="黑体" w:cs="Times New Roman"/>
      <w:sz w:val="32"/>
      <w:szCs w:val="28"/>
    </w:rPr>
  </w:style>
  <w:style w:type="character" w:customStyle="1" w:styleId="20">
    <w:name w:val="标题 3 Char"/>
    <w:link w:val="4"/>
    <w:qFormat/>
    <w:uiPriority w:val="9"/>
    <w:rPr>
      <w:rFonts w:ascii="楷体" w:hAnsi="Times New Roman" w:eastAsia="楷体" w:cs="Times New Roman"/>
      <w:sz w:val="32"/>
      <w:szCs w:val="24"/>
    </w:rPr>
  </w:style>
  <w:style w:type="character" w:customStyle="1" w:styleId="21">
    <w:name w:val="标题 4 Char"/>
    <w:link w:val="5"/>
    <w:qFormat/>
    <w:uiPriority w:val="9"/>
    <w:rPr>
      <w:rFonts w:ascii="仿宋" w:hAnsi="Times New Roman" w:eastAsia="仿宋" w:cs="Times New Roman"/>
      <w:b/>
      <w:iCs/>
      <w:sz w:val="32"/>
    </w:rPr>
  </w:style>
  <w:style w:type="character" w:customStyle="1" w:styleId="22">
    <w:name w:val="标题 6 Char"/>
    <w:link w:val="6"/>
    <w:semiHidden/>
    <w:qFormat/>
    <w:uiPriority w:val="9"/>
    <w:rPr>
      <w:rFonts w:ascii="Times New Roman" w:hAnsi="Times New Roman" w:eastAsia="宋体" w:cstheme="majorBidi"/>
      <w:color w:val="1F3864"/>
      <w:kern w:val="0"/>
    </w:rPr>
  </w:style>
  <w:style w:type="character" w:customStyle="1" w:styleId="23">
    <w:name w:val="标题 7 Char"/>
    <w:link w:val="7"/>
    <w:semiHidden/>
    <w:qFormat/>
    <w:uiPriority w:val="9"/>
    <w:rPr>
      <w:rFonts w:ascii="Times New Roman" w:hAnsi="Times New Roman" w:eastAsia="宋体" w:cstheme="majorBidi"/>
      <w:i/>
      <w:iCs/>
      <w:color w:val="1F3864"/>
      <w:kern w:val="0"/>
    </w:rPr>
  </w:style>
  <w:style w:type="character" w:customStyle="1" w:styleId="24">
    <w:name w:val="标题 8 Char"/>
    <w:link w:val="8"/>
    <w:semiHidden/>
    <w:qFormat/>
    <w:uiPriority w:val="9"/>
    <w:rPr>
      <w:rFonts w:ascii="Times New Roman" w:hAnsi="Times New Roman" w:eastAsia="宋体" w:cstheme="majorBidi"/>
      <w:color w:val="262626"/>
      <w:kern w:val="0"/>
      <w:szCs w:val="21"/>
    </w:rPr>
  </w:style>
  <w:style w:type="character" w:customStyle="1" w:styleId="25">
    <w:name w:val="标题 9 Char"/>
    <w:link w:val="9"/>
    <w:semiHidden/>
    <w:qFormat/>
    <w:uiPriority w:val="9"/>
    <w:rPr>
      <w:rFonts w:ascii="Times New Roman" w:hAnsi="Times New Roman" w:eastAsia="宋体" w:cstheme="majorBidi"/>
      <w:i/>
      <w:iCs/>
      <w:color w:val="262626"/>
      <w:kern w:val="0"/>
      <w:szCs w:val="21"/>
    </w:rPr>
  </w:style>
  <w:style w:type="paragraph" w:styleId="26">
    <w:name w:val="No Spacing"/>
    <w:basedOn w:val="1"/>
    <w:next w:val="1"/>
    <w:qFormat/>
    <w:uiPriority w:val="1"/>
    <w:pPr>
      <w:ind w:firstLine="0" w:firstLineChars="0"/>
    </w:pPr>
    <w:rPr>
      <w:kern w:val="0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outlineLvl w:val="9"/>
    </w:pPr>
  </w:style>
  <w:style w:type="paragraph" w:styleId="28">
    <w:name w:val="List Paragraph"/>
    <w:basedOn w:val="1"/>
    <w:qFormat/>
    <w:uiPriority w:val="34"/>
    <w:pPr>
      <w:widowControl w:val="0"/>
      <w:spacing w:line="240" w:lineRule="auto"/>
      <w:ind w:firstLine="420"/>
    </w:pPr>
    <w:rPr>
      <w:rFonts w:ascii="Times New Roman" w:hAnsi="Times New Roman" w:eastAsia="宋体" w:cs="Times New Roman"/>
      <w:sz w:val="21"/>
      <w:szCs w:val="20"/>
    </w:rPr>
  </w:style>
  <w:style w:type="character" w:customStyle="1" w:styleId="29">
    <w:name w:val="页眉 Char"/>
    <w:basedOn w:val="16"/>
    <w:link w:val="14"/>
    <w:qFormat/>
    <w:uiPriority w:val="99"/>
    <w:rPr>
      <w:rFonts w:ascii="仿宋" w:eastAsia="仿宋"/>
      <w:sz w:val="18"/>
      <w:szCs w:val="18"/>
    </w:rPr>
  </w:style>
  <w:style w:type="character" w:customStyle="1" w:styleId="30">
    <w:name w:val="页脚 Char"/>
    <w:basedOn w:val="16"/>
    <w:link w:val="13"/>
    <w:qFormat/>
    <w:uiPriority w:val="99"/>
    <w:rPr>
      <w:rFonts w:ascii="仿宋" w:eastAsia="仿宋"/>
      <w:sz w:val="18"/>
      <w:szCs w:val="18"/>
    </w:rPr>
  </w:style>
  <w:style w:type="paragraph" w:customStyle="1" w:styleId="31">
    <w:name w:val="正文文本1"/>
    <w:basedOn w:val="1"/>
    <w:qFormat/>
    <w:uiPriority w:val="0"/>
    <w:rPr>
      <w:rFonts w:ascii="仿宋_GB2312" w:hAnsi="仿宋_GB2312" w:eastAsia="仿宋_GB2312"/>
    </w:rPr>
  </w:style>
  <w:style w:type="paragraph" w:customStyle="1" w:styleId="32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政府公文">
      <a:majorFont>
        <a:latin typeface="Times New Roman"/>
        <a:ea typeface="宋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大鹏新区文体旅游局</Company>
  <Pages>4</Pages>
  <Words>232</Words>
  <Characters>1324</Characters>
  <Lines>11</Lines>
  <Paragraphs>3</Paragraphs>
  <TotalTime>0</TotalTime>
  <ScaleCrop>false</ScaleCrop>
  <LinksUpToDate>false</LinksUpToDate>
  <CharactersWithSpaces>1553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2018-06-24T14:52:00Z</dcterms:created>
  <dc:creator>吕 嘉</dc:creator>
  <cp:lastModifiedBy>谢革</cp:lastModifiedBy>
  <cp:lastPrinted>2024-07-26T10:58:00Z</cp:lastPrinted>
  <dcterms:modified xsi:type="dcterms:W3CDTF">2025-01-17T11:42:44Z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