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杨梅坑片区土地整备利益统筹项目实施方案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eastAsia="zh-CN"/>
        </w:rPr>
        <w:t>编制服务</w:t>
      </w:r>
      <w:r>
        <w:rPr>
          <w:rFonts w:hint="eastAsia" w:ascii="方正小标宋简体" w:hAnsi="方正小标宋简体" w:eastAsia="方正小标宋简体" w:cs="方正小标宋简体"/>
          <w:color w:val="auto"/>
          <w:sz w:val="44"/>
          <w:szCs w:val="44"/>
          <w:lang w:eastAsia="zh-CN"/>
        </w:rPr>
        <w:t>综合评分表</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tbl>
      <w:tblPr>
        <w:tblStyle w:val="7"/>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466"/>
        <w:gridCol w:w="1017"/>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67" w:type="dxa"/>
            <w:noWrap w:val="0"/>
            <w:vAlign w:val="center"/>
          </w:tcPr>
          <w:p>
            <w:pPr>
              <w:spacing w:line="360" w:lineRule="auto"/>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1466" w:type="dxa"/>
            <w:noWrap w:val="0"/>
            <w:vAlign w:val="center"/>
          </w:tcPr>
          <w:p>
            <w:pPr>
              <w:spacing w:line="360" w:lineRule="auto"/>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017" w:type="dxa"/>
            <w:noWrap w:val="0"/>
            <w:vAlign w:val="center"/>
          </w:tcPr>
          <w:p>
            <w:pPr>
              <w:spacing w:line="360" w:lineRule="auto"/>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分值</w:t>
            </w:r>
          </w:p>
        </w:tc>
        <w:tc>
          <w:tcPr>
            <w:tcW w:w="5183" w:type="dxa"/>
            <w:noWrap w:val="0"/>
            <w:vAlign w:val="center"/>
          </w:tcPr>
          <w:p>
            <w:pPr>
              <w:spacing w:line="360" w:lineRule="auto"/>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66" w:type="dxa"/>
            <w:noWrap w:val="0"/>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价格</w:t>
            </w:r>
          </w:p>
        </w:tc>
        <w:tc>
          <w:tcPr>
            <w:tcW w:w="1017" w:type="dxa"/>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5183" w:type="dxa"/>
            <w:noWrap w:val="0"/>
            <w:vAlign w:val="center"/>
          </w:tcPr>
          <w:p>
            <w:pPr>
              <w:wordWrap w:val="0"/>
              <w:rPr>
                <w:rFonts w:hint="eastAsia" w:ascii="仿宋_GB2312" w:hAnsi="仿宋_GB2312" w:eastAsia="仿宋_GB2312" w:cs="仿宋_GB2312"/>
              </w:rPr>
            </w:pPr>
            <w:r>
              <w:rPr>
                <w:rFonts w:hint="eastAsia" w:ascii="仿宋_GB2312" w:hAnsi="仿宋_GB2312" w:eastAsia="仿宋_GB2312" w:cs="仿宋_GB2312"/>
              </w:rPr>
              <w:t>满足采购文件要求且报价最低的价格为</w:t>
            </w:r>
            <w:r>
              <w:rPr>
                <w:rFonts w:hint="eastAsia" w:ascii="仿宋_GB2312" w:hAnsi="仿宋_GB2312" w:eastAsia="仿宋_GB2312" w:cs="仿宋_GB2312"/>
                <w:lang w:eastAsia="zh-CN"/>
              </w:rPr>
              <w:t>评标</w:t>
            </w:r>
            <w:r>
              <w:rPr>
                <w:rFonts w:hint="eastAsia" w:ascii="仿宋_GB2312" w:hAnsi="仿宋_GB2312" w:eastAsia="仿宋_GB2312" w:cs="仿宋_GB2312"/>
              </w:rPr>
              <w:t>基准价，其价格分为满分。其他供应商的价格分统一按照下列公式计算：</w:t>
            </w:r>
          </w:p>
          <w:p>
            <w:pPr>
              <w:wordWrap w:val="0"/>
              <w:rPr>
                <w:rFonts w:hint="eastAsia" w:ascii="仿宋_GB2312" w:hAnsi="仿宋_GB2312" w:eastAsia="仿宋_GB2312" w:cs="仿宋_GB2312"/>
              </w:rPr>
            </w:pPr>
            <w:r>
              <w:rPr>
                <w:rFonts w:hint="eastAsia" w:ascii="仿宋_GB2312" w:hAnsi="仿宋_GB2312" w:eastAsia="仿宋_GB2312" w:cs="仿宋_GB2312"/>
              </w:rPr>
              <w:t>报价得分=（</w:t>
            </w:r>
            <w:r>
              <w:rPr>
                <w:rFonts w:hint="eastAsia" w:ascii="仿宋_GB2312" w:hAnsi="仿宋_GB2312" w:eastAsia="仿宋_GB2312" w:cs="仿宋_GB2312"/>
                <w:lang w:eastAsia="zh-CN"/>
              </w:rPr>
              <w:t>评标</w:t>
            </w:r>
            <w:r>
              <w:rPr>
                <w:rFonts w:hint="eastAsia" w:ascii="仿宋_GB2312" w:hAnsi="仿宋_GB2312" w:eastAsia="仿宋_GB2312" w:cs="仿宋_GB2312"/>
              </w:rPr>
              <w:t>基准价／</w:t>
            </w:r>
            <w:r>
              <w:rPr>
                <w:rFonts w:hint="eastAsia" w:ascii="仿宋_GB2312" w:hAnsi="仿宋_GB2312" w:eastAsia="仿宋_GB2312" w:cs="仿宋_GB2312"/>
                <w:lang w:eastAsia="zh-CN"/>
              </w:rPr>
              <w:t>投标</w:t>
            </w:r>
            <w:r>
              <w:rPr>
                <w:rFonts w:hint="eastAsia" w:ascii="仿宋_GB2312" w:hAnsi="仿宋_GB2312" w:eastAsia="仿宋_GB2312" w:cs="仿宋_GB2312"/>
              </w:rPr>
              <w:t>报价）×价格分分值</w:t>
            </w:r>
          </w:p>
          <w:p>
            <w:pPr>
              <w:pStyle w:val="2"/>
              <w:rPr>
                <w:rFonts w:hint="eastAsia" w:ascii="仿宋_GB2312" w:hAnsi="仿宋_GB2312" w:eastAsia="仿宋_GB2312" w:cs="仿宋_GB2312"/>
              </w:rPr>
            </w:pPr>
            <w:r>
              <w:rPr>
                <w:rFonts w:hint="eastAsia" w:ascii="仿宋_GB2312" w:hAnsi="仿宋_GB2312" w:eastAsia="仿宋_GB2312" w:cs="仿宋_GB2312"/>
                <w:b/>
                <w:bCs/>
                <w:szCs w:val="21"/>
              </w:rPr>
              <w:t>评审材料：</w:t>
            </w:r>
            <w:r>
              <w:rPr>
                <w:rFonts w:hint="eastAsia" w:ascii="仿宋_GB2312" w:hAnsi="仿宋_GB2312" w:eastAsia="仿宋_GB2312" w:cs="仿宋_GB2312"/>
                <w:szCs w:val="21"/>
              </w:rPr>
              <w:t>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466" w:type="dxa"/>
            <w:noWrap w:val="0"/>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公司资质</w:t>
            </w:r>
          </w:p>
        </w:tc>
        <w:tc>
          <w:tcPr>
            <w:tcW w:w="1017" w:type="dxa"/>
            <w:noWrap w:val="0"/>
            <w:vAlign w:val="center"/>
          </w:tcPr>
          <w:p>
            <w:pPr>
              <w:jc w:val="center"/>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10</w:t>
            </w:r>
          </w:p>
        </w:tc>
        <w:tc>
          <w:tcPr>
            <w:tcW w:w="5183" w:type="dxa"/>
            <w:noWrap w:val="0"/>
            <w:vAlign w:val="center"/>
          </w:tcPr>
          <w:p>
            <w:pPr>
              <w:pStyle w:val="2"/>
              <w:rPr>
                <w:rFonts w:hint="eastAsia" w:ascii="仿宋_GB2312" w:hAnsi="仿宋_GB2312" w:eastAsia="仿宋_GB2312" w:cs="仿宋_GB2312"/>
              </w:rPr>
            </w:pPr>
            <w:r>
              <w:rPr>
                <w:rFonts w:hint="eastAsia" w:ascii="仿宋_GB2312" w:hAnsi="仿宋_GB2312" w:eastAsia="仿宋_GB2312" w:cs="仿宋_GB2312"/>
              </w:rPr>
              <w:t>供应商具有有效的甲级</w:t>
            </w:r>
            <w:r>
              <w:rPr>
                <w:rFonts w:hint="eastAsia" w:ascii="仿宋_GB2312" w:hAnsi="仿宋_GB2312" w:eastAsia="仿宋_GB2312" w:cs="仿宋_GB2312"/>
                <w:lang w:eastAsia="zh-CN"/>
              </w:rPr>
              <w:t>城乡规划</w:t>
            </w:r>
            <w:r>
              <w:rPr>
                <w:rFonts w:hint="eastAsia" w:ascii="仿宋_GB2312" w:hAnsi="仿宋_GB2312" w:eastAsia="仿宋_GB2312" w:cs="仿宋_GB2312"/>
              </w:rPr>
              <w:t>资质证书的得10分；具有有效的乙级</w:t>
            </w:r>
            <w:r>
              <w:rPr>
                <w:rFonts w:hint="eastAsia" w:ascii="仿宋_GB2312" w:hAnsi="仿宋_GB2312" w:eastAsia="仿宋_GB2312" w:cs="仿宋_GB2312"/>
                <w:lang w:eastAsia="zh-CN"/>
              </w:rPr>
              <w:t>城乡规划</w:t>
            </w:r>
            <w:r>
              <w:rPr>
                <w:rFonts w:hint="eastAsia" w:ascii="仿宋_GB2312" w:hAnsi="仿宋_GB2312" w:eastAsia="仿宋_GB2312" w:cs="仿宋_GB2312"/>
              </w:rPr>
              <w:t>资质证书的得5分；</w:t>
            </w:r>
          </w:p>
          <w:p>
            <w:pPr>
              <w:rPr>
                <w:rFonts w:hint="eastAsia" w:ascii="仿宋_GB2312" w:hAnsi="仿宋_GB2312" w:eastAsia="仿宋_GB2312" w:cs="仿宋_GB2312"/>
              </w:rPr>
            </w:pPr>
            <w:r>
              <w:rPr>
                <w:rFonts w:hint="eastAsia" w:ascii="仿宋_GB2312" w:hAnsi="仿宋_GB2312" w:eastAsia="仿宋_GB2312" w:cs="仿宋_GB2312"/>
              </w:rPr>
              <w:t>以上两项不可累计得分，满分10分。</w:t>
            </w:r>
            <w:bookmarkStart w:id="0" w:name="_GoBack"/>
            <w:bookmarkEnd w:id="0"/>
          </w:p>
          <w:p>
            <w:pPr>
              <w:pStyle w:val="2"/>
              <w:rPr>
                <w:rFonts w:hint="eastAsia" w:ascii="仿宋_GB2312" w:hAnsi="仿宋_GB2312" w:eastAsia="仿宋_GB2312" w:cs="仿宋_GB2312"/>
              </w:rPr>
            </w:pPr>
            <w:r>
              <w:rPr>
                <w:rFonts w:hint="eastAsia" w:ascii="仿宋_GB2312" w:hAnsi="仿宋_GB2312" w:eastAsia="仿宋_GB2312" w:cs="仿宋_GB2312"/>
              </w:rPr>
              <w:t>评分中出现无证明材料或证明材料不符，一律做不得分处理。</w:t>
            </w:r>
          </w:p>
          <w:p>
            <w:pPr>
              <w:pStyle w:val="2"/>
              <w:rPr>
                <w:rFonts w:hint="eastAsia" w:ascii="仿宋_GB2312" w:hAnsi="仿宋_GB2312" w:eastAsia="仿宋_GB2312" w:cs="仿宋_GB2312"/>
                <w:b/>
                <w:bCs/>
                <w:szCs w:val="21"/>
              </w:rPr>
            </w:pPr>
            <w:r>
              <w:rPr>
                <w:rFonts w:hint="eastAsia" w:ascii="仿宋_GB2312" w:hAnsi="仿宋_GB2312" w:eastAsia="仿宋_GB2312" w:cs="仿宋_GB2312"/>
                <w:b/>
                <w:bCs/>
                <w:szCs w:val="21"/>
              </w:rPr>
              <w:t>评审材料：</w:t>
            </w:r>
            <w:r>
              <w:rPr>
                <w:rFonts w:hint="eastAsia" w:ascii="仿宋_GB2312" w:hAnsi="仿宋_GB2312" w:eastAsia="仿宋_GB2312" w:cs="仿宋_GB2312"/>
              </w:rPr>
              <w:t>公司资质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466" w:type="dxa"/>
            <w:noWrap w:val="0"/>
            <w:vAlign w:val="center"/>
          </w:tcPr>
          <w:p>
            <w:pPr>
              <w:spacing w:line="360" w:lineRule="auto"/>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业绩经验</w:t>
            </w:r>
          </w:p>
        </w:tc>
        <w:tc>
          <w:tcPr>
            <w:tcW w:w="1017" w:type="dxa"/>
            <w:noWrap w:val="0"/>
            <w:vAlign w:val="center"/>
          </w:tcPr>
          <w:p>
            <w:pPr>
              <w:jc w:val="center"/>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20</w:t>
            </w:r>
          </w:p>
        </w:tc>
        <w:tc>
          <w:tcPr>
            <w:tcW w:w="5183" w:type="dxa"/>
            <w:noWrap w:val="0"/>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rPr>
              <w:t>供应商自202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年1月1日至本项目投标截止日（以合同签订日期为准），具有行政事业单位土地整备或利益统筹或旧村改造或土地征收项目的</w:t>
            </w:r>
            <w:r>
              <w:rPr>
                <w:rFonts w:hint="eastAsia" w:ascii="仿宋_GB2312" w:hAnsi="仿宋_GB2312" w:eastAsia="仿宋_GB2312" w:cs="仿宋_GB2312"/>
                <w:lang w:eastAsia="zh-CN"/>
              </w:rPr>
              <w:t>实施方案编制</w:t>
            </w:r>
            <w:r>
              <w:rPr>
                <w:rFonts w:hint="eastAsia" w:ascii="仿宋_GB2312" w:hAnsi="仿宋_GB2312" w:eastAsia="仿宋_GB2312" w:cs="仿宋_GB2312"/>
              </w:rPr>
              <w:t>业绩，每提供一个得</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分，本小项累计最高</w:t>
            </w:r>
            <w:r>
              <w:rPr>
                <w:rFonts w:hint="eastAsia" w:ascii="仿宋_GB2312" w:hAnsi="仿宋_GB2312" w:eastAsia="仿宋_GB2312" w:cs="仿宋_GB2312"/>
                <w:lang w:val="en-US" w:eastAsia="zh-CN"/>
              </w:rPr>
              <w:t>20</w:t>
            </w:r>
            <w:r>
              <w:rPr>
                <w:rFonts w:hint="eastAsia" w:ascii="仿宋_GB2312" w:hAnsi="仿宋_GB2312" w:eastAsia="仿宋_GB2312" w:cs="仿宋_GB2312"/>
              </w:rPr>
              <w:t>分。</w:t>
            </w:r>
          </w:p>
          <w:p>
            <w:pPr>
              <w:pStyle w:val="2"/>
              <w:rPr>
                <w:rFonts w:hint="eastAsia" w:ascii="仿宋_GB2312" w:hAnsi="仿宋_GB2312" w:eastAsia="仿宋_GB2312" w:cs="仿宋_GB2312"/>
              </w:rPr>
            </w:pPr>
            <w:r>
              <w:rPr>
                <w:rFonts w:hint="eastAsia" w:ascii="仿宋_GB2312" w:hAnsi="仿宋_GB2312" w:eastAsia="仿宋_GB2312" w:cs="仿宋_GB2312"/>
              </w:rPr>
              <w:t>需提供合同关键页扫描件（包括但不限于合同首页、合同标的、签订时间、签字盖章页）</w:t>
            </w:r>
          </w:p>
          <w:p>
            <w:pPr>
              <w:wordWrap w:val="0"/>
              <w:rPr>
                <w:rFonts w:hint="eastAsia" w:ascii="仿宋_GB2312" w:hAnsi="仿宋_GB2312" w:eastAsia="仿宋_GB2312" w:cs="仿宋_GB2312"/>
              </w:rPr>
            </w:pPr>
            <w:r>
              <w:rPr>
                <w:rFonts w:hint="eastAsia" w:ascii="仿宋_GB2312" w:hAnsi="仿宋_GB2312" w:eastAsia="仿宋_GB2312" w:cs="仿宋_GB2312"/>
              </w:rPr>
              <w:t>本项累计最高得分</w:t>
            </w:r>
            <w:r>
              <w:rPr>
                <w:rFonts w:hint="eastAsia" w:ascii="仿宋_GB2312" w:hAnsi="仿宋_GB2312" w:eastAsia="仿宋_GB2312" w:cs="仿宋_GB2312"/>
                <w:lang w:val="en-US" w:eastAsia="zh-CN"/>
              </w:rPr>
              <w:t>2</w:t>
            </w:r>
            <w:r>
              <w:rPr>
                <w:rFonts w:hint="eastAsia" w:ascii="仿宋_GB2312" w:hAnsi="仿宋_GB2312" w:eastAsia="仿宋_GB2312" w:cs="仿宋_GB2312"/>
              </w:rPr>
              <w:t>0分。</w:t>
            </w:r>
          </w:p>
          <w:p>
            <w:pPr>
              <w:pStyle w:val="2"/>
              <w:rPr>
                <w:rFonts w:hint="eastAsia" w:ascii="仿宋_GB2312" w:hAnsi="仿宋_GB2312" w:eastAsia="仿宋_GB2312" w:cs="仿宋_GB2312"/>
              </w:rPr>
            </w:pPr>
            <w:r>
              <w:rPr>
                <w:rFonts w:hint="eastAsia" w:ascii="仿宋_GB2312" w:hAnsi="仿宋_GB2312" w:eastAsia="仿宋_GB2312" w:cs="仿宋_GB2312"/>
              </w:rPr>
              <w:t>评分中出现无证明材料或证明材料不符，一律做不得分处理。</w:t>
            </w:r>
          </w:p>
          <w:p>
            <w:pPr>
              <w:pStyle w:val="2"/>
              <w:rPr>
                <w:rFonts w:hint="eastAsia" w:ascii="仿宋_GB2312" w:hAnsi="仿宋_GB2312" w:eastAsia="仿宋_GB2312" w:cs="仿宋_GB2312"/>
                <w:lang w:eastAsia="zh-CN"/>
              </w:rPr>
            </w:pPr>
            <w:r>
              <w:rPr>
                <w:rFonts w:hint="eastAsia" w:ascii="仿宋_GB2312" w:hAnsi="仿宋_GB2312" w:eastAsia="仿宋_GB2312" w:cs="仿宋_GB2312"/>
                <w:b/>
                <w:bCs/>
              </w:rPr>
              <w:t>评审材料：</w:t>
            </w:r>
            <w:r>
              <w:rPr>
                <w:rFonts w:hint="eastAsia" w:ascii="仿宋_GB2312" w:hAnsi="仿宋_GB2312" w:eastAsia="仿宋_GB2312" w:cs="仿宋_GB2312"/>
              </w:rPr>
              <w:t>业绩</w:t>
            </w:r>
            <w:r>
              <w:rPr>
                <w:rFonts w:hint="eastAsia" w:ascii="仿宋_GB2312" w:hAnsi="仿宋_GB2312" w:eastAsia="仿宋_GB2312" w:cs="仿宋_GB2312"/>
                <w:lang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466" w:type="dxa"/>
            <w:noWrap w:val="0"/>
            <w:vAlign w:val="center"/>
          </w:tcPr>
          <w:p>
            <w:pPr>
              <w:tabs>
                <w:tab w:val="left" w:pos="426"/>
              </w:tabs>
              <w:wordWrap w:val="0"/>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highlight w:val="none"/>
                <w:lang w:val="en-US" w:eastAsia="zh-CN"/>
              </w:rPr>
              <w:t>履约评价</w:t>
            </w:r>
          </w:p>
        </w:tc>
        <w:tc>
          <w:tcPr>
            <w:tcW w:w="1017" w:type="dxa"/>
            <w:noWrap w:val="0"/>
            <w:vAlign w:val="center"/>
          </w:tcPr>
          <w:p>
            <w:pPr>
              <w:tabs>
                <w:tab w:val="left" w:pos="426"/>
              </w:tabs>
              <w:wordWrap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color w:val="000000"/>
                <w:kern w:val="0"/>
                <w:szCs w:val="21"/>
                <w:lang w:val="en-US" w:eastAsia="zh-CN"/>
              </w:rPr>
              <w:t>10</w:t>
            </w:r>
          </w:p>
        </w:tc>
        <w:tc>
          <w:tcPr>
            <w:tcW w:w="5183" w:type="dxa"/>
            <w:noWrap w:val="0"/>
            <w:vAlign w:val="top"/>
          </w:tcPr>
          <w:p>
            <w:pPr>
              <w:widowControl/>
              <w:tabs>
                <w:tab w:val="left" w:pos="426"/>
              </w:tabs>
              <w:spacing w:line="240" w:lineRule="auto"/>
              <w:ind w:firstLine="0" w:firstLineChars="0"/>
              <w:jc w:val="left"/>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br w:type="textWrapping"/>
            </w:r>
            <w:r>
              <w:rPr>
                <w:rFonts w:hint="eastAsia" w:ascii="仿宋_GB2312" w:hAnsi="仿宋_GB2312" w:eastAsia="仿宋_GB2312" w:cs="仿宋_GB2312"/>
                <w:color w:val="000000"/>
                <w:szCs w:val="21"/>
              </w:rPr>
              <w:t>供应商</w:t>
            </w:r>
            <w:r>
              <w:rPr>
                <w:rFonts w:hint="eastAsia" w:ascii="仿宋_GB2312" w:hAnsi="仿宋_GB2312" w:eastAsia="仿宋_GB2312" w:cs="仿宋_GB2312"/>
                <w:b w:val="0"/>
                <w:bCs w:val="0"/>
                <w:color w:val="000000"/>
                <w:sz w:val="21"/>
                <w:szCs w:val="21"/>
                <w:highlight w:val="none"/>
              </w:rPr>
              <w:t>在上述“</w:t>
            </w:r>
            <w:r>
              <w:rPr>
                <w:rFonts w:hint="eastAsia" w:ascii="仿宋_GB2312" w:hAnsi="仿宋_GB2312" w:eastAsia="仿宋_GB2312" w:cs="仿宋_GB2312"/>
                <w:b w:val="0"/>
                <w:bCs w:val="0"/>
                <w:color w:val="000000"/>
                <w:sz w:val="21"/>
                <w:szCs w:val="21"/>
                <w:highlight w:val="none"/>
                <w:lang w:val="en-US" w:eastAsia="zh-CN"/>
              </w:rPr>
              <w:t>业绩经验</w:t>
            </w:r>
            <w:r>
              <w:rPr>
                <w:rFonts w:hint="eastAsia" w:ascii="仿宋_GB2312" w:hAnsi="仿宋_GB2312" w:eastAsia="仿宋_GB2312" w:cs="仿宋_GB2312"/>
                <w:b w:val="0"/>
                <w:bCs w:val="0"/>
                <w:color w:val="000000"/>
                <w:sz w:val="21"/>
                <w:szCs w:val="21"/>
                <w:highlight w:val="none"/>
              </w:rPr>
              <w:t>”评</w:t>
            </w:r>
            <w:r>
              <w:rPr>
                <w:rFonts w:hint="eastAsia" w:ascii="仿宋_GB2312" w:hAnsi="仿宋_GB2312" w:eastAsia="仿宋_GB2312" w:cs="仿宋_GB2312"/>
                <w:b w:val="0"/>
                <w:bCs w:val="0"/>
                <w:color w:val="000000"/>
                <w:sz w:val="21"/>
                <w:szCs w:val="21"/>
                <w:highlight w:val="none"/>
                <w:lang w:eastAsia="zh-CN"/>
              </w:rPr>
              <w:t>分</w:t>
            </w:r>
            <w:r>
              <w:rPr>
                <w:rFonts w:hint="eastAsia" w:ascii="仿宋_GB2312" w:hAnsi="仿宋_GB2312" w:eastAsia="仿宋_GB2312" w:cs="仿宋_GB2312"/>
                <w:b w:val="0"/>
                <w:bCs w:val="0"/>
                <w:color w:val="000000"/>
                <w:sz w:val="21"/>
                <w:szCs w:val="21"/>
                <w:highlight w:val="none"/>
              </w:rPr>
              <w:t>项中参加评</w:t>
            </w:r>
            <w:r>
              <w:rPr>
                <w:rFonts w:hint="eastAsia" w:ascii="仿宋_GB2312" w:hAnsi="仿宋_GB2312" w:eastAsia="仿宋_GB2312" w:cs="仿宋_GB2312"/>
                <w:b w:val="0"/>
                <w:bCs w:val="0"/>
                <w:color w:val="000000"/>
                <w:sz w:val="21"/>
                <w:szCs w:val="21"/>
                <w:highlight w:val="none"/>
                <w:lang w:eastAsia="zh-CN"/>
              </w:rPr>
              <w:t>分</w:t>
            </w:r>
            <w:r>
              <w:rPr>
                <w:rFonts w:hint="eastAsia" w:ascii="仿宋_GB2312" w:hAnsi="仿宋_GB2312" w:eastAsia="仿宋_GB2312" w:cs="仿宋_GB2312"/>
                <w:b w:val="0"/>
                <w:bCs w:val="0"/>
                <w:color w:val="000000"/>
                <w:sz w:val="21"/>
                <w:szCs w:val="21"/>
                <w:highlight w:val="none"/>
              </w:rPr>
              <w:t>并被认定有效的业绩（且获得评分），能够提供</w:t>
            </w:r>
            <w:r>
              <w:rPr>
                <w:rFonts w:hint="eastAsia" w:ascii="仿宋_GB2312" w:hAnsi="仿宋_GB2312" w:eastAsia="仿宋_GB2312" w:cs="仿宋_GB2312"/>
                <w:b w:val="0"/>
                <w:bCs w:val="0"/>
                <w:color w:val="000000"/>
                <w:sz w:val="21"/>
                <w:szCs w:val="21"/>
                <w:highlight w:val="none"/>
                <w:lang w:eastAsia="zh-CN"/>
              </w:rPr>
              <w:t>甲方</w:t>
            </w:r>
            <w:r>
              <w:rPr>
                <w:rFonts w:hint="eastAsia" w:ascii="仿宋_GB2312" w:hAnsi="仿宋_GB2312" w:eastAsia="仿宋_GB2312" w:cs="仿宋_GB2312"/>
                <w:b w:val="0"/>
                <w:bCs w:val="0"/>
                <w:color w:val="000000"/>
                <w:sz w:val="21"/>
                <w:szCs w:val="21"/>
                <w:highlight w:val="none"/>
              </w:rPr>
              <w:t>出具的履约评价书，且评价为</w:t>
            </w:r>
            <w:r>
              <w:rPr>
                <w:rFonts w:hint="eastAsia" w:ascii="仿宋_GB2312" w:hAnsi="仿宋_GB2312" w:eastAsia="仿宋_GB2312" w:cs="仿宋_GB2312"/>
                <w:b w:val="0"/>
                <w:bCs w:val="0"/>
                <w:color w:val="000000"/>
                <w:sz w:val="21"/>
                <w:szCs w:val="21"/>
                <w:highlight w:val="none"/>
                <w:lang w:eastAsia="zh-CN"/>
              </w:rPr>
              <w:t>优秀</w:t>
            </w:r>
            <w:r>
              <w:rPr>
                <w:rFonts w:hint="eastAsia" w:ascii="仿宋_GB2312" w:hAnsi="仿宋_GB2312" w:eastAsia="仿宋_GB2312" w:cs="仿宋_GB2312"/>
                <w:b w:val="0"/>
                <w:bCs w:val="0"/>
                <w:color w:val="000000"/>
                <w:sz w:val="21"/>
                <w:szCs w:val="21"/>
                <w:highlight w:val="none"/>
              </w:rPr>
              <w:t>的，</w:t>
            </w:r>
            <w:r>
              <w:rPr>
                <w:rFonts w:hint="eastAsia" w:ascii="仿宋_GB2312" w:hAnsi="仿宋_GB2312" w:eastAsia="仿宋_GB2312" w:cs="仿宋_GB2312"/>
                <w:b w:val="0"/>
                <w:bCs w:val="0"/>
                <w:color w:val="000000"/>
                <w:sz w:val="21"/>
                <w:szCs w:val="21"/>
                <w:highlight w:val="none"/>
                <w:lang w:eastAsia="zh-CN"/>
              </w:rPr>
              <w:t>每个</w:t>
            </w:r>
            <w:r>
              <w:rPr>
                <w:rFonts w:hint="eastAsia" w:ascii="仿宋_GB2312" w:hAnsi="仿宋_GB2312" w:eastAsia="仿宋_GB2312" w:cs="仿宋_GB2312"/>
                <w:b w:val="0"/>
                <w:bCs w:val="0"/>
                <w:color w:val="000000"/>
                <w:sz w:val="21"/>
                <w:szCs w:val="21"/>
                <w:highlight w:val="none"/>
              </w:rPr>
              <w:t>得</w:t>
            </w:r>
            <w:r>
              <w:rPr>
                <w:rFonts w:hint="eastAsia" w:ascii="仿宋_GB2312" w:hAnsi="仿宋_GB2312" w:eastAsia="仿宋_GB2312" w:cs="仿宋_GB2312"/>
                <w:b w:val="0"/>
                <w:bCs w:val="0"/>
                <w:color w:val="000000"/>
                <w:sz w:val="21"/>
                <w:szCs w:val="21"/>
                <w:highlight w:val="none"/>
                <w:lang w:val="en-US" w:eastAsia="zh-CN"/>
              </w:rPr>
              <w:t>2</w:t>
            </w:r>
            <w:r>
              <w:rPr>
                <w:rFonts w:hint="eastAsia" w:ascii="仿宋_GB2312" w:hAnsi="仿宋_GB2312" w:eastAsia="仿宋_GB2312" w:cs="仿宋_GB2312"/>
                <w:b w:val="0"/>
                <w:bCs w:val="0"/>
                <w:color w:val="000000"/>
                <w:sz w:val="21"/>
                <w:szCs w:val="21"/>
                <w:highlight w:val="none"/>
              </w:rPr>
              <w:t>分，评价为</w:t>
            </w:r>
            <w:r>
              <w:rPr>
                <w:rFonts w:hint="eastAsia" w:ascii="仿宋_GB2312" w:hAnsi="仿宋_GB2312" w:eastAsia="仿宋_GB2312" w:cs="仿宋_GB2312"/>
                <w:b w:val="0"/>
                <w:bCs w:val="0"/>
                <w:color w:val="000000"/>
                <w:sz w:val="21"/>
                <w:szCs w:val="21"/>
                <w:highlight w:val="none"/>
                <w:lang w:eastAsia="zh-CN"/>
              </w:rPr>
              <w:t>良好</w:t>
            </w:r>
            <w:r>
              <w:rPr>
                <w:rFonts w:hint="eastAsia" w:ascii="仿宋_GB2312" w:hAnsi="仿宋_GB2312" w:eastAsia="仿宋_GB2312" w:cs="仿宋_GB2312"/>
                <w:b w:val="0"/>
                <w:bCs w:val="0"/>
                <w:color w:val="000000"/>
                <w:sz w:val="21"/>
                <w:szCs w:val="21"/>
                <w:highlight w:val="none"/>
              </w:rPr>
              <w:t>的</w:t>
            </w:r>
            <w:r>
              <w:rPr>
                <w:rFonts w:hint="eastAsia" w:ascii="仿宋_GB2312" w:hAnsi="仿宋_GB2312" w:eastAsia="仿宋_GB2312" w:cs="仿宋_GB2312"/>
                <w:b w:val="0"/>
                <w:bCs w:val="0"/>
                <w:color w:val="000000"/>
                <w:sz w:val="21"/>
                <w:szCs w:val="21"/>
                <w:highlight w:val="none"/>
                <w:lang w:eastAsia="zh-CN"/>
              </w:rPr>
              <w:t>，每个得</w:t>
            </w:r>
            <w:r>
              <w:rPr>
                <w:rFonts w:hint="eastAsia" w:ascii="仿宋_GB2312" w:hAnsi="仿宋_GB2312" w:eastAsia="仿宋_GB2312" w:cs="仿宋_GB2312"/>
                <w:b w:val="0"/>
                <w:bCs w:val="0"/>
                <w:color w:val="000000"/>
                <w:sz w:val="21"/>
                <w:szCs w:val="21"/>
                <w:highlight w:val="none"/>
                <w:lang w:val="en-US" w:eastAsia="zh-CN"/>
              </w:rPr>
              <w:t>1分，</w:t>
            </w:r>
            <w:r>
              <w:rPr>
                <w:rFonts w:hint="eastAsia" w:ascii="仿宋_GB2312" w:hAnsi="仿宋_GB2312" w:eastAsia="仿宋_GB2312" w:cs="仿宋_GB2312"/>
                <w:b w:val="0"/>
                <w:bCs w:val="0"/>
                <w:color w:val="000000"/>
                <w:sz w:val="21"/>
                <w:szCs w:val="21"/>
                <w:highlight w:val="none"/>
              </w:rPr>
              <w:t>其他情况得0分；最高得</w:t>
            </w:r>
            <w:r>
              <w:rPr>
                <w:rFonts w:hint="eastAsia" w:ascii="仿宋_GB2312" w:hAnsi="仿宋_GB2312" w:eastAsia="仿宋_GB2312" w:cs="仿宋_GB2312"/>
                <w:b w:val="0"/>
                <w:bCs w:val="0"/>
                <w:color w:val="000000"/>
                <w:sz w:val="21"/>
                <w:szCs w:val="21"/>
                <w:highlight w:val="none"/>
                <w:lang w:val="en-US" w:eastAsia="zh-CN"/>
              </w:rPr>
              <w:t>10</w:t>
            </w:r>
            <w:r>
              <w:rPr>
                <w:rFonts w:hint="eastAsia" w:ascii="仿宋_GB2312" w:hAnsi="仿宋_GB2312" w:eastAsia="仿宋_GB2312" w:cs="仿宋_GB2312"/>
                <w:b w:val="0"/>
                <w:bCs w:val="0"/>
                <w:color w:val="000000"/>
                <w:sz w:val="21"/>
                <w:szCs w:val="21"/>
                <w:highlight w:val="none"/>
              </w:rPr>
              <w:t>分。</w:t>
            </w:r>
            <w:r>
              <w:rPr>
                <w:rFonts w:hint="eastAsia" w:ascii="仿宋_GB2312" w:hAnsi="仿宋_GB2312" w:eastAsia="仿宋_GB2312" w:cs="仿宋_GB2312"/>
                <w:b w:val="0"/>
                <w:bCs w:val="0"/>
                <w:color w:val="000000"/>
                <w:sz w:val="21"/>
                <w:szCs w:val="21"/>
                <w:highlight w:val="none"/>
              </w:rPr>
              <w:br w:type="textWrapping"/>
            </w:r>
            <w:r>
              <w:rPr>
                <w:rFonts w:hint="eastAsia" w:ascii="仿宋_GB2312" w:hAnsi="仿宋_GB2312" w:eastAsia="仿宋_GB2312" w:cs="仿宋_GB2312"/>
                <w:b w:val="0"/>
                <w:bCs w:val="0"/>
                <w:color w:val="000000"/>
                <w:sz w:val="21"/>
                <w:szCs w:val="21"/>
                <w:highlight w:val="none"/>
              </w:rPr>
              <w:t>不提供的，得0分。</w:t>
            </w:r>
          </w:p>
          <w:p>
            <w:pPr>
              <w:widowControl/>
              <w:tabs>
                <w:tab w:val="left" w:pos="426"/>
              </w:tabs>
              <w:spacing w:line="240" w:lineRule="auto"/>
              <w:ind w:firstLine="0" w:firstLineChars="0"/>
              <w:jc w:val="left"/>
              <w:rPr>
                <w:rFonts w:hint="eastAsia" w:ascii="仿宋_GB2312" w:hAnsi="仿宋_GB2312" w:eastAsia="仿宋_GB2312" w:cs="仿宋_GB2312"/>
              </w:rPr>
            </w:pPr>
            <w:r>
              <w:rPr>
                <w:rFonts w:hint="eastAsia" w:ascii="仿宋_GB2312" w:hAnsi="仿宋_GB2312" w:eastAsia="仿宋_GB2312" w:cs="仿宋_GB2312"/>
                <w:b/>
                <w:bCs/>
              </w:rPr>
              <w:t>评审材料：</w:t>
            </w:r>
            <w:r>
              <w:rPr>
                <w:rFonts w:hint="eastAsia" w:ascii="仿宋_GB2312" w:hAnsi="仿宋_GB2312" w:eastAsia="仿宋_GB2312" w:cs="仿宋_GB2312"/>
                <w:b w:val="0"/>
                <w:bCs w:val="0"/>
                <w:color w:val="000000"/>
                <w:sz w:val="21"/>
                <w:szCs w:val="21"/>
                <w:highlight w:val="none"/>
              </w:rPr>
              <w:t>履约评价书扫描件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466" w:type="dxa"/>
            <w:noWrap w:val="0"/>
            <w:vAlign w:val="center"/>
          </w:tcPr>
          <w:p>
            <w:pPr>
              <w:wordWrap w:val="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投入项目的</w:t>
            </w:r>
            <w:r>
              <w:rPr>
                <w:rFonts w:hint="eastAsia" w:ascii="仿宋_GB2312" w:hAnsi="仿宋_GB2312" w:eastAsia="仿宋_GB2312" w:cs="仿宋_GB2312"/>
                <w:color w:val="000000"/>
                <w:szCs w:val="21"/>
                <w:lang w:eastAsia="zh-CN"/>
              </w:rPr>
              <w:t>工作人员</w:t>
            </w:r>
          </w:p>
        </w:tc>
        <w:tc>
          <w:tcPr>
            <w:tcW w:w="1017" w:type="dxa"/>
            <w:noWrap w:val="0"/>
            <w:vAlign w:val="center"/>
          </w:tcPr>
          <w:p>
            <w:pPr>
              <w:wordWrap w:val="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15</w:t>
            </w:r>
          </w:p>
        </w:tc>
        <w:tc>
          <w:tcPr>
            <w:tcW w:w="5183" w:type="dxa"/>
            <w:noWrap w:val="0"/>
            <w:vAlign w:val="top"/>
          </w:tcPr>
          <w:p>
            <w:pPr>
              <w:wordWrap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rPr>
              <w:t>项目负责人</w:t>
            </w:r>
          </w:p>
          <w:p>
            <w:pPr>
              <w:wordWrap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1）持有</w:t>
            </w:r>
            <w:r>
              <w:rPr>
                <w:rFonts w:hint="eastAsia" w:ascii="仿宋_GB2312" w:hAnsi="仿宋_GB2312" w:eastAsia="仿宋_GB2312" w:cs="仿宋_GB2312"/>
                <w:color w:val="000000"/>
                <w:szCs w:val="21"/>
                <w:lang w:eastAsia="zh-CN"/>
              </w:rPr>
              <w:t>国土或规划类中级</w:t>
            </w:r>
            <w:r>
              <w:rPr>
                <w:rFonts w:hint="eastAsia" w:ascii="仿宋_GB2312" w:hAnsi="仿宋_GB2312" w:eastAsia="仿宋_GB2312" w:cs="仿宋_GB2312"/>
                <w:color w:val="000000"/>
                <w:szCs w:val="21"/>
              </w:rPr>
              <w:t>以上工程师资格，得</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rPr>
              <w:t>分；</w:t>
            </w:r>
          </w:p>
          <w:p>
            <w:pPr>
              <w:wordWrap w:val="0"/>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2）具有硕士研究生及以上学历，得</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rPr>
              <w:t>分</w:t>
            </w:r>
            <w:r>
              <w:rPr>
                <w:rFonts w:hint="eastAsia" w:ascii="仿宋_GB2312" w:hAnsi="仿宋_GB2312" w:eastAsia="仿宋_GB2312" w:cs="仿宋_GB2312"/>
                <w:color w:val="000000"/>
                <w:szCs w:val="21"/>
                <w:lang w:eastAsia="zh-CN"/>
              </w:rPr>
              <w:t>，具有本科学历，得</w:t>
            </w:r>
            <w:r>
              <w:rPr>
                <w:rFonts w:hint="eastAsia" w:ascii="仿宋_GB2312" w:hAnsi="仿宋_GB2312" w:eastAsia="仿宋_GB2312" w:cs="仿宋_GB2312"/>
                <w:color w:val="000000"/>
                <w:szCs w:val="21"/>
                <w:lang w:val="en-US" w:eastAsia="zh-CN"/>
              </w:rPr>
              <w:t>1.5分。</w:t>
            </w:r>
            <w:r>
              <w:rPr>
                <w:rFonts w:hint="eastAsia" w:ascii="仿宋_GB2312" w:hAnsi="仿宋_GB2312" w:eastAsia="仿宋_GB2312" w:cs="仿宋_GB2312"/>
                <w:color w:val="000000"/>
                <w:szCs w:val="21"/>
                <w:lang w:eastAsia="zh-CN"/>
              </w:rPr>
              <w:t>本项最高得</w:t>
            </w:r>
            <w:r>
              <w:rPr>
                <w:rFonts w:hint="eastAsia" w:ascii="仿宋_GB2312" w:hAnsi="仿宋_GB2312" w:eastAsia="仿宋_GB2312" w:cs="仿宋_GB2312"/>
                <w:color w:val="000000"/>
                <w:szCs w:val="21"/>
                <w:lang w:val="en-US" w:eastAsia="zh-CN"/>
              </w:rPr>
              <w:t>3分；</w:t>
            </w:r>
          </w:p>
          <w:p>
            <w:pPr>
              <w:wordWrap w:val="0"/>
              <w:jc w:val="lef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3）具有注册城乡规划师职业资格，得3分。</w:t>
            </w:r>
          </w:p>
          <w:p>
            <w:pPr>
              <w:wordWrap w:val="0"/>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项目团队成员</w:t>
            </w:r>
          </w:p>
          <w:p>
            <w:pPr>
              <w:wordWrap w:val="0"/>
              <w:jc w:val="lef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具备</w:t>
            </w:r>
            <w:r>
              <w:rPr>
                <w:rFonts w:hint="eastAsia" w:ascii="仿宋_GB2312" w:hAnsi="仿宋_GB2312" w:eastAsia="仿宋_GB2312" w:cs="仿宋_GB2312"/>
                <w:color w:val="000000"/>
                <w:szCs w:val="21"/>
                <w:lang w:val="en-US" w:eastAsia="zh-CN"/>
              </w:rPr>
              <w:t>国土或规划</w:t>
            </w:r>
            <w:r>
              <w:rPr>
                <w:rFonts w:hint="eastAsia" w:ascii="仿宋_GB2312" w:hAnsi="仿宋_GB2312" w:eastAsia="仿宋_GB2312" w:cs="仿宋_GB2312"/>
                <w:color w:val="000000"/>
                <w:szCs w:val="21"/>
                <w:lang w:eastAsia="zh-CN"/>
              </w:rPr>
              <w:t>类</w:t>
            </w:r>
            <w:r>
              <w:rPr>
                <w:rFonts w:hint="eastAsia" w:ascii="仿宋_GB2312" w:hAnsi="仿宋_GB2312" w:eastAsia="仿宋_GB2312" w:cs="仿宋_GB2312"/>
                <w:color w:val="000000"/>
                <w:szCs w:val="21"/>
              </w:rPr>
              <w:t>职称证书</w:t>
            </w:r>
            <w:r>
              <w:rPr>
                <w:rFonts w:hint="eastAsia" w:ascii="仿宋_GB2312" w:hAnsi="仿宋_GB2312" w:eastAsia="仿宋_GB2312" w:cs="仿宋_GB2312"/>
                <w:color w:val="000000"/>
                <w:szCs w:val="21"/>
                <w:lang w:eastAsia="zh-CN"/>
              </w:rPr>
              <w:t>的，中级或</w:t>
            </w:r>
            <w:r>
              <w:rPr>
                <w:rFonts w:hint="eastAsia" w:ascii="仿宋_GB2312" w:hAnsi="仿宋_GB2312" w:eastAsia="仿宋_GB2312" w:cs="仿宋_GB2312"/>
                <w:color w:val="000000"/>
                <w:szCs w:val="21"/>
              </w:rPr>
              <w:t>以上职称证书</w:t>
            </w:r>
            <w:r>
              <w:rPr>
                <w:rFonts w:hint="eastAsia" w:ascii="仿宋_GB2312" w:hAnsi="仿宋_GB2312" w:eastAsia="仿宋_GB2312" w:cs="仿宋_GB2312"/>
                <w:color w:val="000000"/>
                <w:szCs w:val="21"/>
                <w:lang w:eastAsia="zh-CN"/>
              </w:rPr>
              <w:t>每有一人得</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lang w:eastAsia="zh-CN"/>
              </w:rPr>
              <w:t>分，初级</w:t>
            </w:r>
            <w:r>
              <w:rPr>
                <w:rFonts w:hint="eastAsia" w:ascii="仿宋_GB2312" w:hAnsi="仿宋_GB2312" w:eastAsia="仿宋_GB2312" w:cs="仿宋_GB2312"/>
                <w:color w:val="000000"/>
                <w:szCs w:val="21"/>
              </w:rPr>
              <w:t>职称证书</w:t>
            </w:r>
            <w:r>
              <w:rPr>
                <w:rFonts w:hint="eastAsia" w:ascii="仿宋_GB2312" w:hAnsi="仿宋_GB2312" w:eastAsia="仿宋_GB2312" w:cs="仿宋_GB2312"/>
                <w:color w:val="000000"/>
                <w:szCs w:val="21"/>
                <w:lang w:eastAsia="zh-CN"/>
              </w:rPr>
              <w:t>每有一人得</w:t>
            </w:r>
            <w:r>
              <w:rPr>
                <w:rFonts w:hint="eastAsia" w:ascii="仿宋_GB2312" w:hAnsi="仿宋_GB2312" w:eastAsia="仿宋_GB2312" w:cs="仿宋_GB2312"/>
                <w:color w:val="000000"/>
                <w:szCs w:val="21"/>
                <w:lang w:val="en-US" w:eastAsia="zh-CN"/>
              </w:rPr>
              <w:t>1.5分，</w:t>
            </w:r>
            <w:r>
              <w:rPr>
                <w:rFonts w:hint="eastAsia" w:ascii="仿宋_GB2312" w:hAnsi="仿宋_GB2312" w:eastAsia="仿宋_GB2312" w:cs="仿宋_GB2312"/>
                <w:color w:val="000000"/>
                <w:szCs w:val="21"/>
                <w:lang w:eastAsia="zh-CN"/>
              </w:rPr>
              <w:t>本项最高得</w:t>
            </w:r>
            <w:r>
              <w:rPr>
                <w:rFonts w:hint="eastAsia" w:ascii="仿宋_GB2312" w:hAnsi="仿宋_GB2312" w:eastAsia="仿宋_GB2312" w:cs="仿宋_GB2312"/>
                <w:color w:val="000000"/>
                <w:szCs w:val="21"/>
                <w:lang w:val="en-US" w:eastAsia="zh-CN"/>
              </w:rPr>
              <w:t>6分。</w:t>
            </w:r>
          </w:p>
          <w:p>
            <w:pPr>
              <w:wordWrap w:val="0"/>
              <w:jc w:val="left"/>
              <w:rPr>
                <w:rFonts w:hint="eastAsia" w:ascii="仿宋_GB2312" w:hAnsi="仿宋_GB2312" w:eastAsia="仿宋_GB2312" w:cs="仿宋_GB2312"/>
                <w:b/>
                <w:bCs/>
                <w:color w:val="000000"/>
                <w:szCs w:val="21"/>
                <w:lang w:val="en-US" w:eastAsia="zh-CN"/>
              </w:rPr>
            </w:pPr>
            <w:r>
              <w:rPr>
                <w:rFonts w:hint="eastAsia" w:ascii="仿宋_GB2312" w:hAnsi="仿宋_GB2312" w:eastAsia="仿宋_GB2312" w:cs="仿宋_GB2312"/>
                <w:b/>
                <w:bCs/>
                <w:color w:val="000000"/>
                <w:szCs w:val="21"/>
                <w:lang w:val="en-US" w:eastAsia="zh-CN"/>
              </w:rPr>
              <w:t>评审资料：</w:t>
            </w:r>
          </w:p>
          <w:p>
            <w:pPr>
              <w:wordWrap w:val="0"/>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1.</w:t>
            </w:r>
            <w:r>
              <w:rPr>
                <w:rFonts w:hint="eastAsia" w:ascii="仿宋_GB2312" w:hAnsi="仿宋_GB2312" w:eastAsia="仿宋_GB2312" w:cs="仿宋_GB2312"/>
                <w:color w:val="000000"/>
                <w:szCs w:val="21"/>
                <w:lang w:eastAsia="zh-CN"/>
              </w:rPr>
              <w:t>相关</w:t>
            </w:r>
            <w:r>
              <w:rPr>
                <w:rFonts w:hint="eastAsia" w:ascii="仿宋_GB2312" w:hAnsi="仿宋_GB2312" w:eastAsia="仿宋_GB2312" w:cs="仿宋_GB2312"/>
                <w:color w:val="000000"/>
                <w:szCs w:val="21"/>
              </w:rPr>
              <w:t>证书</w:t>
            </w:r>
            <w:r>
              <w:rPr>
                <w:rFonts w:hint="eastAsia" w:ascii="仿宋_GB2312" w:hAnsi="仿宋_GB2312" w:eastAsia="仿宋_GB2312" w:cs="仿宋_GB2312"/>
                <w:color w:val="000000"/>
                <w:szCs w:val="21"/>
                <w:lang w:eastAsia="zh-CN"/>
              </w:rPr>
              <w:t>复印件（</w:t>
            </w:r>
            <w:r>
              <w:rPr>
                <w:rFonts w:hint="eastAsia" w:ascii="仿宋_GB2312" w:hAnsi="仿宋_GB2312" w:eastAsia="仿宋_GB2312" w:cs="仿宋_GB2312"/>
                <w:color w:val="000000"/>
                <w:szCs w:val="21"/>
              </w:rPr>
              <w:t>加盖</w:t>
            </w:r>
            <w:r>
              <w:rPr>
                <w:rFonts w:hint="eastAsia" w:ascii="仿宋_GB2312" w:hAnsi="仿宋_GB2312" w:eastAsia="仿宋_GB2312" w:cs="仿宋_GB2312"/>
                <w:color w:val="000000"/>
                <w:szCs w:val="21"/>
                <w:lang w:eastAsia="zh-CN"/>
              </w:rPr>
              <w:t>供应商</w:t>
            </w:r>
            <w:r>
              <w:rPr>
                <w:rFonts w:hint="eastAsia" w:ascii="仿宋_GB2312" w:hAnsi="仿宋_GB2312" w:eastAsia="仿宋_GB2312" w:cs="仿宋_GB2312"/>
                <w:color w:val="000000"/>
                <w:szCs w:val="21"/>
              </w:rPr>
              <w:t>公章</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，原件备查</w:t>
            </w:r>
            <w:r>
              <w:rPr>
                <w:rFonts w:hint="eastAsia" w:ascii="仿宋_GB2312" w:hAnsi="仿宋_GB2312" w:eastAsia="仿宋_GB2312" w:cs="仿宋_GB2312"/>
                <w:color w:val="000000"/>
                <w:szCs w:val="21"/>
                <w:lang w:eastAsia="zh-CN"/>
              </w:rPr>
              <w:t>；</w:t>
            </w:r>
          </w:p>
          <w:p>
            <w:pPr>
              <w:wordWrap w:val="0"/>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社保部门出具的</w:t>
            </w:r>
            <w:r>
              <w:rPr>
                <w:rFonts w:hint="eastAsia" w:ascii="仿宋_GB2312" w:hAnsi="仿宋_GB2312" w:eastAsia="仿宋_GB2312" w:cs="仿宋_GB2312"/>
                <w:color w:val="000000"/>
                <w:szCs w:val="21"/>
                <w:lang w:eastAsia="zh-CN"/>
              </w:rPr>
              <w:t>供应商为</w:t>
            </w:r>
            <w:r>
              <w:rPr>
                <w:rFonts w:hint="eastAsia" w:ascii="仿宋_GB2312" w:hAnsi="仿宋_GB2312" w:eastAsia="仿宋_GB2312" w:cs="仿宋_GB2312"/>
                <w:color w:val="000000"/>
                <w:szCs w:val="21"/>
                <w:lang w:val="en-US" w:eastAsia="zh-CN"/>
              </w:rPr>
              <w:t>项目负责人</w:t>
            </w:r>
            <w:r>
              <w:rPr>
                <w:rFonts w:hint="eastAsia" w:ascii="仿宋_GB2312" w:hAnsi="仿宋_GB2312" w:eastAsia="仿宋_GB2312" w:cs="仿宋_GB2312"/>
                <w:color w:val="000000"/>
                <w:szCs w:val="21"/>
                <w:lang w:eastAsia="zh-CN"/>
              </w:rPr>
              <w:t>缴纳的</w:t>
            </w:r>
            <w:r>
              <w:rPr>
                <w:rFonts w:hint="eastAsia" w:ascii="仿宋_GB2312" w:hAnsi="仿宋_GB2312" w:eastAsia="仿宋_GB2312" w:cs="仿宋_GB2312"/>
                <w:color w:val="000000"/>
                <w:szCs w:val="21"/>
                <w:lang w:val="en-US" w:eastAsia="zh-CN"/>
              </w:rPr>
              <w:t>6个月及以上（包含6个月）社保证明文件，</w:t>
            </w:r>
            <w:r>
              <w:rPr>
                <w:rFonts w:hint="eastAsia" w:ascii="仿宋_GB2312" w:hAnsi="仿宋_GB2312" w:eastAsia="仿宋_GB2312" w:cs="仿宋_GB2312"/>
                <w:color w:val="000000"/>
                <w:szCs w:val="21"/>
                <w:lang w:eastAsia="zh-CN"/>
              </w:rPr>
              <w:t>社保部门出具的供应商</w:t>
            </w:r>
            <w:r>
              <w:rPr>
                <w:rFonts w:hint="eastAsia" w:ascii="仿宋_GB2312" w:hAnsi="仿宋_GB2312" w:eastAsia="仿宋_GB2312" w:cs="仿宋_GB2312"/>
                <w:color w:val="000000"/>
                <w:szCs w:val="21"/>
                <w:lang w:val="en-US" w:eastAsia="zh-CN"/>
              </w:rPr>
              <w:t>为团队成员</w:t>
            </w:r>
            <w:r>
              <w:rPr>
                <w:rFonts w:hint="eastAsia" w:ascii="仿宋_GB2312" w:hAnsi="仿宋_GB2312" w:eastAsia="仿宋_GB2312" w:cs="仿宋_GB2312"/>
                <w:color w:val="000000"/>
                <w:szCs w:val="21"/>
                <w:lang w:eastAsia="zh-CN"/>
              </w:rPr>
              <w:t>缴纳的</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lang w:eastAsia="zh-CN"/>
              </w:rPr>
              <w:t>个月及以上（包含</w:t>
            </w:r>
            <w:r>
              <w:rPr>
                <w:rFonts w:hint="eastAsia" w:ascii="仿宋_GB2312" w:hAnsi="仿宋_GB2312" w:eastAsia="仿宋_GB2312" w:cs="仿宋_GB2312"/>
                <w:color w:val="000000"/>
                <w:szCs w:val="21"/>
                <w:lang w:val="en-US" w:eastAsia="zh-CN"/>
              </w:rPr>
              <w:t>3个月</w:t>
            </w:r>
            <w:r>
              <w:rPr>
                <w:rFonts w:hint="eastAsia" w:ascii="仿宋_GB2312" w:hAnsi="仿宋_GB2312" w:eastAsia="仿宋_GB2312" w:cs="仿宋_GB2312"/>
                <w:color w:val="000000"/>
                <w:szCs w:val="21"/>
                <w:lang w:eastAsia="zh-CN"/>
              </w:rPr>
              <w:t>）社保证明文件；</w:t>
            </w:r>
          </w:p>
          <w:p>
            <w:pPr>
              <w:wordWrap w:val="0"/>
              <w:jc w:val="lef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3.同一名团队成员的证书不可重复计分。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7" w:type="dxa"/>
            <w:noWrap w:val="0"/>
            <w:vAlign w:val="center"/>
          </w:tcPr>
          <w:p>
            <w:pPr>
              <w:spacing w:line="36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6</w:t>
            </w:r>
          </w:p>
        </w:tc>
        <w:tc>
          <w:tcPr>
            <w:tcW w:w="1466" w:type="dxa"/>
            <w:noWrap w:val="0"/>
            <w:vAlign w:val="center"/>
          </w:tcPr>
          <w:p>
            <w:pPr>
              <w:spacing w:line="360" w:lineRule="auto"/>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项目</w:t>
            </w:r>
            <w:r>
              <w:rPr>
                <w:rFonts w:hint="eastAsia" w:ascii="仿宋_GB2312" w:hAnsi="仿宋_GB2312" w:eastAsia="仿宋_GB2312" w:cs="仿宋_GB2312"/>
                <w:szCs w:val="21"/>
                <w:lang w:eastAsia="zh-CN"/>
              </w:rPr>
              <w:t>服务</w:t>
            </w:r>
          </w:p>
          <w:p>
            <w:pPr>
              <w:spacing w:line="360" w:lineRule="auto"/>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Cs w:val="21"/>
              </w:rPr>
              <w:t>方案</w:t>
            </w:r>
          </w:p>
        </w:tc>
        <w:tc>
          <w:tcPr>
            <w:tcW w:w="1017" w:type="dx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Cs w:val="21"/>
                <w:u w:val="none"/>
                <w:lang w:val="en-US" w:eastAsia="zh-CN"/>
              </w:rPr>
              <w:t>30</w:t>
            </w:r>
          </w:p>
        </w:tc>
        <w:tc>
          <w:tcPr>
            <w:tcW w:w="5183" w:type="dxa"/>
            <w:noWrap w:val="0"/>
            <w:vAlign w:val="center"/>
          </w:tcPr>
          <w:p>
            <w:pPr>
              <w:wordWrap/>
              <w:snapToGrid/>
              <w:spacing w:line="30" w:lineRule="atLeas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rPr>
              <w:t>要求供应商能够充分理解项目背景和目标，</w:t>
            </w:r>
            <w:r>
              <w:rPr>
                <w:rFonts w:hint="eastAsia" w:ascii="仿宋_GB2312" w:hAnsi="仿宋_GB2312" w:eastAsia="仿宋_GB2312" w:cs="仿宋_GB2312"/>
                <w:lang w:eastAsia="zh-CN"/>
              </w:rPr>
              <w:t>对</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的实施提出具体的方案</w:t>
            </w:r>
            <w:r>
              <w:rPr>
                <w:rFonts w:hint="eastAsia" w:ascii="仿宋_GB2312" w:hAnsi="仿宋_GB2312" w:eastAsia="仿宋_GB2312" w:cs="仿宋_GB2312"/>
              </w:rPr>
              <w:t>，</w:t>
            </w:r>
            <w:r>
              <w:rPr>
                <w:rFonts w:hint="eastAsia" w:ascii="仿宋_GB2312" w:hAnsi="仿宋_GB2312" w:eastAsia="仿宋_GB2312" w:cs="仿宋_GB2312"/>
                <w:lang w:eastAsia="zh-CN"/>
              </w:rPr>
              <w:t>安排合理可行的质量保障措施，</w:t>
            </w:r>
            <w:r>
              <w:rPr>
                <w:rFonts w:hint="eastAsia" w:ascii="仿宋_GB2312" w:hAnsi="仿宋_GB2312" w:eastAsia="仿宋_GB2312" w:cs="仿宋_GB2312"/>
              </w:rPr>
              <w:t>综合评价供应商关于项目的</w:t>
            </w:r>
            <w:r>
              <w:rPr>
                <w:rFonts w:hint="eastAsia" w:ascii="仿宋_GB2312" w:hAnsi="仿宋_GB2312" w:eastAsia="仿宋_GB2312" w:cs="仿宋_GB2312"/>
                <w:lang w:eastAsia="zh-CN"/>
              </w:rPr>
              <w:t>理解、实施</w:t>
            </w:r>
            <w:r>
              <w:rPr>
                <w:rFonts w:hint="eastAsia" w:ascii="仿宋_GB2312" w:hAnsi="仿宋_GB2312" w:eastAsia="仿宋_GB2312" w:cs="仿宋_GB2312"/>
              </w:rPr>
              <w:t>方案、</w:t>
            </w:r>
            <w:r>
              <w:rPr>
                <w:rFonts w:hint="eastAsia" w:ascii="仿宋_GB2312" w:hAnsi="仿宋_GB2312" w:eastAsia="仿宋_GB2312" w:cs="仿宋_GB2312"/>
                <w:lang w:eastAsia="zh-CN"/>
              </w:rPr>
              <w:t>质量保障措施方案</w:t>
            </w:r>
            <w:r>
              <w:rPr>
                <w:rFonts w:hint="eastAsia" w:ascii="仿宋_GB2312" w:hAnsi="仿宋_GB2312" w:eastAsia="仿宋_GB2312" w:cs="仿宋_GB2312"/>
              </w:rPr>
              <w:t>情况</w:t>
            </w:r>
            <w:r>
              <w:rPr>
                <w:rFonts w:hint="eastAsia" w:ascii="仿宋_GB2312" w:hAnsi="仿宋_GB2312" w:eastAsia="仿宋_GB2312" w:cs="仿宋_GB2312"/>
                <w:color w:val="000000"/>
                <w:szCs w:val="21"/>
                <w:lang w:eastAsia="zh-CN"/>
              </w:rPr>
              <w:t>。服务方案包含以下内容：</w:t>
            </w:r>
          </w:p>
          <w:p>
            <w:pPr>
              <w:numPr>
                <w:numId w:val="0"/>
              </w:numPr>
              <w:wordWrap/>
              <w:snapToGrid/>
              <w:spacing w:line="30" w:lineRule="atLeas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1.项目理解；</w:t>
            </w:r>
          </w:p>
          <w:p>
            <w:pPr>
              <w:numPr>
                <w:numId w:val="0"/>
              </w:numPr>
              <w:wordWrap/>
              <w:snapToGrid/>
              <w:spacing w:line="30" w:lineRule="atLeas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2.项目实施方案；</w:t>
            </w:r>
          </w:p>
          <w:p>
            <w:pPr>
              <w:numPr>
                <w:numId w:val="0"/>
              </w:numPr>
              <w:wordWrap/>
              <w:snapToGrid/>
              <w:spacing w:line="30" w:lineRule="atLeas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质量保障措施方案。</w:t>
            </w:r>
          </w:p>
          <w:p>
            <w:pPr>
              <w:wordWrap/>
              <w:snapToGrid/>
              <w:spacing w:line="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服务方案提供以上全部三项内容得</w:t>
            </w:r>
            <w:r>
              <w:rPr>
                <w:rFonts w:hint="eastAsia" w:ascii="仿宋_GB2312" w:hAnsi="仿宋_GB2312" w:eastAsia="仿宋_GB2312" w:cs="仿宋_GB2312"/>
                <w:lang w:val="en-US" w:eastAsia="zh-CN"/>
              </w:rPr>
              <w:t>18分，提供任意两项内容得12分，提供任意一项内容得6分，未提供的不得分。</w:t>
            </w:r>
          </w:p>
          <w:p>
            <w:pPr>
              <w:wordWrap/>
              <w:snapToGrid/>
              <w:spacing w:line="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在此基础上，根据各供应商的具体响应内容按照以下因素指标进一步评审：</w:t>
            </w:r>
          </w:p>
          <w:p>
            <w:pPr>
              <w:wordWrap/>
              <w:spacing w:line="30" w:lineRule="atLeast"/>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方案整体科学合理、针对性强、可操作性强，</w:t>
            </w:r>
            <w:r>
              <w:rPr>
                <w:rFonts w:hint="eastAsia" w:ascii="仿宋_GB2312" w:hAnsi="仿宋_GB2312" w:eastAsia="仿宋_GB2312" w:cs="仿宋_GB2312"/>
                <w:lang w:eastAsia="zh-CN"/>
              </w:rPr>
              <w:t>评为</w:t>
            </w:r>
            <w:r>
              <w:rPr>
                <w:rFonts w:hint="eastAsia" w:ascii="仿宋_GB2312" w:hAnsi="仿宋_GB2312" w:eastAsia="仿宋_GB2312" w:cs="仿宋_GB2312"/>
              </w:rPr>
              <w:t>优秀，得</w:t>
            </w:r>
            <w:r>
              <w:rPr>
                <w:rFonts w:hint="eastAsia" w:ascii="仿宋_GB2312" w:hAnsi="仿宋_GB2312" w:eastAsia="仿宋_GB2312" w:cs="仿宋_GB2312"/>
                <w:lang w:val="en-US" w:eastAsia="zh-CN"/>
              </w:rPr>
              <w:t>12</w:t>
            </w:r>
            <w:r>
              <w:rPr>
                <w:rFonts w:hint="eastAsia" w:ascii="仿宋_GB2312" w:hAnsi="仿宋_GB2312" w:eastAsia="仿宋_GB2312" w:cs="仿宋_GB2312"/>
              </w:rPr>
              <w:t>分；</w:t>
            </w:r>
          </w:p>
          <w:p>
            <w:pPr>
              <w:wordWrap/>
              <w:spacing w:line="30" w:lineRule="atLeast"/>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方案较合理、有一定针对性、一定可操作性，</w:t>
            </w:r>
            <w:r>
              <w:rPr>
                <w:rFonts w:hint="eastAsia" w:ascii="仿宋_GB2312" w:hAnsi="仿宋_GB2312" w:eastAsia="仿宋_GB2312" w:cs="仿宋_GB2312"/>
                <w:lang w:eastAsia="zh-CN"/>
              </w:rPr>
              <w:t>评为良好，得</w:t>
            </w:r>
            <w:r>
              <w:rPr>
                <w:rFonts w:hint="eastAsia" w:ascii="仿宋_GB2312" w:hAnsi="仿宋_GB2312" w:eastAsia="仿宋_GB2312" w:cs="仿宋_GB2312"/>
                <w:lang w:val="en-US" w:eastAsia="zh-CN"/>
              </w:rPr>
              <w:t>8分</w:t>
            </w:r>
            <w:r>
              <w:rPr>
                <w:rFonts w:hint="eastAsia" w:ascii="仿宋_GB2312" w:hAnsi="仿宋_GB2312" w:eastAsia="仿宋_GB2312" w:cs="仿宋_GB2312"/>
              </w:rPr>
              <w:t>；</w:t>
            </w:r>
          </w:p>
          <w:p>
            <w:pPr>
              <w:spacing w:line="30" w:lineRule="atLeast"/>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方案不尽合理、针对性一般、可操作性一般，</w:t>
            </w:r>
            <w:r>
              <w:rPr>
                <w:rFonts w:hint="eastAsia" w:ascii="仿宋_GB2312" w:hAnsi="仿宋_GB2312" w:eastAsia="仿宋_GB2312" w:cs="仿宋_GB2312"/>
                <w:lang w:eastAsia="zh-CN"/>
              </w:rPr>
              <w:t>评为</w:t>
            </w:r>
            <w:r>
              <w:rPr>
                <w:rFonts w:hint="eastAsia" w:ascii="仿宋_GB2312" w:hAnsi="仿宋_GB2312" w:eastAsia="仿宋_GB2312" w:cs="仿宋_GB2312"/>
              </w:rPr>
              <w:t>一般，得</w:t>
            </w:r>
            <w:r>
              <w:rPr>
                <w:rFonts w:hint="eastAsia" w:ascii="仿宋_GB2312" w:hAnsi="仿宋_GB2312" w:eastAsia="仿宋_GB2312" w:cs="仿宋_GB2312"/>
                <w:lang w:eastAsia="zh-CN"/>
              </w:rPr>
              <w:t>4</w:t>
            </w:r>
            <w:r>
              <w:rPr>
                <w:rFonts w:hint="eastAsia" w:ascii="仿宋_GB2312" w:hAnsi="仿宋_GB2312" w:eastAsia="仿宋_GB2312" w:cs="仿宋_GB2312"/>
              </w:rPr>
              <w:t>分；</w:t>
            </w:r>
          </w:p>
          <w:p>
            <w:pPr>
              <w:autoSpaceDE/>
              <w:autoSpaceDN/>
              <w:adjustRightInd/>
              <w:snapToGrid/>
              <w:spacing w:line="30" w:lineRule="atLeas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未提供方案的，得0分。</w:t>
            </w:r>
          </w:p>
          <w:p>
            <w:pPr>
              <w:pStyle w:val="2"/>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b/>
                <w:bCs/>
              </w:rPr>
              <w:t>评审材料：</w:t>
            </w:r>
            <w:r>
              <w:rPr>
                <w:rFonts w:hint="eastAsia" w:ascii="仿宋_GB2312" w:hAnsi="仿宋_GB2312" w:eastAsia="仿宋_GB2312" w:cs="仿宋_GB2312"/>
              </w:rPr>
              <w:t>项目</w:t>
            </w:r>
            <w:r>
              <w:rPr>
                <w:rFonts w:hint="eastAsia" w:ascii="仿宋_GB2312" w:hAnsi="仿宋_GB2312" w:eastAsia="仿宋_GB2312" w:cs="仿宋_GB2312"/>
                <w:lang w:eastAsia="zh-CN"/>
              </w:rPr>
              <w:t>服务</w:t>
            </w:r>
            <w:r>
              <w:rPr>
                <w:rFonts w:hint="eastAsia" w:ascii="仿宋_GB2312" w:hAnsi="仿宋_GB2312" w:eastAsia="仿宋_GB2312" w:cs="仿宋_GB2312"/>
              </w:rPr>
              <w:t>方案</w:t>
            </w:r>
          </w:p>
        </w:tc>
      </w:tr>
    </w:tbl>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p>
    <w:sectPr>
      <w:headerReference r:id="rId4" w:type="first"/>
      <w:footerReference r:id="rId5" w:type="first"/>
      <w:headerReference r:id="rId3" w:type="default"/>
      <w:pgSz w:w="11906" w:h="16838"/>
      <w:pgMar w:top="2098" w:right="1474" w:bottom="1985" w:left="1588"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3Font_15">
    <w:altName w:val="华文仿宋"/>
    <w:panose1 w:val="00000000000000000000"/>
    <w:charset w:val="00"/>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B82BA"/>
    <w:rsid w:val="00040EED"/>
    <w:rsid w:val="00056207"/>
    <w:rsid w:val="000D74F5"/>
    <w:rsid w:val="000E631B"/>
    <w:rsid w:val="00155684"/>
    <w:rsid w:val="00161B58"/>
    <w:rsid w:val="00196F6A"/>
    <w:rsid w:val="002441F3"/>
    <w:rsid w:val="00246613"/>
    <w:rsid w:val="0035344C"/>
    <w:rsid w:val="003A2089"/>
    <w:rsid w:val="003B6CDD"/>
    <w:rsid w:val="00426AB7"/>
    <w:rsid w:val="00463033"/>
    <w:rsid w:val="00464C06"/>
    <w:rsid w:val="004A6EDA"/>
    <w:rsid w:val="004E3F5C"/>
    <w:rsid w:val="00592E76"/>
    <w:rsid w:val="006E62CE"/>
    <w:rsid w:val="00742044"/>
    <w:rsid w:val="0078249E"/>
    <w:rsid w:val="00786C88"/>
    <w:rsid w:val="008066E1"/>
    <w:rsid w:val="008417D4"/>
    <w:rsid w:val="008A5085"/>
    <w:rsid w:val="0090547C"/>
    <w:rsid w:val="00915620"/>
    <w:rsid w:val="00982769"/>
    <w:rsid w:val="009A3E0B"/>
    <w:rsid w:val="009A791B"/>
    <w:rsid w:val="009B2BDE"/>
    <w:rsid w:val="00A44D9D"/>
    <w:rsid w:val="00AB616A"/>
    <w:rsid w:val="00AF5EFC"/>
    <w:rsid w:val="00B74EFA"/>
    <w:rsid w:val="00BA2045"/>
    <w:rsid w:val="00BE6847"/>
    <w:rsid w:val="00D72325"/>
    <w:rsid w:val="00DD0F44"/>
    <w:rsid w:val="00E202FB"/>
    <w:rsid w:val="00E87FA9"/>
    <w:rsid w:val="00F17351"/>
    <w:rsid w:val="00F81577"/>
    <w:rsid w:val="00FF389C"/>
    <w:rsid w:val="35ED8042"/>
    <w:rsid w:val="5DDED4D9"/>
    <w:rsid w:val="5EEB82BA"/>
    <w:rsid w:val="5F6F8474"/>
    <w:rsid w:val="7F6D7415"/>
    <w:rsid w:val="7FDF1FAF"/>
    <w:rsid w:val="DCDEE63D"/>
    <w:rsid w:val="F3EB8937"/>
    <w:rsid w:val="F7F3C504"/>
    <w:rsid w:val="FD3F63AC"/>
    <w:rsid w:val="FEBE88CF"/>
    <w:rsid w:val="FFDB8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3">
    <w:name w:val="Date"/>
    <w:basedOn w:val="1"/>
    <w:next w:val="1"/>
    <w:link w:val="9"/>
    <w:unhideWhenUsed/>
    <w:qFormat/>
    <w:uiPriority w:val="99"/>
    <w:pPr>
      <w:ind w:left="100" w:leftChars="2500"/>
    </w:pPr>
  </w:style>
  <w:style w:type="paragraph" w:styleId="4">
    <w:name w:val="Balloon Text"/>
    <w:basedOn w:val="1"/>
    <w:link w:val="10"/>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日期 Char"/>
    <w:basedOn w:val="8"/>
    <w:link w:val="3"/>
    <w:semiHidden/>
    <w:qFormat/>
    <w:uiPriority w:val="99"/>
  </w:style>
  <w:style w:type="character" w:customStyle="1" w:styleId="10">
    <w:name w:val="批注框文本 Char"/>
    <w:basedOn w:val="8"/>
    <w:link w:val="4"/>
    <w:semiHidden/>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页眉 Char"/>
    <w:basedOn w:val="8"/>
    <w:link w:val="6"/>
    <w:semiHidden/>
    <w:qFormat/>
    <w:uiPriority w:val="99"/>
    <w:rPr>
      <w:sz w:val="18"/>
      <w:szCs w:val="18"/>
    </w:rPr>
  </w:style>
  <w:style w:type="paragraph" w:customStyle="1" w:styleId="13">
    <w:name w:val="文件大标题"/>
    <w:basedOn w:val="1"/>
    <w:qFormat/>
    <w:uiPriority w:val="0"/>
    <w:pPr>
      <w:spacing w:line="560" w:lineRule="exact"/>
      <w:jc w:val="center"/>
    </w:pPr>
    <w:rPr>
      <w:rFonts w:ascii="方正小标宋简体" w:hAnsi="方正小标宋简体" w:eastAsia="方正小标宋简体"/>
      <w:sz w:val="44"/>
    </w:rPr>
  </w:style>
  <w:style w:type="paragraph" w:customStyle="1" w:styleId="14">
    <w:name w:val="文件正文"/>
    <w:basedOn w:val="1"/>
    <w:qFormat/>
    <w:uiPriority w:val="0"/>
    <w:pPr>
      <w:spacing w:line="560" w:lineRule="exact"/>
      <w:ind w:firstLine="200" w:firstLineChars="200"/>
    </w:pPr>
    <w:rPr>
      <w:rFonts w:ascii="仿宋_GB2312" w:hAnsi="仿宋_GB2312" w:eastAsia="仿宋_GB2312"/>
      <w:sz w:val="32"/>
    </w:rPr>
  </w:style>
  <w:style w:type="paragraph" w:customStyle="1" w:styleId="15">
    <w:name w:val="文件一级标题"/>
    <w:basedOn w:val="1"/>
    <w:qFormat/>
    <w:uiPriority w:val="0"/>
    <w:pPr>
      <w:spacing w:line="560" w:lineRule="exact"/>
      <w:ind w:firstLine="200" w:firstLineChars="200"/>
    </w:pPr>
    <w:rPr>
      <w:rFonts w:eastAsia="黑体"/>
      <w:sz w:val="32"/>
    </w:rPr>
  </w:style>
  <w:style w:type="paragraph" w:customStyle="1" w:styleId="16">
    <w:name w:val="文件二级标题"/>
    <w:basedOn w:val="1"/>
    <w:qFormat/>
    <w:uiPriority w:val="0"/>
    <w:pPr>
      <w:spacing w:line="560" w:lineRule="exact"/>
      <w:ind w:firstLine="200" w:firstLineChars="200"/>
    </w:pPr>
    <w:rPr>
      <w:rFonts w:eastAsia="楷体"/>
      <w:sz w:val="32"/>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fengruolin/&#26700;&#38754;/&#26032;&#24314;&#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新建公文.wpt</Template>
  <Pages>2</Pages>
  <Words>9</Words>
  <Characters>9</Characters>
  <Lines>1</Lines>
  <Paragraphs>1</Paragraphs>
  <TotalTime>2</TotalTime>
  <ScaleCrop>false</ScaleCrop>
  <LinksUpToDate>false</LinksUpToDate>
  <CharactersWithSpaces>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2025-03-13T23:46:00Z</dcterms:created>
  <dc:creator>冯若琳</dc:creator>
  <cp:lastModifiedBy>徐伟婷</cp:lastModifiedBy>
  <dcterms:modified xsi:type="dcterms:W3CDTF">2025-03-13T15:51:33Z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136D621B6DCC21E0438DD2679738BBC3</vt:lpwstr>
  </property>
</Properties>
</file>