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杨梅坑片区土地整备利益统筹项目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sz w:val="44"/>
          <w:szCs w:val="44"/>
        </w:rPr>
        <w:t>测绘服务</w:t>
      </w:r>
      <w:r>
        <w:rPr>
          <w:rFonts w:hint="eastAsia" w:ascii="方正小标宋简体" w:hAnsi="方正小标宋简体" w:eastAsia="方正小标宋简体" w:cs="方正小标宋简体"/>
          <w:color w:val="auto"/>
          <w:kern w:val="2"/>
          <w:sz w:val="44"/>
          <w:szCs w:val="44"/>
          <w:lang w:val="en-US" w:eastAsia="zh-CN" w:bidi="ar-SA"/>
        </w:rPr>
        <w:t>综合评分表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tbl>
      <w:tblPr>
        <w:tblStyle w:val="8"/>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66"/>
        <w:gridCol w:w="1017"/>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7" w:type="dxa"/>
            <w:noWrap w:val="0"/>
            <w:vAlign w:val="center"/>
          </w:tcPr>
          <w:p>
            <w:pPr>
              <w:widowControl w:val="0"/>
              <w:snapToGrid/>
              <w:spacing w:line="360" w:lineRule="auto"/>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kern w:val="2"/>
                <w:sz w:val="21"/>
                <w:szCs w:val="21"/>
                <w:lang w:val="en-US" w:eastAsia="zh-CN" w:bidi="ar-SA"/>
              </w:rPr>
              <w:t>序号</w:t>
            </w:r>
          </w:p>
        </w:tc>
        <w:tc>
          <w:tcPr>
            <w:tcW w:w="1466" w:type="dxa"/>
            <w:noWrap w:val="0"/>
            <w:vAlign w:val="center"/>
          </w:tcPr>
          <w:p>
            <w:pPr>
              <w:widowControl w:val="0"/>
              <w:snapToGrid/>
              <w:spacing w:line="360" w:lineRule="auto"/>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kern w:val="2"/>
                <w:sz w:val="21"/>
                <w:szCs w:val="21"/>
                <w:lang w:val="en-US" w:eastAsia="zh-CN" w:bidi="ar-SA"/>
              </w:rPr>
              <w:t>评分项</w:t>
            </w:r>
          </w:p>
        </w:tc>
        <w:tc>
          <w:tcPr>
            <w:tcW w:w="1017" w:type="dxa"/>
            <w:noWrap w:val="0"/>
            <w:vAlign w:val="center"/>
          </w:tcPr>
          <w:p>
            <w:pPr>
              <w:widowControl w:val="0"/>
              <w:snapToGrid/>
              <w:spacing w:line="360" w:lineRule="auto"/>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kern w:val="2"/>
                <w:sz w:val="21"/>
                <w:szCs w:val="21"/>
                <w:lang w:val="en-US" w:eastAsia="zh-CN" w:bidi="ar-SA"/>
              </w:rPr>
              <w:t>分值</w:t>
            </w:r>
          </w:p>
        </w:tc>
        <w:tc>
          <w:tcPr>
            <w:tcW w:w="5183" w:type="dxa"/>
            <w:noWrap w:val="0"/>
            <w:vAlign w:val="center"/>
          </w:tcPr>
          <w:p>
            <w:pPr>
              <w:widowControl w:val="0"/>
              <w:snapToGrid/>
              <w:spacing w:line="360" w:lineRule="auto"/>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kern w:val="2"/>
                <w:sz w:val="21"/>
                <w:szCs w:val="21"/>
                <w:lang w:val="en-US" w:eastAsia="zh-CN" w:bidi="ar-SA"/>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6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1466" w:type="dxa"/>
            <w:noWrap w:val="0"/>
            <w:vAlign w:val="center"/>
          </w:tcPr>
          <w:p>
            <w:pPr>
              <w:widowControl w:val="0"/>
              <w:autoSpaceDE/>
              <w:autoSpaceDN/>
              <w:adjustRightInd/>
              <w:snapToGrid/>
              <w:spacing w:line="30" w:lineRule="atLeas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价格</w:t>
            </w:r>
          </w:p>
        </w:tc>
        <w:tc>
          <w:tcPr>
            <w:tcW w:w="101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w:t>
            </w:r>
          </w:p>
        </w:tc>
        <w:tc>
          <w:tcPr>
            <w:tcW w:w="5183" w:type="dxa"/>
            <w:noWrap w:val="0"/>
            <w:vAlign w:val="center"/>
          </w:tcPr>
          <w:p>
            <w:pPr>
              <w:widowControl w:val="0"/>
              <w:wordWrap/>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满足采购文件要求且报价最低的价格为评标基准价，其价格分为满分。其他供应商的价格分统一按照下列公式计算：</w:t>
            </w:r>
          </w:p>
          <w:p>
            <w:pPr>
              <w:widowControl w:val="0"/>
              <w:wordWrap/>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报价得分=（评标基准价／投标报价）×价格分分值</w:t>
            </w:r>
          </w:p>
          <w:p>
            <w:pPr>
              <w:pStyle w:val="3"/>
              <w:widowControl w:val="0"/>
              <w:snapToGrid/>
              <w:spacing w:after="0"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b/>
                <w:bCs/>
                <w:kern w:val="2"/>
                <w:sz w:val="21"/>
                <w:szCs w:val="21"/>
                <w:lang w:val="en-US" w:eastAsia="zh-CN" w:bidi="ar-SA"/>
              </w:rPr>
              <w:t>评审材料：</w:t>
            </w:r>
            <w:r>
              <w:rPr>
                <w:rFonts w:hint="eastAsia" w:ascii="仿宋_GB2312" w:hAnsi="仿宋_GB2312" w:eastAsia="仿宋_GB2312" w:cs="仿宋_GB2312"/>
                <w:kern w:val="2"/>
                <w:sz w:val="21"/>
                <w:szCs w:val="21"/>
                <w:lang w:val="en-US" w:eastAsia="zh-CN" w:bidi="ar-SA"/>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6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1466" w:type="dxa"/>
            <w:noWrap w:val="0"/>
            <w:vAlign w:val="center"/>
          </w:tcPr>
          <w:p>
            <w:pPr>
              <w:widowControl w:val="0"/>
              <w:autoSpaceDE/>
              <w:autoSpaceDN/>
              <w:adjustRightInd/>
              <w:snapToGrid/>
              <w:spacing w:line="30" w:lineRule="atLeas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公司资质</w:t>
            </w:r>
          </w:p>
        </w:tc>
        <w:tc>
          <w:tcPr>
            <w:tcW w:w="101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10</w:t>
            </w:r>
          </w:p>
        </w:tc>
        <w:tc>
          <w:tcPr>
            <w:tcW w:w="5183" w:type="dxa"/>
            <w:noWrap w:val="0"/>
            <w:vAlign w:val="center"/>
          </w:tcPr>
          <w:p>
            <w:pPr>
              <w:widowControl w:val="0"/>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供应商具有有效的甲级测绘资质证书的得10分。</w:t>
            </w:r>
          </w:p>
          <w:p>
            <w:pPr>
              <w:pStyle w:val="3"/>
              <w:widowControl w:val="0"/>
              <w:snapToGrid/>
              <w:spacing w:after="0"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评分中出现无证明材料或证明材料不符，一律做不得分处理。</w:t>
            </w:r>
          </w:p>
          <w:p>
            <w:pPr>
              <w:pStyle w:val="3"/>
              <w:widowControl w:val="0"/>
              <w:snapToGrid/>
              <w:spacing w:after="0" w:line="30" w:lineRule="atLeast"/>
              <w:jc w:val="both"/>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评审材料：</w:t>
            </w:r>
            <w:r>
              <w:rPr>
                <w:rFonts w:hint="eastAsia" w:ascii="仿宋_GB2312" w:hAnsi="仿宋_GB2312" w:eastAsia="仿宋_GB2312" w:cs="仿宋_GB2312"/>
                <w:kern w:val="2"/>
                <w:sz w:val="21"/>
                <w:szCs w:val="22"/>
                <w:lang w:val="en-US" w:eastAsia="zh-CN" w:bidi="ar-SA"/>
              </w:rPr>
              <w:t>公司资质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86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466" w:type="dxa"/>
            <w:noWrap w:val="0"/>
            <w:vAlign w:val="center"/>
          </w:tcPr>
          <w:p>
            <w:pPr>
              <w:widowControl w:val="0"/>
              <w:snapToGrid/>
              <w:spacing w:line="30" w:lineRule="atLeas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业绩经验</w:t>
            </w:r>
          </w:p>
        </w:tc>
        <w:tc>
          <w:tcPr>
            <w:tcW w:w="101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20</w:t>
            </w:r>
          </w:p>
        </w:tc>
        <w:tc>
          <w:tcPr>
            <w:tcW w:w="5183" w:type="dxa"/>
            <w:noWrap w:val="0"/>
            <w:vAlign w:val="center"/>
          </w:tcPr>
          <w:p>
            <w:pPr>
              <w:widowControl w:val="0"/>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供应商自2022年1月1日至本项目投标截止日（以合同签订日期为准），具有行政事业单位的土地整备或利益统筹或旧村改造或土地征收项目的测绘类服务业绩，每提供一个得4分，本小项累计最高20分。</w:t>
            </w:r>
          </w:p>
          <w:p>
            <w:pPr>
              <w:pStyle w:val="3"/>
              <w:widowControl w:val="0"/>
              <w:snapToGrid/>
              <w:spacing w:after="0"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需提供合同关键页扫描件（包括但不限于合同首页、合同标的、签订时间、签字盖章页）</w:t>
            </w:r>
          </w:p>
          <w:p>
            <w:pPr>
              <w:widowControl w:val="0"/>
              <w:wordWrap/>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本项累计最高得分20分。</w:t>
            </w:r>
          </w:p>
          <w:p>
            <w:pPr>
              <w:pStyle w:val="3"/>
              <w:widowControl w:val="0"/>
              <w:snapToGrid/>
              <w:spacing w:after="0"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评分中出现无证明材料或证明材料不符，一律做不得分处理。</w:t>
            </w:r>
          </w:p>
          <w:p>
            <w:pPr>
              <w:pStyle w:val="3"/>
              <w:widowControl w:val="0"/>
              <w:snapToGrid/>
              <w:spacing w:after="0"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评审材料：</w:t>
            </w:r>
            <w:r>
              <w:rPr>
                <w:rFonts w:hint="eastAsia" w:ascii="仿宋_GB2312" w:hAnsi="仿宋_GB2312" w:eastAsia="仿宋_GB2312" w:cs="仿宋_GB2312"/>
                <w:kern w:val="2"/>
                <w:sz w:val="21"/>
                <w:szCs w:val="22"/>
                <w:lang w:val="en-US" w:eastAsia="zh-CN" w:bidi="ar-SA"/>
              </w:rPr>
              <w:t>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6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p>
        </w:tc>
        <w:tc>
          <w:tcPr>
            <w:tcW w:w="1466" w:type="dxa"/>
            <w:noWrap w:val="0"/>
            <w:vAlign w:val="center"/>
          </w:tcPr>
          <w:p>
            <w:pPr>
              <w:widowControl w:val="0"/>
              <w:tabs>
                <w:tab w:val="left" w:pos="426"/>
              </w:tabs>
              <w:wordWrap/>
              <w:snapToGrid/>
              <w:spacing w:line="30" w:lineRule="atLeas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1"/>
                <w:szCs w:val="21"/>
                <w:highlight w:val="none"/>
                <w:lang w:val="en-US" w:eastAsia="zh-CN" w:bidi="ar-SA"/>
              </w:rPr>
              <w:t>履约评价</w:t>
            </w:r>
          </w:p>
        </w:tc>
        <w:tc>
          <w:tcPr>
            <w:tcW w:w="1017" w:type="dxa"/>
            <w:noWrap w:val="0"/>
            <w:vAlign w:val="center"/>
          </w:tcPr>
          <w:p>
            <w:pPr>
              <w:widowControl w:val="0"/>
              <w:tabs>
                <w:tab w:val="left" w:pos="426"/>
              </w:tabs>
              <w:wordWrap/>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10</w:t>
            </w:r>
          </w:p>
        </w:tc>
        <w:tc>
          <w:tcPr>
            <w:tcW w:w="5183" w:type="dxa"/>
            <w:noWrap w:val="0"/>
            <w:vAlign w:val="top"/>
          </w:tcPr>
          <w:p>
            <w:pPr>
              <w:widowControl w:val="0"/>
              <w:tabs>
                <w:tab w:val="left" w:pos="426"/>
              </w:tabs>
              <w:snapToGrid/>
              <w:spacing w:line="30" w:lineRule="atLeast"/>
              <w:ind w:firstLine="0" w:firstLineChars="0"/>
              <w:jc w:val="both"/>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lang w:val="en-US" w:eastAsia="zh-CN" w:bidi="ar-SA"/>
              </w:rPr>
              <w:t>供应商</w:t>
            </w:r>
            <w:r>
              <w:rPr>
                <w:rFonts w:hint="eastAsia" w:ascii="仿宋_GB2312" w:hAnsi="仿宋_GB2312" w:eastAsia="仿宋_GB2312" w:cs="仿宋_GB2312"/>
                <w:b w:val="0"/>
                <w:bCs w:val="0"/>
                <w:color w:val="000000"/>
                <w:kern w:val="2"/>
                <w:sz w:val="21"/>
                <w:szCs w:val="21"/>
                <w:highlight w:val="none"/>
                <w:lang w:val="en-US" w:eastAsia="zh-CN" w:bidi="ar-SA"/>
              </w:rPr>
              <w:t>在上述“业绩经验”评分项中参加评分并被认定有效的业绩（且获得评分），能够提供甲方出具的履约评价书，且评价为优秀的，每个得2分，评价为良好的，每个得1分，其他情况得0分；最高得10分。</w:t>
            </w:r>
            <w:r>
              <w:rPr>
                <w:rFonts w:hint="eastAsia" w:ascii="仿宋_GB2312" w:hAnsi="仿宋_GB2312" w:eastAsia="仿宋_GB2312" w:cs="仿宋_GB2312"/>
                <w:b w:val="0"/>
                <w:bCs w:val="0"/>
                <w:color w:val="000000"/>
                <w:kern w:val="2"/>
                <w:sz w:val="21"/>
                <w:szCs w:val="21"/>
                <w:highlight w:val="none"/>
                <w:lang w:val="en-US" w:eastAsia="zh-CN" w:bidi="ar-SA"/>
              </w:rPr>
              <w:br w:type="textWrapping"/>
            </w:r>
            <w:r>
              <w:rPr>
                <w:rFonts w:hint="eastAsia" w:ascii="仿宋_GB2312" w:hAnsi="仿宋_GB2312" w:eastAsia="仿宋_GB2312" w:cs="仿宋_GB2312"/>
                <w:b w:val="0"/>
                <w:bCs w:val="0"/>
                <w:color w:val="000000"/>
                <w:kern w:val="2"/>
                <w:sz w:val="21"/>
                <w:szCs w:val="21"/>
                <w:highlight w:val="none"/>
                <w:lang w:val="en-US" w:eastAsia="zh-CN" w:bidi="ar-SA"/>
              </w:rPr>
              <w:t>不提供的，得0分。</w:t>
            </w:r>
          </w:p>
          <w:p>
            <w:pPr>
              <w:widowControl w:val="0"/>
              <w:tabs>
                <w:tab w:val="left" w:pos="426"/>
              </w:tabs>
              <w:snapToGrid/>
              <w:spacing w:line="30" w:lineRule="atLeast"/>
              <w:ind w:firstLine="0" w:firstLineChars="0"/>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评审材料：</w:t>
            </w:r>
            <w:r>
              <w:rPr>
                <w:rFonts w:hint="eastAsia" w:ascii="仿宋_GB2312" w:hAnsi="仿宋_GB2312" w:eastAsia="仿宋_GB2312" w:cs="仿宋_GB2312"/>
                <w:b w:val="0"/>
                <w:bCs w:val="0"/>
                <w:color w:val="000000"/>
                <w:kern w:val="2"/>
                <w:sz w:val="21"/>
                <w:szCs w:val="21"/>
                <w:highlight w:val="none"/>
                <w:lang w:val="en-US" w:eastAsia="zh-CN" w:bidi="ar-SA"/>
              </w:rPr>
              <w:t>履约评价书扫描件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6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1466" w:type="dxa"/>
            <w:noWrap w:val="0"/>
            <w:vAlign w:val="center"/>
          </w:tcPr>
          <w:p>
            <w:pPr>
              <w:widowControl w:val="0"/>
              <w:wordWrap/>
              <w:snapToGrid/>
              <w:spacing w:line="30" w:lineRule="atLeas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投入项目的工作人员</w:t>
            </w:r>
          </w:p>
        </w:tc>
        <w:tc>
          <w:tcPr>
            <w:tcW w:w="1017" w:type="dxa"/>
            <w:noWrap w:val="0"/>
            <w:vAlign w:val="center"/>
          </w:tcPr>
          <w:p>
            <w:pPr>
              <w:widowControl w:val="0"/>
              <w:wordWrap/>
              <w:snapToGrid/>
              <w:spacing w:line="30" w:lineRule="atLeas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w:t>
            </w:r>
          </w:p>
        </w:tc>
        <w:tc>
          <w:tcPr>
            <w:tcW w:w="5183" w:type="dxa"/>
            <w:noWrap w:val="0"/>
            <w:vAlign w:val="top"/>
          </w:tcPr>
          <w:p>
            <w:pPr>
              <w:widowControl w:val="0"/>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1.项目负责人</w:t>
            </w:r>
          </w:p>
          <w:p>
            <w:pPr>
              <w:widowControl w:val="0"/>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1）持有测绘类高级工程师职称，得6分，持有中级以上工程师职称，得3分。本项最高得6分；</w:t>
            </w:r>
          </w:p>
          <w:p>
            <w:pPr>
              <w:widowControl w:val="0"/>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2）具有硕士研究生及以上学历，得3分，具有本科学历，得1.5分。本项最高得3分；</w:t>
            </w:r>
          </w:p>
          <w:p>
            <w:pPr>
              <w:widowControl w:val="0"/>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2.项目团队成员</w:t>
            </w:r>
          </w:p>
          <w:p>
            <w:pPr>
              <w:widowControl w:val="0"/>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具备测绘类职称证书的，中级或以上职称证书每有一人得3分，初级职称证书每有一人得1.5分，本项最高得6分。</w:t>
            </w:r>
          </w:p>
          <w:p>
            <w:pPr>
              <w:widowControl w:val="0"/>
              <w:wordWrap/>
              <w:snapToGrid/>
              <w:spacing w:line="30" w:lineRule="atLeast"/>
              <w:jc w:val="both"/>
              <w:rPr>
                <w:rFonts w:hint="eastAsia" w:ascii="仿宋_GB2312" w:hAnsi="仿宋_GB2312" w:eastAsia="仿宋_GB2312" w:cs="仿宋_GB2312"/>
                <w:b/>
                <w:bCs/>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评审资料：</w:t>
            </w:r>
          </w:p>
          <w:p>
            <w:pPr>
              <w:widowControl w:val="0"/>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1.相关证书复印件（加盖供应商公章），原件备查；</w:t>
            </w:r>
          </w:p>
          <w:p>
            <w:pPr>
              <w:widowControl w:val="0"/>
              <w:numPr>
                <w:ilvl w:val="0"/>
                <w:numId w:val="0"/>
              </w:numPr>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2.社保部门出具的供应商为项目负责人缴纳的6个月及以上（包含6个月）社保证明文件，社保部门出具的供应商为团队成员缴纳的3个月及以上（包含3个月）社保证明文件；</w:t>
            </w:r>
          </w:p>
          <w:p>
            <w:pPr>
              <w:pStyle w:val="3"/>
              <w:widowControl w:val="0"/>
              <w:numPr>
                <w:ilvl w:val="0"/>
                <w:numId w:val="0"/>
              </w:numPr>
              <w:snapToGrid/>
              <w:spacing w:after="0"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kern w:val="2"/>
                <w:sz w:val="21"/>
                <w:szCs w:val="21"/>
                <w:lang w:val="en-US" w:eastAsia="zh-CN" w:bidi="ar-SA"/>
              </w:rPr>
              <w:t>3.同一名</w:t>
            </w:r>
            <w:r>
              <w:rPr>
                <w:rFonts w:hint="eastAsia" w:ascii="仿宋_GB2312" w:hAnsi="仿宋_GB2312" w:eastAsia="仿宋_GB2312" w:cs="仿宋_GB2312"/>
                <w:kern w:val="2"/>
                <w:sz w:val="21"/>
                <w:szCs w:val="22"/>
                <w:lang w:val="en-US" w:eastAsia="zh-CN" w:bidi="ar-SA"/>
              </w:rPr>
              <w:t>团队成员</w:t>
            </w:r>
            <w:r>
              <w:rPr>
                <w:rFonts w:hint="eastAsia" w:ascii="仿宋_GB2312" w:hAnsi="仿宋_GB2312" w:eastAsia="仿宋_GB2312" w:cs="仿宋_GB2312"/>
                <w:color w:val="000000"/>
                <w:kern w:val="2"/>
                <w:sz w:val="21"/>
                <w:szCs w:val="21"/>
                <w:lang w:val="en-US" w:eastAsia="zh-CN" w:bidi="ar-SA"/>
              </w:rPr>
              <w:t>的证书不可重复计分。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6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w:t>
            </w:r>
          </w:p>
        </w:tc>
        <w:tc>
          <w:tcPr>
            <w:tcW w:w="1466"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项目服务</w:t>
            </w:r>
          </w:p>
          <w:p>
            <w:pPr>
              <w:widowControl w:val="0"/>
              <w:snapToGrid/>
              <w:spacing w:line="30" w:lineRule="atLeas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2"/>
                <w:sz w:val="21"/>
                <w:szCs w:val="21"/>
                <w:lang w:val="en-US" w:eastAsia="zh-CN" w:bidi="ar-SA"/>
              </w:rPr>
              <w:t>方案</w:t>
            </w:r>
          </w:p>
        </w:tc>
        <w:tc>
          <w:tcPr>
            <w:tcW w:w="1017" w:type="dxa"/>
            <w:noWrap w:val="0"/>
            <w:vAlign w:val="center"/>
          </w:tcPr>
          <w:p>
            <w:pPr>
              <w:widowControl w:val="0"/>
              <w:snapToGrid/>
              <w:spacing w:line="3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u w:val="none"/>
                <w:lang w:val="en-US" w:eastAsia="zh-CN" w:bidi="ar-SA"/>
              </w:rPr>
              <w:t>30</w:t>
            </w:r>
          </w:p>
        </w:tc>
        <w:tc>
          <w:tcPr>
            <w:tcW w:w="5183" w:type="dxa"/>
            <w:noWrap w:val="0"/>
            <w:vAlign w:val="center"/>
          </w:tcPr>
          <w:p>
            <w:pPr>
              <w:widowControl w:val="0"/>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2"/>
                <w:lang w:val="en-US" w:eastAsia="zh-CN" w:bidi="ar-SA"/>
              </w:rPr>
              <w:t>要求供应商能够充分理解项目背景和目标，对</w:t>
            </w:r>
            <w:r>
              <w:rPr>
                <w:rFonts w:hint="eastAsia" w:ascii="仿宋_GB2312" w:hAnsi="仿宋_GB2312" w:eastAsia="仿宋_GB2312" w:cs="仿宋_GB2312"/>
                <w:kern w:val="2"/>
                <w:sz w:val="21"/>
                <w:szCs w:val="21"/>
                <w:lang w:val="en-US" w:eastAsia="zh-CN" w:bidi="ar-SA"/>
              </w:rPr>
              <w:t>项目的实施提出具体的方案</w:t>
            </w:r>
            <w:r>
              <w:rPr>
                <w:rFonts w:hint="eastAsia" w:ascii="仿宋_GB2312" w:hAnsi="仿宋_GB2312" w:eastAsia="仿宋_GB2312" w:cs="仿宋_GB2312"/>
                <w:kern w:val="2"/>
                <w:sz w:val="21"/>
                <w:szCs w:val="22"/>
                <w:lang w:val="en-US" w:eastAsia="zh-CN" w:bidi="ar-SA"/>
              </w:rPr>
              <w:t>，安排合理可行的质量保障措施，综合评价供应商关于项目的理解、实施方案、质量保障措施方案情况</w:t>
            </w:r>
            <w:r>
              <w:rPr>
                <w:rFonts w:hint="eastAsia" w:ascii="仿宋_GB2312" w:hAnsi="仿宋_GB2312" w:eastAsia="仿宋_GB2312" w:cs="仿宋_GB2312"/>
                <w:color w:val="000000"/>
                <w:kern w:val="2"/>
                <w:sz w:val="21"/>
                <w:szCs w:val="21"/>
                <w:lang w:val="en-US" w:eastAsia="zh-CN" w:bidi="ar-SA"/>
              </w:rPr>
              <w:t>。服务方案包含以下内容：</w:t>
            </w:r>
          </w:p>
          <w:p>
            <w:pPr>
              <w:numPr>
                <w:ilvl w:val="0"/>
                <w:numId w:val="0"/>
              </w:numPr>
              <w:wordWrap/>
              <w:snapToGrid/>
              <w:spacing w:line="30" w:lineRule="atLeas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1.项目理解；</w:t>
            </w:r>
          </w:p>
          <w:p>
            <w:pPr>
              <w:widowControl w:val="0"/>
              <w:numPr>
                <w:ilvl w:val="0"/>
                <w:numId w:val="0"/>
              </w:numPr>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2.项目实施方案；</w:t>
            </w:r>
          </w:p>
          <w:p>
            <w:pPr>
              <w:widowControl w:val="0"/>
              <w:numPr>
                <w:ilvl w:val="0"/>
                <w:numId w:val="0"/>
              </w:numPr>
              <w:wordWrap/>
              <w:snapToGrid/>
              <w:spacing w:line="30" w:lineRule="atLeast"/>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2"/>
                <w:lang w:val="en-US" w:eastAsia="zh-CN" w:bidi="ar-SA"/>
              </w:rPr>
              <w:t>3.质量保障措施方案。</w:t>
            </w:r>
          </w:p>
          <w:p>
            <w:pPr>
              <w:widowControl w:val="0"/>
              <w:wordWrap/>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服务方案提供以上全部三项内容得18分，提供任意两项内容得12分，提供任意一项内容得6分，未提供</w:t>
            </w:r>
            <w:bookmarkStart w:id="0" w:name="_GoBack"/>
            <w:bookmarkEnd w:id="0"/>
            <w:r>
              <w:rPr>
                <w:rFonts w:hint="eastAsia" w:ascii="仿宋_GB2312" w:hAnsi="仿宋_GB2312" w:eastAsia="仿宋_GB2312" w:cs="仿宋_GB2312"/>
                <w:kern w:val="2"/>
                <w:sz w:val="21"/>
                <w:szCs w:val="22"/>
                <w:lang w:val="en-US" w:eastAsia="zh-CN" w:bidi="ar-SA"/>
              </w:rPr>
              <w:t>的不得分。</w:t>
            </w:r>
          </w:p>
          <w:p>
            <w:pPr>
              <w:widowControl w:val="0"/>
              <w:wordWrap/>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在此基础上，根据各供应商的具体响应内容按照以下因素指标进一步评审：</w:t>
            </w:r>
          </w:p>
          <w:p>
            <w:pPr>
              <w:widowControl w:val="0"/>
              <w:wordWrap/>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（1）方案整体科学合理、针对性强、可操作性强，评为优秀，得12分；</w:t>
            </w:r>
          </w:p>
          <w:p>
            <w:pPr>
              <w:widowControl w:val="0"/>
              <w:wordWrap/>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（2）方案较合理、有一定针对性、一定可操作性，评为良好，得8分；</w:t>
            </w:r>
          </w:p>
          <w:p>
            <w:pPr>
              <w:widowControl w:val="0"/>
              <w:wordWrap/>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（3）方案不尽合理、针对性一般、可操作性一般，评为一般，得4分；</w:t>
            </w:r>
          </w:p>
          <w:p>
            <w:pPr>
              <w:widowControl w:val="0"/>
              <w:autoSpaceDE/>
              <w:autoSpaceDN/>
              <w:adjustRightInd/>
              <w:snapToGrid/>
              <w:spacing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（4）未提供方案的，得0分。</w:t>
            </w:r>
          </w:p>
          <w:p>
            <w:pPr>
              <w:pStyle w:val="3"/>
              <w:widowControl w:val="0"/>
              <w:snapToGrid/>
              <w:spacing w:after="0" w:line="30" w:lineRule="atLeast"/>
              <w:jc w:val="both"/>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评审材料：</w:t>
            </w:r>
            <w:r>
              <w:rPr>
                <w:rFonts w:hint="eastAsia" w:ascii="仿宋_GB2312" w:hAnsi="仿宋_GB2312" w:eastAsia="仿宋_GB2312" w:cs="仿宋_GB2312"/>
                <w:kern w:val="2"/>
                <w:sz w:val="21"/>
                <w:szCs w:val="22"/>
                <w:lang w:val="en-US" w:eastAsia="zh-CN" w:bidi="ar-SA"/>
              </w:rPr>
              <w:t>项目服务方案</w:t>
            </w:r>
          </w:p>
        </w:tc>
      </w:tr>
    </w:tbl>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sectPr>
      <w:headerReference r:id="rId4" w:type="first"/>
      <w:footerReference r:id="rId5" w:type="first"/>
      <w:headerReference r:id="rId3" w:type="default"/>
      <w:pgSz w:w="11906" w:h="16838"/>
      <w:pgMar w:top="2098" w:right="1474" w:bottom="1985" w:left="1588"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EF045"/>
    <w:rsid w:val="00040EED"/>
    <w:rsid w:val="00056207"/>
    <w:rsid w:val="000D74F5"/>
    <w:rsid w:val="000E631B"/>
    <w:rsid w:val="00155684"/>
    <w:rsid w:val="00161B58"/>
    <w:rsid w:val="00196F6A"/>
    <w:rsid w:val="002441F3"/>
    <w:rsid w:val="00246613"/>
    <w:rsid w:val="0035344C"/>
    <w:rsid w:val="003A2089"/>
    <w:rsid w:val="003B6CDD"/>
    <w:rsid w:val="00426AB7"/>
    <w:rsid w:val="00463033"/>
    <w:rsid w:val="00464C06"/>
    <w:rsid w:val="004A6EDA"/>
    <w:rsid w:val="004E3F5C"/>
    <w:rsid w:val="00592E76"/>
    <w:rsid w:val="006E62CE"/>
    <w:rsid w:val="00742044"/>
    <w:rsid w:val="0078249E"/>
    <w:rsid w:val="00786C88"/>
    <w:rsid w:val="008066E1"/>
    <w:rsid w:val="008417D4"/>
    <w:rsid w:val="008A5085"/>
    <w:rsid w:val="0090547C"/>
    <w:rsid w:val="00915620"/>
    <w:rsid w:val="00982769"/>
    <w:rsid w:val="009A3E0B"/>
    <w:rsid w:val="009A791B"/>
    <w:rsid w:val="009B2BDE"/>
    <w:rsid w:val="00A44D9D"/>
    <w:rsid w:val="00AB616A"/>
    <w:rsid w:val="00AF5EFC"/>
    <w:rsid w:val="00B74EFA"/>
    <w:rsid w:val="00BA2045"/>
    <w:rsid w:val="00BE6847"/>
    <w:rsid w:val="00D72325"/>
    <w:rsid w:val="00DD0F44"/>
    <w:rsid w:val="00E202FB"/>
    <w:rsid w:val="00E87FA9"/>
    <w:rsid w:val="00F17351"/>
    <w:rsid w:val="00F81577"/>
    <w:rsid w:val="00FF389C"/>
    <w:rsid w:val="35ED8042"/>
    <w:rsid w:val="4DEFE323"/>
    <w:rsid w:val="6EDEF045"/>
    <w:rsid w:val="6F7FE446"/>
    <w:rsid w:val="7EFF76CC"/>
    <w:rsid w:val="7FDF1FAF"/>
    <w:rsid w:val="9DC6A599"/>
    <w:rsid w:val="DCDEE63D"/>
    <w:rsid w:val="F3EB8937"/>
    <w:rsid w:val="F7F3C504"/>
    <w:rsid w:val="FD3F63AC"/>
    <w:rsid w:val="FEBE88CF"/>
    <w:rsid w:val="FFDB84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4">
    <w:name w:val="Date"/>
    <w:basedOn w:val="1"/>
    <w:next w:val="1"/>
    <w:link w:val="11"/>
    <w:unhideWhenUsed/>
    <w:qFormat/>
    <w:uiPriority w:val="99"/>
    <w:pPr>
      <w:ind w:left="100" w:leftChars="2500"/>
    </w:p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qFormat/>
    <w:uiPriority w:val="0"/>
    <w:rPr>
      <w:sz w:val="21"/>
      <w:szCs w:val="21"/>
    </w:rPr>
  </w:style>
  <w:style w:type="character" w:customStyle="1" w:styleId="11">
    <w:name w:val="日期 Char"/>
    <w:basedOn w:val="9"/>
    <w:link w:val="4"/>
    <w:semiHidden/>
    <w:qFormat/>
    <w:uiPriority w:val="99"/>
  </w:style>
  <w:style w:type="character" w:customStyle="1" w:styleId="12">
    <w:name w:val="批注框文本 Char"/>
    <w:basedOn w:val="9"/>
    <w:link w:val="5"/>
    <w:semiHidden/>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页眉 Char"/>
    <w:basedOn w:val="9"/>
    <w:link w:val="7"/>
    <w:semiHidden/>
    <w:qFormat/>
    <w:uiPriority w:val="99"/>
    <w:rPr>
      <w:sz w:val="18"/>
      <w:szCs w:val="18"/>
    </w:rPr>
  </w:style>
  <w:style w:type="paragraph" w:customStyle="1" w:styleId="15">
    <w:name w:val="文件大标题"/>
    <w:basedOn w:val="1"/>
    <w:qFormat/>
    <w:uiPriority w:val="0"/>
    <w:pPr>
      <w:spacing w:line="560" w:lineRule="exact"/>
      <w:jc w:val="center"/>
    </w:pPr>
    <w:rPr>
      <w:rFonts w:ascii="方正小标宋简体" w:hAnsi="方正小标宋简体" w:eastAsia="方正小标宋简体"/>
      <w:sz w:val="44"/>
    </w:rPr>
  </w:style>
  <w:style w:type="paragraph" w:customStyle="1" w:styleId="16">
    <w:name w:val="文件正文"/>
    <w:basedOn w:val="1"/>
    <w:qFormat/>
    <w:uiPriority w:val="0"/>
    <w:pPr>
      <w:spacing w:line="560" w:lineRule="exact"/>
      <w:ind w:firstLine="200" w:firstLineChars="200"/>
    </w:pPr>
    <w:rPr>
      <w:rFonts w:ascii="仿宋_GB2312" w:hAnsi="仿宋_GB2312" w:eastAsia="仿宋_GB2312"/>
      <w:sz w:val="32"/>
    </w:rPr>
  </w:style>
  <w:style w:type="paragraph" w:customStyle="1" w:styleId="17">
    <w:name w:val="文件一级标题"/>
    <w:basedOn w:val="1"/>
    <w:qFormat/>
    <w:uiPriority w:val="0"/>
    <w:pPr>
      <w:spacing w:line="560" w:lineRule="exact"/>
      <w:ind w:firstLine="200" w:firstLineChars="200"/>
    </w:pPr>
    <w:rPr>
      <w:rFonts w:eastAsia="黑体"/>
      <w:sz w:val="32"/>
    </w:rPr>
  </w:style>
  <w:style w:type="paragraph" w:customStyle="1" w:styleId="18">
    <w:name w:val="文件二级标题"/>
    <w:basedOn w:val="1"/>
    <w:qFormat/>
    <w:uiPriority w:val="0"/>
    <w:pPr>
      <w:spacing w:line="560" w:lineRule="exact"/>
      <w:ind w:firstLine="200" w:firstLineChars="200"/>
    </w:pPr>
    <w:rPr>
      <w:rFonts w:eastAsia="楷体"/>
      <w:sz w:val="32"/>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engruolin/&#26700;&#38754;/&#26032;&#24314;&#20844;&#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新建公文.wpt</Template>
  <Pages>2</Pages>
  <Words>9</Words>
  <Characters>9</Characters>
  <Lines>1</Lines>
  <Paragraphs>1</Paragraphs>
  <TotalTime>6</TotalTime>
  <ScaleCrop>false</ScaleCrop>
  <LinksUpToDate>false</LinksUpToDate>
  <CharactersWithSpaces>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2025-03-14T07:08:00Z</dcterms:created>
  <dc:creator>冯若琳</dc:creator>
  <cp:lastModifiedBy>徐伟婷</cp:lastModifiedBy>
  <dcterms:modified xsi:type="dcterms:W3CDTF">2025-03-13T16:39:37Z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A727B7A0F9AB68048384D267EEAA95D0</vt:lpwstr>
  </property>
</Properties>
</file>