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 w:val="0"/>
          <w:bCs/>
          <w:sz w:val="32"/>
          <w:szCs w:val="32"/>
          <w:lang w:eastAsia="zh-CN"/>
        </w:rPr>
      </w:pPr>
      <w:bookmarkStart w:id="0" w:name="_GoBack"/>
      <w:bookmarkEnd w:id="0"/>
      <w:r>
        <w:rPr>
          <w:rFonts w:hint="eastAsia" w:ascii="黑体" w:hAnsi="黑体" w:eastAsia="黑体" w:cs="黑体"/>
          <w:b w:val="0"/>
          <w:bCs/>
          <w:sz w:val="32"/>
          <w:szCs w:val="32"/>
          <w:lang w:eastAsia="zh-CN"/>
        </w:rPr>
        <w:t>附件</w:t>
      </w:r>
    </w:p>
    <w:p>
      <w:pPr>
        <w:spacing w:line="560" w:lineRule="exact"/>
        <w:jc w:val="center"/>
        <w:rPr>
          <w:rFonts w:hint="eastAsia" w:eastAsia="宋体"/>
          <w:b/>
          <w:sz w:val="44"/>
        </w:rPr>
      </w:pPr>
      <w:r>
        <w:rPr>
          <w:rFonts w:hint="eastAsia" w:eastAsia="宋体"/>
          <w:b/>
          <w:sz w:val="44"/>
        </w:rPr>
        <w:t>法律链接</w:t>
      </w:r>
    </w:p>
    <w:p>
      <w:pPr>
        <w:spacing w:line="560" w:lineRule="exact"/>
        <w:jc w:val="center"/>
        <w:rPr>
          <w:rFonts w:hint="eastAsia" w:eastAsia="宋体"/>
          <w:b/>
          <w:sz w:val="30"/>
          <w:szCs w:val="30"/>
        </w:rPr>
      </w:pPr>
    </w:p>
    <w:p>
      <w:pPr>
        <w:spacing w:line="560" w:lineRule="exact"/>
        <w:jc w:val="center"/>
        <w:rPr>
          <w:rFonts w:hint="eastAsia" w:eastAsia="宋体"/>
          <w:b/>
          <w:sz w:val="30"/>
          <w:szCs w:val="30"/>
        </w:rPr>
      </w:pPr>
      <w:r>
        <w:rPr>
          <w:rFonts w:hint="eastAsia" w:eastAsia="宋体"/>
          <w:b/>
          <w:sz w:val="30"/>
          <w:szCs w:val="30"/>
        </w:rPr>
        <w:t>《劳动保障监察条例》</w:t>
      </w:r>
    </w:p>
    <w:p>
      <w:pPr>
        <w:spacing w:line="560" w:lineRule="exact"/>
        <w:jc w:val="center"/>
        <w:rPr>
          <w:rFonts w:hint="eastAsia" w:eastAsia="宋体"/>
          <w:b/>
          <w:sz w:val="30"/>
          <w:szCs w:val="30"/>
        </w:rPr>
      </w:pPr>
    </w:p>
    <w:p>
      <w:pPr>
        <w:spacing w:line="360" w:lineRule="exact"/>
        <w:ind w:firstLine="560" w:firstLineChars="200"/>
        <w:rPr>
          <w:rFonts w:hint="eastAsia" w:ascii="宋体" w:eastAsia="宋体"/>
          <w:sz w:val="28"/>
          <w:szCs w:val="28"/>
        </w:rPr>
      </w:pPr>
      <w:r>
        <w:rPr>
          <w:rFonts w:hint="eastAsia" w:ascii="宋体" w:eastAsia="宋体"/>
          <w:sz w:val="28"/>
          <w:szCs w:val="28"/>
        </w:rPr>
        <w:t>第十五条</w:t>
      </w:r>
      <w:r>
        <w:rPr>
          <w:rFonts w:hint="eastAsia" w:ascii="宋体" w:eastAsia="宋体"/>
          <w:sz w:val="28"/>
          <w:szCs w:val="28"/>
          <w:lang w:val="en-US" w:eastAsia="zh-CN"/>
        </w:rPr>
        <w:t xml:space="preserve">  </w:t>
      </w:r>
      <w:r>
        <w:rPr>
          <w:rFonts w:hint="eastAsia" w:ascii="宋体" w:eastAsia="宋体"/>
          <w:sz w:val="28"/>
          <w:szCs w:val="28"/>
        </w:rPr>
        <w:t>劳动保障行政部门实施劳动保障监察，有权采取下列调查、检查措施：</w:t>
      </w:r>
    </w:p>
    <w:p>
      <w:pPr>
        <w:spacing w:line="360" w:lineRule="exact"/>
        <w:ind w:firstLine="560" w:firstLineChars="200"/>
        <w:rPr>
          <w:rFonts w:hint="eastAsia" w:ascii="宋体" w:eastAsia="宋体"/>
          <w:sz w:val="28"/>
          <w:szCs w:val="28"/>
        </w:rPr>
      </w:pPr>
      <w:r>
        <w:rPr>
          <w:rFonts w:hint="default" w:ascii="宋体" w:eastAsia="宋体"/>
          <w:sz w:val="28"/>
          <w:szCs w:val="28"/>
        </w:rPr>
        <w:t>（一）</w:t>
      </w:r>
      <w:r>
        <w:rPr>
          <w:rFonts w:hint="eastAsia" w:ascii="宋体" w:eastAsia="宋体"/>
          <w:sz w:val="28"/>
          <w:szCs w:val="28"/>
        </w:rPr>
        <w:t>进入用人单位的劳动场所进行检查；</w:t>
      </w:r>
    </w:p>
    <w:p>
      <w:pPr>
        <w:spacing w:line="360" w:lineRule="exact"/>
        <w:ind w:firstLine="560" w:firstLineChars="200"/>
        <w:rPr>
          <w:rFonts w:hint="eastAsia" w:ascii="宋体" w:eastAsia="宋体"/>
          <w:sz w:val="28"/>
          <w:szCs w:val="28"/>
        </w:rPr>
      </w:pPr>
      <w:r>
        <w:rPr>
          <w:rFonts w:hint="default" w:ascii="宋体" w:eastAsia="宋体"/>
          <w:sz w:val="28"/>
          <w:szCs w:val="28"/>
        </w:rPr>
        <w:t>（二）</w:t>
      </w:r>
      <w:r>
        <w:rPr>
          <w:rFonts w:hint="eastAsia" w:ascii="宋体" w:eastAsia="宋体"/>
          <w:sz w:val="28"/>
          <w:szCs w:val="28"/>
        </w:rPr>
        <w:t>就调查、检查事项询问有关人员；</w:t>
      </w:r>
    </w:p>
    <w:p>
      <w:pPr>
        <w:spacing w:line="360" w:lineRule="exact"/>
        <w:ind w:firstLine="560" w:firstLineChars="200"/>
        <w:rPr>
          <w:rFonts w:hint="eastAsia" w:ascii="宋体" w:eastAsia="宋体"/>
          <w:sz w:val="28"/>
          <w:szCs w:val="28"/>
        </w:rPr>
      </w:pPr>
      <w:r>
        <w:rPr>
          <w:rFonts w:hint="default" w:ascii="宋体" w:eastAsia="宋体"/>
          <w:sz w:val="28"/>
          <w:szCs w:val="28"/>
        </w:rPr>
        <w:t>（三）</w:t>
      </w:r>
      <w:r>
        <w:rPr>
          <w:rFonts w:hint="eastAsia" w:ascii="宋体" w:eastAsia="宋体"/>
          <w:sz w:val="28"/>
          <w:szCs w:val="28"/>
        </w:rPr>
        <w:t>要求用人单位提供与调查、检查事项相关的文件资料，并作出解释和说明，必要时可以发出调查询问书；</w:t>
      </w:r>
    </w:p>
    <w:p>
      <w:pPr>
        <w:spacing w:line="360" w:lineRule="exact"/>
        <w:ind w:firstLine="560" w:firstLineChars="200"/>
        <w:rPr>
          <w:rFonts w:hint="eastAsia" w:ascii="宋体" w:eastAsia="宋体"/>
          <w:sz w:val="28"/>
          <w:szCs w:val="28"/>
        </w:rPr>
      </w:pPr>
      <w:r>
        <w:rPr>
          <w:rFonts w:hint="default" w:ascii="宋体" w:eastAsia="宋体"/>
          <w:sz w:val="28"/>
          <w:szCs w:val="28"/>
        </w:rPr>
        <w:t>（四）</w:t>
      </w:r>
      <w:r>
        <w:rPr>
          <w:rFonts w:hint="eastAsia" w:ascii="宋体" w:eastAsia="宋体"/>
          <w:sz w:val="28"/>
          <w:szCs w:val="28"/>
        </w:rPr>
        <w:t>采取记录、录音、录像、照</w:t>
      </w:r>
      <w:r>
        <w:rPr>
          <w:rFonts w:hint="eastAsia" w:ascii="宋体" w:eastAsia="宋体"/>
          <w:sz w:val="28"/>
          <w:szCs w:val="28"/>
          <w:lang w:eastAsia="zh-CN"/>
        </w:rPr>
        <w:t>相</w:t>
      </w:r>
      <w:r>
        <w:rPr>
          <w:rFonts w:hint="eastAsia" w:ascii="宋体" w:eastAsia="宋体"/>
          <w:sz w:val="28"/>
          <w:szCs w:val="28"/>
        </w:rPr>
        <w:t>或者复制等方式收集有关情况和资料；</w:t>
      </w:r>
    </w:p>
    <w:p>
      <w:pPr>
        <w:spacing w:line="360" w:lineRule="exact"/>
        <w:ind w:firstLine="560" w:firstLineChars="200"/>
        <w:rPr>
          <w:rFonts w:hint="eastAsia" w:ascii="宋体" w:eastAsia="宋体"/>
          <w:sz w:val="28"/>
          <w:szCs w:val="28"/>
        </w:rPr>
      </w:pPr>
      <w:r>
        <w:rPr>
          <w:rFonts w:hint="default" w:ascii="宋体" w:eastAsia="宋体"/>
          <w:sz w:val="28"/>
          <w:szCs w:val="28"/>
        </w:rPr>
        <w:t>（五）</w:t>
      </w:r>
      <w:r>
        <w:rPr>
          <w:rFonts w:hint="eastAsia" w:ascii="宋体" w:eastAsia="宋体"/>
          <w:sz w:val="28"/>
          <w:szCs w:val="28"/>
        </w:rPr>
        <w:t>委托会计师事务所对用人单位工资支付、缴纳社会保险费的情况进行审计；</w:t>
      </w:r>
    </w:p>
    <w:p>
      <w:pPr>
        <w:spacing w:line="360" w:lineRule="exact"/>
        <w:ind w:firstLine="560" w:firstLineChars="200"/>
        <w:rPr>
          <w:rFonts w:hint="eastAsia" w:ascii="宋体" w:eastAsia="宋体"/>
          <w:sz w:val="28"/>
          <w:szCs w:val="28"/>
        </w:rPr>
      </w:pPr>
      <w:r>
        <w:rPr>
          <w:rFonts w:hint="default" w:ascii="宋体" w:eastAsia="宋体"/>
          <w:sz w:val="28"/>
          <w:szCs w:val="28"/>
        </w:rPr>
        <w:t>（六）</w:t>
      </w:r>
      <w:r>
        <w:rPr>
          <w:rFonts w:hint="eastAsia" w:ascii="宋体" w:eastAsia="宋体"/>
          <w:sz w:val="28"/>
          <w:szCs w:val="28"/>
        </w:rPr>
        <w:t>法律、法规规定可以由劳动保障行政部门采取的其他调查、检查措施。</w:t>
      </w:r>
    </w:p>
    <w:p>
      <w:pPr>
        <w:spacing w:line="360" w:lineRule="exact"/>
        <w:ind w:firstLine="560" w:firstLineChars="200"/>
        <w:rPr>
          <w:rFonts w:hint="eastAsia" w:ascii="宋体" w:eastAsia="宋体"/>
          <w:sz w:val="28"/>
          <w:szCs w:val="28"/>
        </w:rPr>
      </w:pPr>
      <w:r>
        <w:rPr>
          <w:rFonts w:hint="eastAsia" w:ascii="宋体" w:eastAsia="宋体"/>
          <w:sz w:val="28"/>
          <w:szCs w:val="28"/>
        </w:rPr>
        <w:t>劳动保障行政部门对事实清楚、证据确凿、可以当场处理的违反劳动保障法律、法规或者规章的行为有权当场予以纠正。</w:t>
      </w: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第三十条  有下列行为之一的，由劳动保障行政部门责令改正；对有第（一）项、第（二）项或者第（三）项规定的行为的，处2000元以上2万元以下的罚款：</w:t>
      </w: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（一）无理抗拒、阻挠劳动保障行政部门依照本条例的规定实施劳动保障监察的；</w:t>
      </w: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（二）不按照劳动保障行政部门的要求报送书面材料，隐瞒事实真相，出具伪证或者隐匿、毁灭证据的；</w:t>
      </w: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（三）经劳动保障行政部门责令改正拒不改正，或者拒不履行劳动保障行政部门的行政处理决定的；</w:t>
      </w: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（四）打击报复举报人、投诉人的。</w:t>
      </w: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违反前款规定，构成违反治安管理行为的，由公安机关依法给予</w:t>
      </w:r>
      <w:r>
        <w:rPr>
          <w:rFonts w:hint="default" w:ascii="宋体" w:hAnsi="Calibri" w:eastAsia="宋体" w:cs="Times New Roman"/>
          <w:kern w:val="2"/>
          <w:sz w:val="28"/>
          <w:szCs w:val="28"/>
          <w:lang w:val="en-US" w:eastAsia="zh-CN" w:bidi="ar-SA"/>
        </w:rPr>
        <w:fldChar w:fldCharType="begin"/>
      </w:r>
      <w:r>
        <w:rPr>
          <w:rFonts w:hint="default" w:ascii="宋体" w:hAnsi="Calibri" w:eastAsia="宋体" w:cs="Times New Roman"/>
          <w:kern w:val="2"/>
          <w:sz w:val="28"/>
          <w:szCs w:val="28"/>
          <w:lang w:val="en-US" w:eastAsia="zh-CN" w:bidi="ar-SA"/>
        </w:rPr>
        <w:instrText xml:space="preserve"> HYPERLINK "https://baike.baidu.com/item/%E6%B2%BB%E5%AE%89%E7%AE%A1%E7%90%86%E5%A4%84%E7%BD%9A" \t "/home/tina/文档\\x/_blank" </w:instrText>
      </w:r>
      <w:r>
        <w:rPr>
          <w:rFonts w:hint="default" w:ascii="宋体" w:hAnsi="Calibri" w:eastAsia="宋体" w:cs="Times New Roman"/>
          <w:kern w:val="2"/>
          <w:sz w:val="28"/>
          <w:szCs w:val="28"/>
          <w:lang w:val="en-US" w:eastAsia="zh-CN" w:bidi="ar-SA"/>
        </w:rPr>
        <w:fldChar w:fldCharType="separate"/>
      </w:r>
      <w:r>
        <w:rPr>
          <w:rFonts w:hint="default" w:ascii="宋体" w:hAnsi="Calibri" w:eastAsia="宋体" w:cs="Times New Roman"/>
          <w:kern w:val="2"/>
          <w:sz w:val="28"/>
          <w:szCs w:val="28"/>
          <w:lang w:val="en-US" w:eastAsia="zh-CN" w:bidi="ar-SA"/>
        </w:rPr>
        <w:t>治安管理处罚</w:t>
      </w:r>
      <w:r>
        <w:rPr>
          <w:rFonts w:hint="default" w:ascii="宋体" w:hAnsi="Calibri" w:eastAsia="宋体" w:cs="Times New Roman"/>
          <w:kern w:val="2"/>
          <w:sz w:val="28"/>
          <w:szCs w:val="28"/>
          <w:lang w:val="en-US" w:eastAsia="zh-CN" w:bidi="ar-SA"/>
        </w:rPr>
        <w:fldChar w:fldCharType="end"/>
      </w:r>
      <w:r>
        <w:rPr>
          <w:rFonts w:hint="default" w:ascii="宋体" w:hAnsi="Calibri" w:eastAsia="宋体" w:cs="Times New Roman"/>
          <w:kern w:val="2"/>
          <w:sz w:val="28"/>
          <w:szCs w:val="28"/>
          <w:lang w:val="en-US" w:eastAsia="zh-CN" w:bidi="ar-SA"/>
        </w:rPr>
        <w:t>；构成犯罪的，依法追究刑事责任。</w:t>
      </w:r>
    </w:p>
    <w:p>
      <w:pPr>
        <w:rPr>
          <w:rFonts w:hint="eastAsia" w:ascii="宋体" w:eastAsia="宋体"/>
          <w:b/>
          <w:bCs/>
          <w:sz w:val="30"/>
          <w:szCs w:val="30"/>
          <w:lang w:val="en-US" w:eastAsia="zh-CN"/>
        </w:rPr>
      </w:pPr>
      <w:r>
        <w:rPr>
          <w:rFonts w:hint="eastAsia" w:ascii="宋体" w:eastAsia="宋体"/>
          <w:b/>
          <w:bCs/>
          <w:sz w:val="30"/>
          <w:szCs w:val="30"/>
          <w:lang w:val="en-US" w:eastAsia="zh-CN"/>
        </w:rPr>
        <w:br w:type="page"/>
      </w:r>
    </w:p>
    <w:p>
      <w:pPr>
        <w:widowControl w:val="0"/>
        <w:tabs>
          <w:tab w:val="left" w:pos="1418"/>
        </w:tabs>
        <w:spacing w:line="360" w:lineRule="exact"/>
        <w:ind w:left="0" w:leftChars="0" w:firstLine="0" w:firstLineChars="0"/>
        <w:jc w:val="center"/>
        <w:rPr>
          <w:rFonts w:hint="eastAsia" w:ascii="宋体" w:hAnsi="Calibri" w:eastAsia="宋体" w:cs="Times New Roman"/>
          <w:b/>
          <w:bCs/>
          <w:kern w:val="2"/>
          <w:sz w:val="30"/>
          <w:szCs w:val="30"/>
          <w:lang w:val="en-US" w:eastAsia="zh-CN" w:bidi="ar-SA"/>
        </w:rPr>
      </w:pPr>
      <w:r>
        <w:rPr>
          <w:rFonts w:hint="eastAsia" w:ascii="宋体" w:hAnsi="Calibri" w:eastAsia="宋体" w:cs="Times New Roman"/>
          <w:b/>
          <w:bCs/>
          <w:kern w:val="2"/>
          <w:sz w:val="30"/>
          <w:szCs w:val="30"/>
          <w:lang w:val="en-US" w:eastAsia="zh-CN" w:bidi="ar-SA"/>
        </w:rPr>
        <w:t>《广东省劳动保障监察条例》</w:t>
      </w:r>
    </w:p>
    <w:p>
      <w:pPr>
        <w:widowControl w:val="0"/>
        <w:tabs>
          <w:tab w:val="left" w:pos="1418"/>
        </w:tabs>
        <w:spacing w:line="360" w:lineRule="exact"/>
        <w:ind w:firstLine="560" w:firstLineChars="200"/>
        <w:jc w:val="both"/>
        <w:rPr>
          <w:rFonts w:hint="eastAsia" w:ascii="宋体" w:hAnsi="Calibri" w:eastAsia="宋体" w:cs="Times New Roman"/>
          <w:kern w:val="2"/>
          <w:sz w:val="28"/>
          <w:szCs w:val="28"/>
          <w:lang w:val="en-US" w:eastAsia="zh-CN" w:bidi="ar-SA"/>
        </w:rPr>
      </w:pP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第四十条</w:t>
      </w:r>
      <w:r>
        <w:rPr>
          <w:rFonts w:hint="eastAsia" w:ascii="宋体" w:hAnsi="Calibri" w:eastAsia="宋体" w:cs="Times New Roman"/>
          <w:kern w:val="2"/>
          <w:sz w:val="28"/>
          <w:szCs w:val="28"/>
          <w:lang w:val="en-US" w:eastAsia="zh-CN" w:bidi="ar-SA"/>
        </w:rPr>
        <w:t xml:space="preserve"> </w:t>
      </w:r>
      <w:r>
        <w:rPr>
          <w:rFonts w:hint="default" w:ascii="宋体" w:hAnsi="Calibri" w:eastAsia="宋体" w:cs="Times New Roman"/>
          <w:kern w:val="2"/>
          <w:sz w:val="28"/>
          <w:szCs w:val="28"/>
          <w:lang w:val="en-US" w:eastAsia="zh-CN" w:bidi="ar-SA"/>
        </w:rPr>
        <w:t xml:space="preserve"> 人力资源社会保障行政部门依法实施劳动保障监察，有权采取下列调查、检查措施：</w:t>
      </w: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（一）进入用人单位的劳动场所实地调查、检查；</w:t>
      </w: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（二）就调查、检查事项询问有关人员；</w:t>
      </w: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（三）要求相关单位或者个人提供与调查、检查事项相关的文件资料或者证据材料，必要时可以发出询问通知书；</w:t>
      </w: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（四）查阅本条例规定的台账等有关资料，采取记录、录音、录像、照像或者复制等方式收集有关情况和资料；</w:t>
      </w: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（五）在证据可能被伪造、变造、损毁、灭失或者事后难以取得的情况下，可以采取证据登记保存措施；</w:t>
      </w: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（六）委托会计师事务所对用人单位工资支付等进行审计；</w:t>
      </w: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（七）委托专门的鉴定机构对专门性问题进行鉴定；</w:t>
      </w: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（八）法律、法规和规章规定的其他调查、检查措施。</w:t>
      </w:r>
    </w:p>
    <w:p>
      <w:pPr>
        <w:widowControl w:val="0"/>
        <w:tabs>
          <w:tab w:val="left" w:pos="1418"/>
        </w:tabs>
        <w:spacing w:line="360" w:lineRule="exact"/>
        <w:ind w:firstLine="560" w:firstLineChars="200"/>
        <w:jc w:val="both"/>
        <w:rPr>
          <w:rFonts w:hint="default" w:ascii="宋体" w:hAnsi="Calibri" w:eastAsia="宋体" w:cs="Times New Roman"/>
          <w:kern w:val="2"/>
          <w:sz w:val="28"/>
          <w:szCs w:val="28"/>
          <w:lang w:val="en-US" w:eastAsia="zh-CN" w:bidi="ar-SA"/>
        </w:rPr>
      </w:pPr>
      <w:r>
        <w:rPr>
          <w:rFonts w:hint="default" w:ascii="宋体" w:hAnsi="Calibri" w:eastAsia="宋体" w:cs="Times New Roman"/>
          <w:kern w:val="2"/>
          <w:sz w:val="28"/>
          <w:szCs w:val="28"/>
          <w:lang w:val="en-US" w:eastAsia="zh-CN" w:bidi="ar-SA"/>
        </w:rPr>
        <w:t>人力资源社会保障行政部门实施调查、检查时，被检查的单位和个人不得拒绝、阻挠调查人员进入劳动场所，应当如实陈述和提供相关资料，并在调查笔录上签名或者盖章；拒绝签名或者盖章的，由调查人员注明拒签事由。</w:t>
      </w:r>
    </w:p>
    <w:p>
      <w:pPr>
        <w:spacing w:line="360" w:lineRule="exact"/>
        <w:ind w:firstLine="629"/>
        <w:rPr>
          <w:rFonts w:hint="eastAsia" w:ascii="宋体" w:eastAsia="宋体"/>
          <w:sz w:val="28"/>
          <w:szCs w:val="28"/>
        </w:rPr>
      </w:pPr>
    </w:p>
    <w:p>
      <w:pPr>
        <w:spacing w:line="360" w:lineRule="exact"/>
        <w:ind w:firstLine="629"/>
        <w:rPr>
          <w:rFonts w:hint="eastAsia" w:ascii="宋体" w:eastAsia="宋体"/>
          <w:sz w:val="28"/>
          <w:szCs w:val="28"/>
        </w:rPr>
      </w:pPr>
      <w:r>
        <w:rPr>
          <w:rFonts w:hint="eastAsia" w:ascii="宋体" w:eastAsia="宋体"/>
          <w:sz w:val="28"/>
          <w:szCs w:val="28"/>
        </w:rPr>
        <w:t>第五十二条  用人单位有下列行为之一的，由人力资源社会保障行政部门责令改正，处以二千元以上二万元以下的罚款：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567" w:leftChars="0"/>
        <w:jc w:val="both"/>
        <w:textAlignment w:val="auto"/>
        <w:rPr>
          <w:rFonts w:hint="eastAsia" w:ascii="宋体" w:hAnsi="Calibri" w:eastAsia="宋体" w:cs="Times New Roman"/>
          <w:kern w:val="2"/>
          <w:sz w:val="28"/>
          <w:szCs w:val="28"/>
          <w:lang w:val="en-US" w:eastAsia="zh-CN" w:bidi="ar-SA"/>
        </w:rPr>
      </w:pPr>
      <w:r>
        <w:rPr>
          <w:rFonts w:hint="eastAsia" w:ascii="宋体" w:hAnsi="Calibri" w:eastAsia="宋体" w:cs="Times New Roman"/>
          <w:kern w:val="2"/>
          <w:sz w:val="28"/>
          <w:szCs w:val="28"/>
          <w:lang w:val="en-US" w:eastAsia="zh-CN" w:bidi="ar-SA"/>
        </w:rPr>
        <w:t>（一）拒绝、阻挠劳动保障监察员进行调查、检查的；</w:t>
      </w:r>
    </w:p>
    <w:p>
      <w:pPr>
        <w:widowControl w:val="0"/>
        <w:numPr>
          <w:ilvl w:val="0"/>
          <w:numId w:val="0"/>
        </w:numPr>
        <w:tabs>
          <w:tab w:val="left" w:pos="1418"/>
        </w:tabs>
        <w:spacing w:line="360" w:lineRule="exact"/>
        <w:ind w:left="7" w:leftChars="0" w:firstLine="560" w:firstLineChars="200"/>
        <w:jc w:val="both"/>
        <w:rPr>
          <w:rFonts w:hint="eastAsia" w:ascii="宋体" w:hAnsi="Calibri" w:eastAsia="宋体" w:cs="Times New Roman"/>
          <w:kern w:val="2"/>
          <w:sz w:val="28"/>
          <w:szCs w:val="28"/>
          <w:lang w:val="en-US" w:eastAsia="zh-CN" w:bidi="ar-SA"/>
        </w:rPr>
      </w:pPr>
      <w:r>
        <w:rPr>
          <w:rFonts w:hint="eastAsia" w:ascii="宋体" w:hAnsi="Calibri" w:eastAsia="宋体" w:cs="Times New Roman"/>
          <w:kern w:val="2"/>
          <w:sz w:val="28"/>
          <w:szCs w:val="28"/>
          <w:lang w:val="en-US" w:eastAsia="zh-CN" w:bidi="ar-SA"/>
        </w:rPr>
        <w:t>（二）无正当理由，拒绝按照劳动保障监察询问通知书要求在指定时间和地点接受调查询问的；</w:t>
      </w:r>
    </w:p>
    <w:p>
      <w:pPr>
        <w:widowControl w:val="0"/>
        <w:numPr>
          <w:ilvl w:val="0"/>
          <w:numId w:val="0"/>
        </w:numPr>
        <w:tabs>
          <w:tab w:val="left" w:pos="1418"/>
        </w:tabs>
        <w:spacing w:line="360" w:lineRule="exact"/>
        <w:ind w:left="567" w:leftChars="0"/>
        <w:jc w:val="both"/>
        <w:rPr>
          <w:rFonts w:hint="eastAsia" w:ascii="宋体" w:hAnsi="Calibri" w:eastAsia="宋体" w:cs="Times New Roman"/>
          <w:kern w:val="2"/>
          <w:sz w:val="28"/>
          <w:szCs w:val="28"/>
          <w:lang w:val="en-US" w:eastAsia="zh-CN" w:bidi="ar-SA"/>
        </w:rPr>
      </w:pPr>
      <w:r>
        <w:rPr>
          <w:rFonts w:hint="eastAsia" w:ascii="宋体" w:hAnsi="Calibri" w:eastAsia="宋体" w:cs="Times New Roman"/>
          <w:kern w:val="2"/>
          <w:sz w:val="28"/>
          <w:szCs w:val="28"/>
          <w:lang w:val="en-US" w:eastAsia="zh-CN" w:bidi="ar-SA"/>
        </w:rPr>
        <w:t>（三）拒绝提供或者报送用工信息等相关材料的；</w:t>
      </w:r>
    </w:p>
    <w:p>
      <w:pPr>
        <w:widowControl w:val="0"/>
        <w:numPr>
          <w:ilvl w:val="0"/>
          <w:numId w:val="0"/>
        </w:numPr>
        <w:tabs>
          <w:tab w:val="left" w:pos="1418"/>
        </w:tabs>
        <w:spacing w:line="360" w:lineRule="exact"/>
        <w:ind w:left="7" w:leftChars="0" w:firstLine="560" w:firstLineChars="200"/>
        <w:jc w:val="both"/>
        <w:rPr>
          <w:rFonts w:hint="eastAsia" w:ascii="宋体" w:hAnsi="Calibri" w:eastAsia="宋体" w:cs="Times New Roman"/>
          <w:kern w:val="2"/>
          <w:sz w:val="28"/>
          <w:szCs w:val="28"/>
          <w:lang w:val="en-US" w:eastAsia="zh-CN" w:bidi="ar-SA"/>
        </w:rPr>
      </w:pPr>
      <w:r>
        <w:rPr>
          <w:rFonts w:hint="eastAsia" w:ascii="宋体" w:hAnsi="Calibri" w:eastAsia="宋体" w:cs="Times New Roman"/>
          <w:kern w:val="2"/>
          <w:sz w:val="28"/>
          <w:szCs w:val="28"/>
          <w:lang w:val="en-US" w:eastAsia="zh-CN" w:bidi="ar-SA"/>
        </w:rPr>
        <w:t>（四）出具伪证、隐匿证据、毁灭证据或者教唆劳动者进行虚假陈述的；</w:t>
      </w:r>
    </w:p>
    <w:p>
      <w:pPr>
        <w:widowControl w:val="0"/>
        <w:numPr>
          <w:ilvl w:val="0"/>
          <w:numId w:val="0"/>
        </w:numPr>
        <w:tabs>
          <w:tab w:val="left" w:pos="1418"/>
        </w:tabs>
        <w:spacing w:line="360" w:lineRule="exact"/>
        <w:ind w:left="7" w:leftChars="0" w:firstLine="560" w:firstLineChars="200"/>
        <w:jc w:val="both"/>
        <w:rPr>
          <w:rFonts w:hint="eastAsia" w:ascii="宋体" w:hAnsi="Calibri" w:eastAsia="宋体" w:cs="Times New Roman"/>
          <w:kern w:val="2"/>
          <w:sz w:val="28"/>
          <w:szCs w:val="28"/>
          <w:lang w:val="en-US" w:eastAsia="zh-CN" w:bidi="ar-SA"/>
        </w:rPr>
      </w:pPr>
      <w:r>
        <w:rPr>
          <w:rFonts w:hint="eastAsia" w:ascii="宋体" w:hAnsi="Calibri" w:eastAsia="宋体" w:cs="Times New Roman"/>
          <w:kern w:val="2"/>
          <w:sz w:val="28"/>
          <w:szCs w:val="28"/>
          <w:lang w:val="en-US" w:eastAsia="zh-CN" w:bidi="ar-SA"/>
        </w:rPr>
        <w:t>（五）对人力资源社会保障行政部门采取登记保存措施的证据材料及相关设备擅自处理的。</w:t>
      </w:r>
    </w:p>
    <w:p>
      <w:pPr>
        <w:widowControl w:val="0"/>
        <w:tabs>
          <w:tab w:val="left" w:pos="1418"/>
        </w:tabs>
        <w:spacing w:line="360" w:lineRule="exact"/>
        <w:ind w:firstLine="560" w:firstLineChars="200"/>
        <w:jc w:val="both"/>
        <w:rPr>
          <w:rFonts w:hint="eastAsia" w:ascii="宋体" w:hAnsi="Calibri" w:eastAsia="宋体" w:cs="Times New Roman"/>
          <w:kern w:val="2"/>
          <w:sz w:val="28"/>
          <w:szCs w:val="28"/>
          <w:lang w:val="en-US" w:eastAsia="zh-CN" w:bidi="ar-SA"/>
        </w:rPr>
      </w:pPr>
      <w:r>
        <w:rPr>
          <w:rFonts w:hint="eastAsia" w:ascii="宋体" w:hAnsi="Calibri" w:eastAsia="宋体" w:cs="Times New Roman"/>
          <w:kern w:val="2"/>
          <w:sz w:val="28"/>
          <w:szCs w:val="28"/>
          <w:lang w:val="en-US" w:eastAsia="zh-CN" w:bidi="ar-SA"/>
        </w:rPr>
        <w:t>违反前款规定，构成违反治安管理行为的，由公安机关依法给予治安管理处罚；构成犯罪的，依法追究刑事责任。</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EE9160"/>
    <w:rsid w:val="14FF3A15"/>
    <w:rsid w:val="217F2108"/>
    <w:rsid w:val="396ADFFC"/>
    <w:rsid w:val="3D79BFCE"/>
    <w:rsid w:val="3F27A9AB"/>
    <w:rsid w:val="3FFDCE04"/>
    <w:rsid w:val="49FD4DE0"/>
    <w:rsid w:val="5BFDACCE"/>
    <w:rsid w:val="5F7F97B1"/>
    <w:rsid w:val="6DED0E3C"/>
    <w:rsid w:val="6E965E07"/>
    <w:rsid w:val="6EFF287C"/>
    <w:rsid w:val="75FFB302"/>
    <w:rsid w:val="7757517D"/>
    <w:rsid w:val="77792A49"/>
    <w:rsid w:val="77F883E6"/>
    <w:rsid w:val="7A5BFA40"/>
    <w:rsid w:val="7BDFA815"/>
    <w:rsid w:val="7BFF91AE"/>
    <w:rsid w:val="7D171FEE"/>
    <w:rsid w:val="7D3EF3D4"/>
    <w:rsid w:val="7DBD232F"/>
    <w:rsid w:val="7F66094A"/>
    <w:rsid w:val="7F7F1209"/>
    <w:rsid w:val="7FBF6315"/>
    <w:rsid w:val="AFBFEDC3"/>
    <w:rsid w:val="BD5C056C"/>
    <w:rsid w:val="CF6F3224"/>
    <w:rsid w:val="D6B724BF"/>
    <w:rsid w:val="D7DD74EC"/>
    <w:rsid w:val="DE5FC683"/>
    <w:rsid w:val="DF7F2CF0"/>
    <w:rsid w:val="DF7FBC6E"/>
    <w:rsid w:val="EBEE9160"/>
    <w:rsid w:val="ED7F34FE"/>
    <w:rsid w:val="EF795649"/>
    <w:rsid w:val="F3FDBFD9"/>
    <w:rsid w:val="F5FEDC9B"/>
    <w:rsid w:val="F717A77F"/>
    <w:rsid w:val="F7973F41"/>
    <w:rsid w:val="F97D4B56"/>
    <w:rsid w:val="FA3FD711"/>
    <w:rsid w:val="FB65B962"/>
    <w:rsid w:val="FDFF33CC"/>
    <w:rsid w:val="FED79B54"/>
    <w:rsid w:val="FF2F4080"/>
    <w:rsid w:val="FF775E33"/>
    <w:rsid w:val="FFFD2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qFormat/>
    <w:uiPriority w:val="0"/>
    <w:rPr>
      <w:color w:val="0000FF"/>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2025-04-06T01:36:00Z</dcterms:created>
  <dc:creator>lxl</dc:creator>
  <cp:lastModifiedBy>麦晓君</cp:lastModifiedBy>
  <dcterms:modified xsi:type="dcterms:W3CDTF">2025-04-17T15:59:45Z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B3E0265D89A235741FD0FC67F2E8F9E9</vt:lpwstr>
  </property>
</Properties>
</file>