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大鹏新区基层应急管理规范化建设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采购评分标准</w:t>
      </w:r>
    </w:p>
    <w:p>
      <w:pPr>
        <w:spacing w:line="180" w:lineRule="atLeast"/>
        <w:jc w:val="center"/>
        <w:rPr>
          <w:rFonts w:ascii="方正小标宋简体" w:hAnsi="方正小标宋简体" w:eastAsia="方正小标宋简体" w:cs="方正小标宋简体"/>
          <w:sz w:val="22"/>
        </w:rPr>
      </w:pPr>
    </w:p>
    <w:p>
      <w:pPr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单位：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bCs/>
          <w:sz w:val="32"/>
          <w:szCs w:val="32"/>
        </w:rPr>
        <w:t>得分：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分</w:t>
      </w: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1.权重范围（方案+价格</w:t>
      </w:r>
      <w:r>
        <w:rPr>
          <w:rFonts w:hint="eastAsia" w:ascii="仿宋" w:hAnsi="仿宋" w:eastAsia="仿宋" w:cs="仿宋"/>
          <w:szCs w:val="21"/>
          <w:lang w:val="en-US" w:eastAsia="zh-CN"/>
        </w:rPr>
        <w:t>+面谈</w:t>
      </w:r>
      <w:r>
        <w:rPr>
          <w:rFonts w:hint="eastAsia" w:ascii="仿宋" w:hAnsi="仿宋" w:eastAsia="仿宋" w:cs="仿宋"/>
          <w:szCs w:val="21"/>
        </w:rPr>
        <w:t>=100分）</w:t>
      </w:r>
    </w:p>
    <w:tbl>
      <w:tblPr>
        <w:tblStyle w:val="5"/>
        <w:tblW w:w="461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3630"/>
        <w:gridCol w:w="3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88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价格部分</w:t>
            </w:r>
          </w:p>
        </w:tc>
        <w:tc>
          <w:tcPr>
            <w:tcW w:w="1975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方案部分</w:t>
            </w:r>
          </w:p>
        </w:tc>
        <w:tc>
          <w:tcPr>
            <w:tcW w:w="173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面谈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  <w:jc w:val="center"/>
        </w:trPr>
        <w:tc>
          <w:tcPr>
            <w:tcW w:w="1288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1975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1735" w:type="pct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20分</w:t>
            </w:r>
          </w:p>
        </w:tc>
      </w:tr>
    </w:tbl>
    <w:p>
      <w:pPr>
        <w:spacing w:before="156" w:beforeLines="50" w:after="156" w:afterLines="50" w:line="40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2.评分因素</w:t>
      </w:r>
    </w:p>
    <w:tbl>
      <w:tblPr>
        <w:tblStyle w:val="5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94"/>
        <w:gridCol w:w="851"/>
        <w:gridCol w:w="836"/>
        <w:gridCol w:w="865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1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评分项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权重</w:t>
            </w:r>
          </w:p>
        </w:tc>
        <w:tc>
          <w:tcPr>
            <w:tcW w:w="473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得值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541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一、价格部分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分</w:t>
            </w:r>
          </w:p>
        </w:tc>
        <w:tc>
          <w:tcPr>
            <w:tcW w:w="473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137" w:type="dxa"/>
            <w:gridSpan w:val="6"/>
            <w:noWrap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价格分计算方法：以满足采购要求且最低报价为基准价，其价格分为满分。其他报价人的价格分统一按照下列公式计算：</w:t>
            </w:r>
          </w:p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报价得分=(基准价／报价)×</w:t>
            </w:r>
            <w:r>
              <w:rPr>
                <w:rFonts w:hint="default" w:ascii="仿宋" w:hAnsi="仿宋" w:eastAsia="仿宋" w:cs="仿宋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541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二、方案部分</w:t>
            </w:r>
          </w:p>
        </w:tc>
        <w:tc>
          <w:tcPr>
            <w:tcW w:w="559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评分因素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分值范围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得分</w:t>
            </w:r>
          </w:p>
        </w:tc>
        <w:tc>
          <w:tcPr>
            <w:tcW w:w="473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方案完整性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主观/客观评分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4731" w:type="dxa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评审标准：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根据报价文件的内容，对报价方案的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szCs w:val="21"/>
              </w:rPr>
              <w:t>专业化和详细程度、项目人员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和相关证书资质</w:t>
            </w:r>
            <w:r>
              <w:rPr>
                <w:rFonts w:hint="eastAsia" w:ascii="仿宋" w:hAnsi="仿宋" w:eastAsia="仿宋" w:cs="仿宋"/>
                <w:szCs w:val="21"/>
              </w:rPr>
              <w:t>安排明细、价格构成明细、同类项目经验介绍等情况进行横向对比打分。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优：</w:t>
            </w:r>
            <w:r>
              <w:rPr>
                <w:rFonts w:hint="eastAsia" w:ascii="仿宋" w:hAnsi="仿宋" w:eastAsia="仿宋" w:cs="仿宋"/>
                <w:szCs w:val="21"/>
              </w:rPr>
              <w:t>方案内容全面完整、有详细的人员安排、价格构成合理且详细、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项目内容</w:t>
            </w:r>
            <w:r>
              <w:rPr>
                <w:rFonts w:hint="eastAsia" w:ascii="仿宋" w:hAnsi="仿宋" w:eastAsia="仿宋" w:cs="仿宋"/>
                <w:szCs w:val="21"/>
              </w:rPr>
              <w:t>设计与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工作安排</w:t>
            </w:r>
            <w:r>
              <w:rPr>
                <w:rFonts w:hint="eastAsia" w:ascii="仿宋" w:hAnsi="仿宋" w:eastAsia="仿宋" w:cs="仿宋"/>
                <w:szCs w:val="21"/>
              </w:rPr>
              <w:t>比较契合、专业性强、有同类经验介绍，能够充分满足工作内容需求、可实施性强、预期效果好的，得20-30分；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良：</w:t>
            </w:r>
            <w:r>
              <w:rPr>
                <w:rFonts w:hint="eastAsia" w:ascii="仿宋" w:hAnsi="仿宋" w:eastAsia="仿宋" w:cs="仿宋"/>
                <w:szCs w:val="21"/>
              </w:rPr>
              <w:t>方案内容较全面、有粗略的人员安排、价格构成详细、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项目内容</w:t>
            </w:r>
            <w:r>
              <w:rPr>
                <w:rFonts w:hint="eastAsia" w:ascii="仿宋" w:hAnsi="仿宋" w:eastAsia="仿宋" w:cs="仿宋"/>
                <w:szCs w:val="21"/>
              </w:rPr>
              <w:t>设计与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工作安排</w:t>
            </w:r>
            <w:r>
              <w:rPr>
                <w:rFonts w:hint="eastAsia" w:ascii="仿宋" w:hAnsi="仿宋" w:eastAsia="仿宋" w:cs="仿宋"/>
                <w:szCs w:val="21"/>
              </w:rPr>
              <w:t>需求契合、有一定专业性，可实施性较强、预期效果较好，得10-20分；</w:t>
            </w:r>
          </w:p>
          <w:p>
            <w:pPr>
              <w:spacing w:line="3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差：</w:t>
            </w:r>
            <w:r>
              <w:rPr>
                <w:rFonts w:hint="eastAsia" w:ascii="仿宋" w:hAnsi="仿宋" w:eastAsia="仿宋" w:cs="仿宋"/>
                <w:szCs w:val="21"/>
              </w:rPr>
              <w:t>方案内容不全面、无详细人员，价格构成不清楚的，可实施性牵强、专业性不强，预期效果不定，得10分以下。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项目经验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主观/客观评分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eastAsia="zh-CN"/>
              </w:rPr>
            </w:pPr>
          </w:p>
        </w:tc>
        <w:tc>
          <w:tcPr>
            <w:tcW w:w="4731" w:type="dxa"/>
            <w:noWrap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评审标准：</w:t>
            </w:r>
          </w:p>
          <w:p>
            <w:pPr>
              <w:pStyle w:val="2"/>
              <w:autoSpaceDE/>
              <w:autoSpaceDN/>
              <w:adjustRightInd/>
              <w:spacing w:line="340" w:lineRule="exact"/>
              <w:textAlignment w:val="auto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报价单位曾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</w:rPr>
              <w:t>承接相关业务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的情况，按照经验丰富程度进行横向对比打分。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投标人提供自202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年1月1日起至本项目投标截止时间（以合同签订日期为准）的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有关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基层应急管理规范化建设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或者其他类别规范化建设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项目业绩情况。每提供1个得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分，最高得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（报价文件未说明的默认无相关经验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，不得分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94" w:type="dxa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服务团队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主观/客观评分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4731" w:type="dxa"/>
            <w:noWrap/>
            <w:vAlign w:val="center"/>
          </w:tcPr>
          <w:p>
            <w:pPr>
              <w:pStyle w:val="2"/>
              <w:autoSpaceDE/>
              <w:autoSpaceDN/>
              <w:adjustRightInd/>
              <w:spacing w:line="340" w:lineRule="exact"/>
              <w:textAlignment w:val="auto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评审标准：</w:t>
            </w:r>
          </w:p>
          <w:p>
            <w:pPr>
              <w:pStyle w:val="2"/>
              <w:autoSpaceDE/>
              <w:autoSpaceDN/>
              <w:adjustRightInd/>
              <w:spacing w:line="340" w:lineRule="exact"/>
              <w:textAlignment w:val="auto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根据报价单位针对项目成立的服务团队规模、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专业能力、持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有注册安全工程师或者其他相关职称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</w:rPr>
              <w:t>情况进行横向对比打分。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优：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派出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项目人员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8-10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名，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成员均持有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中级职称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以上证书人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员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8-10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良：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提供项目人员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5-8名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成员均持有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中级职称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以上证书人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员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5-7分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差：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派出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项目人员</w:t>
            </w:r>
            <w:r>
              <w:rPr>
                <w:rFonts w:hint="default" w:ascii="仿宋" w:hAnsi="仿宋" w:eastAsia="仿宋" w:cs="仿宋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名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以下（不含本数）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541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三、面谈部分</w:t>
            </w:r>
          </w:p>
        </w:tc>
        <w:tc>
          <w:tcPr>
            <w:tcW w:w="559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序号</w:t>
            </w: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评分因素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分值范围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  <w:lang w:eastAsia="zh-CN"/>
              </w:rPr>
              <w:t>得分</w:t>
            </w:r>
          </w:p>
        </w:tc>
        <w:tc>
          <w:tcPr>
            <w:tcW w:w="473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  <w:lang w:eastAsia="zh-CN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  <w:lang w:eastAsia="zh-CN"/>
              </w:rPr>
              <w:t>面谈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主观/客观评分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Cs w:val="21"/>
              </w:rPr>
              <w:t>≤20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31" w:type="dxa"/>
            <w:noWrap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评审标准：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根据投标人回答描述信息等情况进行横向对比打分。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优：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回答准确、思路清晰、表达流畅、优势明显，专业性强、逻辑严谨、提出合理化建议，得12-20分；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良：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回答一般、思路一般、表述一般、优势一般，专业性较好、逻辑一般，得4-12分；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差：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答非所问、思路不清、表述模糊、优势不明显，专业性不强、逻辑不严谨，得4分以下。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565AC"/>
    <w:rsid w:val="006E3D10"/>
    <w:rsid w:val="010951C5"/>
    <w:rsid w:val="0409462E"/>
    <w:rsid w:val="0629102F"/>
    <w:rsid w:val="06754CB4"/>
    <w:rsid w:val="06823206"/>
    <w:rsid w:val="07D018DB"/>
    <w:rsid w:val="097F258C"/>
    <w:rsid w:val="0A173E7D"/>
    <w:rsid w:val="0A1F06C2"/>
    <w:rsid w:val="0CA65EF2"/>
    <w:rsid w:val="11975825"/>
    <w:rsid w:val="1A4F03DB"/>
    <w:rsid w:val="1AC73D6A"/>
    <w:rsid w:val="1D3346D0"/>
    <w:rsid w:val="1EF76411"/>
    <w:rsid w:val="222F4FE7"/>
    <w:rsid w:val="23806535"/>
    <w:rsid w:val="243D51CE"/>
    <w:rsid w:val="24AE417C"/>
    <w:rsid w:val="27FD5522"/>
    <w:rsid w:val="2BD01425"/>
    <w:rsid w:val="2C1A54DB"/>
    <w:rsid w:val="2D0C5DFB"/>
    <w:rsid w:val="2FBDA7D0"/>
    <w:rsid w:val="328C6B86"/>
    <w:rsid w:val="33087284"/>
    <w:rsid w:val="359E0E9F"/>
    <w:rsid w:val="362413E7"/>
    <w:rsid w:val="37DB89FC"/>
    <w:rsid w:val="39EF7B66"/>
    <w:rsid w:val="3F2C7509"/>
    <w:rsid w:val="3FBF859E"/>
    <w:rsid w:val="3FE002ED"/>
    <w:rsid w:val="42AF1A3A"/>
    <w:rsid w:val="42DA5C44"/>
    <w:rsid w:val="4485489F"/>
    <w:rsid w:val="47FB4F04"/>
    <w:rsid w:val="48AD1835"/>
    <w:rsid w:val="49B565AC"/>
    <w:rsid w:val="49E81F91"/>
    <w:rsid w:val="4BB83200"/>
    <w:rsid w:val="4BBE7E11"/>
    <w:rsid w:val="4C7F53D9"/>
    <w:rsid w:val="4D7DA6AD"/>
    <w:rsid w:val="4DF733CA"/>
    <w:rsid w:val="4DFDAF02"/>
    <w:rsid w:val="4F222967"/>
    <w:rsid w:val="550C40AA"/>
    <w:rsid w:val="55FF473C"/>
    <w:rsid w:val="569A5D39"/>
    <w:rsid w:val="586942EE"/>
    <w:rsid w:val="598A40CB"/>
    <w:rsid w:val="59BDEF6A"/>
    <w:rsid w:val="5B7E82AD"/>
    <w:rsid w:val="5B9E7409"/>
    <w:rsid w:val="5BD16715"/>
    <w:rsid w:val="5BE760B3"/>
    <w:rsid w:val="5EFDD958"/>
    <w:rsid w:val="5F2A72A5"/>
    <w:rsid w:val="5F3D30A7"/>
    <w:rsid w:val="5F73AAAF"/>
    <w:rsid w:val="5FDB5320"/>
    <w:rsid w:val="5FEF4B6E"/>
    <w:rsid w:val="61602952"/>
    <w:rsid w:val="63B3D2D9"/>
    <w:rsid w:val="667144BD"/>
    <w:rsid w:val="67645E46"/>
    <w:rsid w:val="69432181"/>
    <w:rsid w:val="6B9F05D6"/>
    <w:rsid w:val="6BAA5958"/>
    <w:rsid w:val="6C2E5534"/>
    <w:rsid w:val="6D6F1C97"/>
    <w:rsid w:val="6FEF4753"/>
    <w:rsid w:val="702F2ABC"/>
    <w:rsid w:val="70A622D0"/>
    <w:rsid w:val="70DA0B87"/>
    <w:rsid w:val="70F7668E"/>
    <w:rsid w:val="717C04F8"/>
    <w:rsid w:val="71BC1E4F"/>
    <w:rsid w:val="71F41120"/>
    <w:rsid w:val="71F93A09"/>
    <w:rsid w:val="74C55081"/>
    <w:rsid w:val="76F70944"/>
    <w:rsid w:val="778F3D6C"/>
    <w:rsid w:val="7979D1D5"/>
    <w:rsid w:val="797E7EC7"/>
    <w:rsid w:val="798C211B"/>
    <w:rsid w:val="79DF6B6A"/>
    <w:rsid w:val="79EE3E83"/>
    <w:rsid w:val="7A37232E"/>
    <w:rsid w:val="7A7B5273"/>
    <w:rsid w:val="7B80AD17"/>
    <w:rsid w:val="7DB95B07"/>
    <w:rsid w:val="7DDF03BC"/>
    <w:rsid w:val="7DF9540A"/>
    <w:rsid w:val="7EDB021F"/>
    <w:rsid w:val="7EEFADE2"/>
    <w:rsid w:val="7F3558CD"/>
    <w:rsid w:val="7F38CAB7"/>
    <w:rsid w:val="7FB7232C"/>
    <w:rsid w:val="7FCF6B4B"/>
    <w:rsid w:val="7FD53A41"/>
    <w:rsid w:val="7FFD3B39"/>
    <w:rsid w:val="7FFE8E54"/>
    <w:rsid w:val="AEBCE92E"/>
    <w:rsid w:val="B7FDB4D6"/>
    <w:rsid w:val="BA5D2786"/>
    <w:rsid w:val="BBFEC6C9"/>
    <w:rsid w:val="BECD8485"/>
    <w:rsid w:val="BFDE0D6B"/>
    <w:rsid w:val="CADF9144"/>
    <w:rsid w:val="CD7FBA36"/>
    <w:rsid w:val="CF6FBCF4"/>
    <w:rsid w:val="D4FECED5"/>
    <w:rsid w:val="DD65D879"/>
    <w:rsid w:val="DDAFA067"/>
    <w:rsid w:val="E55BF60C"/>
    <w:rsid w:val="E77F098E"/>
    <w:rsid w:val="E7B741FB"/>
    <w:rsid w:val="EFF97497"/>
    <w:rsid w:val="F6DF5B10"/>
    <w:rsid w:val="F729F5C7"/>
    <w:rsid w:val="F75FDB0A"/>
    <w:rsid w:val="FAF4D4DF"/>
    <w:rsid w:val="FAF51E48"/>
    <w:rsid w:val="FCFB1E3A"/>
    <w:rsid w:val="FDFFBF81"/>
    <w:rsid w:val="FE7FD76A"/>
    <w:rsid w:val="FEDD58D6"/>
    <w:rsid w:val="FEF5B1BA"/>
    <w:rsid w:val="FF35EC44"/>
    <w:rsid w:val="FFD7280F"/>
    <w:rsid w:val="FFEA7139"/>
    <w:rsid w:val="FFEB4FF3"/>
    <w:rsid w:val="FFF746AD"/>
    <w:rsid w:val="FFFBDB3E"/>
    <w:rsid w:val="FFFEECB8"/>
    <w:rsid w:val="FFFFCDE1"/>
    <w:rsid w:val="FFFF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2021-01-27T21:02:00Z</dcterms:created>
  <dc:creator>陈绮</dc:creator>
  <cp:lastModifiedBy>陈映婷</cp:lastModifiedBy>
  <cp:lastPrinted>2025-06-07T03:10:00Z</cp:lastPrinted>
  <dcterms:modified xsi:type="dcterms:W3CDTF">2025-06-06T15:01:53Z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26DABBE137A2897B9AD06266554F4EEE</vt:lpwstr>
  </property>
</Properties>
</file>