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用户水龙头水质监测信息公开表（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季度）</w:t>
      </w:r>
      <w:bookmarkEnd w:id="0"/>
    </w:p>
    <w:tbl>
      <w:tblPr>
        <w:tblStyle w:val="3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3"/>
        <w:gridCol w:w="1035"/>
        <w:gridCol w:w="1035"/>
        <w:gridCol w:w="1051"/>
        <w:gridCol w:w="1417"/>
        <w:gridCol w:w="4783"/>
        <w:gridCol w:w="1201"/>
        <w:gridCol w:w="9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监测点地址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供水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果评价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不达标指标的检测值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大鹏街道王母社区叠福村C栋C3一楼水龙头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大鹏街道大鹏社区建设路4号岭澳花园小区入口左侧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大鹏街道布新社区布新路66号布新学校门口左侧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大鹏街道下沙社区中山路下沙新村（大鹏实验幼儿园一楼洗手台）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大鹏街道大鹏公园路岭吓新村村口水龙头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大鹏街道鹏城社区银滩路7号大鹏第二小学侧边厕所洗手台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大鹏街道岭澳社区岭南路67号KPR佳兆业广场香江维园餐厅厨房洗菜台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葵涌街道三溪社区三溪西路29号葵涌中心小学侧边一楼主水龙头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葵涌街道葵丰社区葵兴西路31号葵涌第二小学路口旁水龙头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葵涌街道高源社区高源公园路退役军人服务站一楼（高源社区工作站旁）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葵涌街道土洋社区土洋加油站水龙头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葵涌街道坝光社区丰树苑小区旁地面停车场水龙头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葵涌街道葵新社区金业大道金葵二期瑞瑞商店门前水龙头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葵涌街道葵新社区葵兴东路葵兴村（老水务所）一楼水龙头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葵丰社区石葵路2号云山栖6栋一楼水龙头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2025年5月13日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大鹏街道鹏城社区核电基地南苑餐厅一楼洗手盆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大鹏街道鹏城社区核电基北区01楼餐厅一楼洗手盆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南澳街道南隆社区教育路37号南澳中学门卫室水龙头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南澳街道南隆社区人民路37号南澳中心小学门口水龙头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南澳街道南隆社区富民路南澳加油站水龙头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南澳街道东涌社区东涌店仔村2号门口水龙头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南澳街道东涌社区工作站一楼卫生间洗手盆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2025年5月12日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注：（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）水样采集、保存、运输及检验方法：按照现行《生活饮用水标准检验方法》（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GB/T5750-20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）的要求进行。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）以《生活饮用水卫生标准》（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GB5749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－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）作为评价标准，检测值在标准限值和要求范围内评价为达标。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9FA4B4"/>
    <w:rsid w:val="4A1947CF"/>
    <w:rsid w:val="7EE9D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/>
      <w:tabs>
        <w:tab w:val="left" w:pos="1800"/>
      </w:tabs>
      <w:spacing w:before="340" w:afterLines="50" w:line="576" w:lineRule="auto"/>
      <w:jc w:val="left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2025-06-17T15:08:28Z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B59C5D2B16A922AF601451687ED3198C</vt:lpwstr>
  </property>
</Properties>
</file>