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980"/>
        </w:tabs>
        <w:kinsoku/>
        <w:wordWrap/>
        <w:overflowPunct/>
        <w:topLinePunct w:val="0"/>
        <w:autoSpaceDE/>
        <w:autoSpaceDN/>
        <w:bidi w:val="0"/>
        <w:adjustRightInd/>
        <w:snapToGrid/>
        <w:spacing w:line="520" w:lineRule="exact"/>
        <w:ind w:left="-360" w:right="-867" w:firstLine="48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tabs>
          <w:tab w:val="left" w:pos="8980"/>
        </w:tabs>
        <w:kinsoku/>
        <w:wordWrap/>
        <w:overflowPunct/>
        <w:topLinePunct w:val="0"/>
        <w:autoSpaceDE/>
        <w:autoSpaceDN/>
        <w:bidi w:val="0"/>
        <w:adjustRightInd/>
        <w:snapToGrid/>
        <w:spacing w:line="520" w:lineRule="exact"/>
        <w:ind w:left="-360" w:right="-867" w:firstLine="480"/>
        <w:jc w:val="center"/>
        <w:textAlignment w:val="auto"/>
        <w:rPr>
          <w:rFonts w:hint="default" w:ascii="宋体" w:cs="Times New Roman"/>
          <w:sz w:val="24"/>
          <w:szCs w:val="22"/>
          <w:lang w:val="en-US" w:eastAsia="zh-CN"/>
        </w:rPr>
      </w:pPr>
    </w:p>
    <w:p>
      <w:pPr>
        <w:spacing w:line="560" w:lineRule="exact"/>
        <w:jc w:val="center"/>
        <w:rPr>
          <w:rFonts w:hint="eastAsia"/>
          <w:b/>
          <w:sz w:val="44"/>
        </w:rPr>
      </w:pPr>
      <w:bookmarkStart w:id="0" w:name="_GoBack"/>
      <w:r>
        <w:rPr>
          <w:rFonts w:hint="eastAsia"/>
          <w:b/>
          <w:sz w:val="44"/>
        </w:rPr>
        <w:t>法律链接</w:t>
      </w:r>
    </w:p>
    <w:bookmarkEnd w:id="0"/>
    <w:p>
      <w:pPr>
        <w:spacing w:line="560" w:lineRule="exact"/>
        <w:jc w:val="center"/>
        <w:rPr>
          <w:rFonts w:hint="eastAsia"/>
          <w:b/>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sz w:val="24"/>
          <w:szCs w:val="24"/>
          <w:lang w:eastAsia="zh-CN"/>
        </w:rPr>
      </w:pPr>
      <w:r>
        <w:rPr>
          <w:rFonts w:hint="eastAsia"/>
          <w:b/>
          <w:sz w:val="24"/>
          <w:szCs w:val="24"/>
          <w:lang w:eastAsia="zh-CN"/>
        </w:rPr>
        <w:t>中华人民共和国行政处罚法</w:t>
      </w:r>
    </w:p>
    <w:p>
      <w:pPr>
        <w:keepNext w:val="0"/>
        <w:keepLines w:val="0"/>
        <w:pageBreakBefore w:val="0"/>
        <w:widowControl w:val="0"/>
        <w:kinsoku/>
        <w:wordWrap/>
        <w:overflowPunct/>
        <w:topLinePunct w:val="0"/>
        <w:autoSpaceDE/>
        <w:autoSpaceDN/>
        <w:bidi w:val="0"/>
        <w:adjustRightInd/>
        <w:snapToGrid/>
        <w:spacing w:line="440" w:lineRule="exact"/>
        <w:ind w:firstLine="481" w:firstLineChars="200"/>
        <w:jc w:val="left"/>
        <w:textAlignment w:val="auto"/>
        <w:rPr>
          <w:rFonts w:hint="eastAsia"/>
          <w:b w:val="0"/>
          <w:bCs/>
          <w:sz w:val="24"/>
          <w:szCs w:val="24"/>
        </w:rPr>
      </w:pPr>
      <w:r>
        <w:rPr>
          <w:rFonts w:hint="eastAsia"/>
          <w:b/>
          <w:bCs w:val="0"/>
          <w:sz w:val="24"/>
          <w:szCs w:val="24"/>
        </w:rPr>
        <w:t>第四十四条</w:t>
      </w:r>
      <w:r>
        <w:rPr>
          <w:rFonts w:hint="eastAsia"/>
          <w:b w:val="0"/>
          <w:bCs/>
          <w:sz w:val="24"/>
          <w:szCs w:val="24"/>
        </w:rPr>
        <w:t>　行政机关在作出行政处罚决定之前，应当告知当事人拟作出的行政处罚内容及事实、理由、依据，并告知当事人依法享有的陈述、申辩、要求听证等权利。</w:t>
      </w:r>
    </w:p>
    <w:p>
      <w:pPr>
        <w:keepNext w:val="0"/>
        <w:keepLines w:val="0"/>
        <w:pageBreakBefore w:val="0"/>
        <w:widowControl w:val="0"/>
        <w:kinsoku/>
        <w:wordWrap/>
        <w:overflowPunct/>
        <w:topLinePunct w:val="0"/>
        <w:autoSpaceDE/>
        <w:autoSpaceDN/>
        <w:bidi w:val="0"/>
        <w:adjustRightInd/>
        <w:snapToGrid/>
        <w:spacing w:line="440" w:lineRule="exact"/>
        <w:ind w:firstLine="481" w:firstLineChars="200"/>
        <w:jc w:val="left"/>
        <w:textAlignment w:val="auto"/>
        <w:rPr>
          <w:rFonts w:hint="eastAsia"/>
          <w:b w:val="0"/>
          <w:bCs/>
          <w:sz w:val="24"/>
          <w:szCs w:val="24"/>
        </w:rPr>
      </w:pPr>
      <w:r>
        <w:rPr>
          <w:rFonts w:hint="eastAsia"/>
          <w:b/>
          <w:bCs w:val="0"/>
          <w:sz w:val="24"/>
          <w:szCs w:val="24"/>
        </w:rPr>
        <w:t>第四十五条</w:t>
      </w:r>
      <w:r>
        <w:rPr>
          <w:rFonts w:hint="eastAsia"/>
          <w:b w:val="0"/>
          <w:bCs/>
          <w:sz w:val="24"/>
          <w:szCs w:val="24"/>
        </w:rPr>
        <w:t>　当事人有权进行陈述和申辩。行政机关必须充分听取当事人的意见，对当事人提出的事实、理由和证据，应当进行复核；当事人提出的事实、理由或者证据成立的，行政机关应当采纳。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b w:val="0"/>
          <w:bCs/>
          <w:sz w:val="24"/>
          <w:szCs w:val="24"/>
          <w:lang w:eastAsia="zh-CN"/>
        </w:rPr>
      </w:pPr>
      <w:r>
        <w:rPr>
          <w:rFonts w:hint="eastAsia"/>
          <w:b w:val="0"/>
          <w:bCs/>
          <w:sz w:val="24"/>
          <w:szCs w:val="24"/>
        </w:rPr>
        <w:t>行政机关不得因当事人陈述、申辩而给予更重的处罚</w:t>
      </w:r>
      <w:r>
        <w:rPr>
          <w:rFonts w:hint="eastAsia"/>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b/>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b/>
          <w:sz w:val="24"/>
          <w:szCs w:val="24"/>
          <w:lang w:eastAsia="zh-CN"/>
        </w:rPr>
      </w:pPr>
      <w:r>
        <w:rPr>
          <w:rFonts w:hint="eastAsia" w:eastAsia="宋体"/>
          <w:b/>
          <w:sz w:val="24"/>
          <w:szCs w:val="24"/>
          <w:lang w:eastAsia="zh-CN"/>
        </w:rPr>
        <w:t>中华人民共和国民事诉讼法</w:t>
      </w:r>
    </w:p>
    <w:p>
      <w:pPr>
        <w:keepNext w:val="0"/>
        <w:keepLines w:val="0"/>
        <w:pageBreakBefore w:val="0"/>
        <w:widowControl w:val="0"/>
        <w:kinsoku/>
        <w:wordWrap/>
        <w:overflowPunct/>
        <w:topLinePunct w:val="0"/>
        <w:autoSpaceDE/>
        <w:autoSpaceDN/>
        <w:bidi w:val="0"/>
        <w:adjustRightInd/>
        <w:snapToGrid/>
        <w:spacing w:line="440" w:lineRule="exact"/>
        <w:ind w:firstLine="481" w:firstLineChars="200"/>
        <w:jc w:val="left"/>
        <w:textAlignment w:val="auto"/>
        <w:rPr>
          <w:rFonts w:hint="eastAsia" w:eastAsia="宋体"/>
          <w:b w:val="0"/>
          <w:bCs/>
          <w:sz w:val="24"/>
          <w:szCs w:val="24"/>
          <w:lang w:eastAsia="zh-CN"/>
        </w:rPr>
      </w:pPr>
      <w:r>
        <w:rPr>
          <w:rFonts w:hint="eastAsia" w:eastAsia="宋体"/>
          <w:b/>
          <w:bCs w:val="0"/>
          <w:sz w:val="24"/>
          <w:szCs w:val="24"/>
          <w:lang w:eastAsia="zh-CN"/>
        </w:rPr>
        <w:t>第九十五条</w:t>
      </w:r>
      <w:r>
        <w:rPr>
          <w:rFonts w:hint="eastAsia" w:eastAsia="宋体"/>
          <w:b w:val="0"/>
          <w:bCs/>
          <w:sz w:val="24"/>
          <w:szCs w:val="24"/>
          <w:lang w:eastAsia="zh-CN"/>
        </w:rPr>
        <w:t>　受送达人下落不明，或者用本节规定的其他方式无法送达的，公告送达。自发出公告之日起，经过三十日，即视为送达。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val="0"/>
          <w:bCs/>
          <w:sz w:val="24"/>
          <w:szCs w:val="24"/>
          <w:lang w:eastAsia="zh-CN"/>
        </w:rPr>
      </w:pPr>
      <w:r>
        <w:rPr>
          <w:rFonts w:hint="eastAsia" w:eastAsia="宋体"/>
          <w:b w:val="0"/>
          <w:bCs/>
          <w:sz w:val="24"/>
          <w:szCs w:val="24"/>
          <w:lang w:eastAsia="zh-CN"/>
        </w:rPr>
        <w:t>公告送达，应当在案卷中记明原因和经过。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val="0"/>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1" w:firstLineChars="200"/>
        <w:jc w:val="center"/>
        <w:textAlignment w:val="auto"/>
        <w:rPr>
          <w:rFonts w:hint="eastAsia"/>
          <w:b/>
          <w:bCs w:val="0"/>
          <w:sz w:val="24"/>
          <w:szCs w:val="24"/>
        </w:rPr>
      </w:pPr>
      <w:r>
        <w:rPr>
          <w:rFonts w:hint="eastAsia"/>
          <w:b/>
          <w:bCs w:val="0"/>
          <w:sz w:val="24"/>
          <w:szCs w:val="24"/>
        </w:rPr>
        <w:t>广东省劳动保障监察条例</w:t>
      </w:r>
    </w:p>
    <w:p>
      <w:pPr>
        <w:keepNext w:val="0"/>
        <w:keepLines w:val="0"/>
        <w:pageBreakBefore w:val="0"/>
        <w:widowControl w:val="0"/>
        <w:kinsoku/>
        <w:wordWrap/>
        <w:overflowPunct/>
        <w:topLinePunct w:val="0"/>
        <w:autoSpaceDE/>
        <w:autoSpaceDN/>
        <w:bidi w:val="0"/>
        <w:adjustRightInd/>
        <w:snapToGrid/>
        <w:spacing w:line="440" w:lineRule="exact"/>
        <w:ind w:firstLine="481" w:firstLineChars="200"/>
        <w:jc w:val="left"/>
        <w:textAlignment w:val="auto"/>
        <w:rPr>
          <w:rFonts w:hint="eastAsia"/>
          <w:b w:val="0"/>
          <w:bCs/>
          <w:sz w:val="24"/>
          <w:szCs w:val="24"/>
        </w:rPr>
      </w:pPr>
      <w:r>
        <w:rPr>
          <w:rFonts w:hint="eastAsia"/>
          <w:b/>
          <w:bCs w:val="0"/>
          <w:sz w:val="24"/>
          <w:szCs w:val="24"/>
        </w:rPr>
        <w:t>第七条</w:t>
      </w:r>
      <w:r>
        <w:rPr>
          <w:rFonts w:hint="eastAsia"/>
          <w:b w:val="0"/>
          <w:bCs/>
          <w:sz w:val="24"/>
          <w:szCs w:val="24"/>
        </w:rPr>
        <w:t xml:space="preserve">  用人单位、劳务派遣用工单位应当遵守劳动保障法律、法规和规章，完善劳动用工管理，接受和配合劳动保障监察。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b w:val="0"/>
          <w:bCs/>
          <w:sz w:val="24"/>
          <w:szCs w:val="24"/>
        </w:rPr>
      </w:pPr>
      <w:r>
        <w:rPr>
          <w:rFonts w:hint="eastAsia"/>
          <w:b w:val="0"/>
          <w:bCs/>
          <w:sz w:val="24"/>
          <w:szCs w:val="24"/>
        </w:rPr>
        <w:t>企业联合会、工商业联合会等企业方面代表依法引导、帮助用人单位规范用工，配合做好劳动保障监察工作。</w:t>
      </w:r>
    </w:p>
    <w:p>
      <w:pPr>
        <w:keepNext w:val="0"/>
        <w:keepLines w:val="0"/>
        <w:pageBreakBefore w:val="0"/>
        <w:widowControl w:val="0"/>
        <w:kinsoku/>
        <w:wordWrap/>
        <w:overflowPunct/>
        <w:topLinePunct w:val="0"/>
        <w:autoSpaceDE/>
        <w:autoSpaceDN/>
        <w:bidi w:val="0"/>
        <w:adjustRightInd/>
        <w:snapToGrid/>
        <w:spacing w:line="440" w:lineRule="exact"/>
        <w:ind w:firstLine="481" w:firstLineChars="200"/>
        <w:jc w:val="left"/>
        <w:textAlignment w:val="auto"/>
        <w:rPr>
          <w:rFonts w:hint="eastAsia" w:eastAsia="宋体" w:cs="Times New Roman"/>
          <w:b w:val="0"/>
          <w:bCs/>
          <w:sz w:val="24"/>
          <w:szCs w:val="24"/>
        </w:rPr>
      </w:pPr>
      <w:r>
        <w:rPr>
          <w:rFonts w:hint="eastAsia" w:eastAsia="宋体" w:cs="Times New Roman"/>
          <w:b/>
          <w:bCs w:val="0"/>
          <w:sz w:val="24"/>
          <w:szCs w:val="24"/>
        </w:rPr>
        <w:t>第四十七条</w:t>
      </w:r>
      <w:r>
        <w:rPr>
          <w:rFonts w:hint="eastAsia" w:eastAsia="宋体" w:cs="Times New Roman"/>
          <w:b w:val="0"/>
          <w:bCs/>
          <w:sz w:val="24"/>
          <w:szCs w:val="24"/>
        </w:rPr>
        <w:t xml:space="preserve">  人力资源社会保障行政部门制作出限期整改指令书、行政处理决定书、行政处罚决定书等法律文书后，应当在宣告后当场送达当事人；无法当场送达的，应当在七个工作日内参照民事诉讼的有关规定送达。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cs="Times New Roman"/>
          <w:b w:val="0"/>
          <w:bCs/>
          <w:sz w:val="24"/>
          <w:szCs w:val="24"/>
        </w:rPr>
      </w:pPr>
      <w:r>
        <w:rPr>
          <w:rFonts w:hint="eastAsia" w:eastAsia="宋体" w:cs="Times New Roman"/>
          <w:b w:val="0"/>
          <w:bCs/>
          <w:sz w:val="24"/>
          <w:szCs w:val="24"/>
        </w:rPr>
        <w:t>按照规定采取公告方式送达的，应当在受送达人办公场所或者住所张贴，并同时在当地新闻媒体或者人力资源社会保障行政部门门户网站公告，公告期为六十日；但按照本条例第四十一条规定处理的，或者用人单位的欠薪等劳动保障违法行为引发群体性事件的，公告期为三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cs="Times New Roman"/>
          <w:b w:val="0"/>
          <w:bCs/>
          <w:sz w:val="24"/>
          <w:szCs w:val="24"/>
        </w:rPr>
      </w:pPr>
      <w:r>
        <w:rPr>
          <w:rFonts w:hint="eastAsia" w:eastAsia="宋体" w:cs="Times New Roman"/>
          <w:b w:val="0"/>
          <w:bCs/>
          <w:sz w:val="24"/>
          <w:szCs w:val="24"/>
        </w:rPr>
        <w:t>投诉人指定法律文书送达地址的，人力资源社会保障行政部门可以通过邮政机构向该地址邮寄送达法律文书。</w:t>
      </w:r>
    </w:p>
    <w:p>
      <w:pPr>
        <w:keepNext w:val="0"/>
        <w:keepLines w:val="0"/>
        <w:pageBreakBefore w:val="0"/>
        <w:widowControl w:val="0"/>
        <w:kinsoku/>
        <w:wordWrap/>
        <w:overflowPunct/>
        <w:topLinePunct w:val="0"/>
        <w:autoSpaceDE/>
        <w:autoSpaceDN/>
        <w:bidi w:val="0"/>
        <w:adjustRightInd/>
        <w:snapToGrid/>
        <w:spacing w:line="440" w:lineRule="exact"/>
        <w:ind w:firstLine="481" w:firstLineChars="200"/>
        <w:jc w:val="left"/>
        <w:textAlignment w:val="auto"/>
        <w:rPr>
          <w:rFonts w:hint="eastAsia" w:cs="Times New Roman"/>
          <w:b w:val="0"/>
          <w:bCs/>
          <w:sz w:val="24"/>
          <w:szCs w:val="24"/>
        </w:rPr>
      </w:pPr>
      <w:r>
        <w:rPr>
          <w:rFonts w:hint="eastAsia" w:cs="Times New Roman"/>
          <w:b/>
          <w:bCs w:val="0"/>
          <w:sz w:val="24"/>
          <w:szCs w:val="24"/>
        </w:rPr>
        <w:t>第五十二条</w:t>
      </w:r>
      <w:r>
        <w:rPr>
          <w:rFonts w:hint="eastAsia" w:cs="Times New Roman"/>
          <w:b w:val="0"/>
          <w:bCs/>
          <w:sz w:val="24"/>
          <w:szCs w:val="24"/>
        </w:rPr>
        <w:t xml:space="preserve">  用人单位有下列行为之一的，由人力资源社会保障行政部门责令改正，处以二千元以上二万元以下的罚款：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cs="Times New Roman"/>
          <w:b w:val="0"/>
          <w:bCs/>
          <w:sz w:val="24"/>
          <w:szCs w:val="24"/>
        </w:rPr>
      </w:pPr>
      <w:r>
        <w:rPr>
          <w:rFonts w:hint="eastAsia" w:cs="Times New Roman"/>
          <w:b w:val="0"/>
          <w:bCs/>
          <w:sz w:val="24"/>
          <w:szCs w:val="24"/>
        </w:rPr>
        <w:t>（一）拒绝、阻挠劳动保障监察员进行调查、检查的；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cs="Times New Roman"/>
          <w:b w:val="0"/>
          <w:bCs/>
          <w:sz w:val="24"/>
          <w:szCs w:val="24"/>
        </w:rPr>
      </w:pPr>
      <w:r>
        <w:rPr>
          <w:rFonts w:hint="eastAsia" w:cs="Times New Roman"/>
          <w:b w:val="0"/>
          <w:bCs/>
          <w:sz w:val="24"/>
          <w:szCs w:val="24"/>
        </w:rPr>
        <w:t>（二）无正当理由，拒绝按照劳动保障监察询问通知书要求在指定时间和地点接受调查询问的；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cs="Times New Roman"/>
          <w:b w:val="0"/>
          <w:bCs/>
          <w:sz w:val="24"/>
          <w:szCs w:val="24"/>
        </w:rPr>
      </w:pPr>
      <w:r>
        <w:rPr>
          <w:rFonts w:hint="eastAsia" w:cs="Times New Roman"/>
          <w:b w:val="0"/>
          <w:bCs/>
          <w:sz w:val="24"/>
          <w:szCs w:val="24"/>
        </w:rPr>
        <w:t>（三）拒绝提供或者报送用工信息等相关材料的；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cs="Times New Roman"/>
          <w:b w:val="0"/>
          <w:bCs/>
          <w:sz w:val="24"/>
          <w:szCs w:val="24"/>
        </w:rPr>
      </w:pPr>
      <w:r>
        <w:rPr>
          <w:rFonts w:hint="eastAsia" w:cs="Times New Roman"/>
          <w:b w:val="0"/>
          <w:bCs/>
          <w:sz w:val="24"/>
          <w:szCs w:val="24"/>
        </w:rPr>
        <w:t>（四）出具伪证、隐匿证据、毁灭证据或者教唆劳动者进行虚假陈述的；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cs="Times New Roman"/>
          <w:b w:val="0"/>
          <w:bCs/>
          <w:sz w:val="24"/>
          <w:szCs w:val="24"/>
        </w:rPr>
      </w:pPr>
      <w:r>
        <w:rPr>
          <w:rFonts w:hint="eastAsia" w:cs="Times New Roman"/>
          <w:b w:val="0"/>
          <w:bCs/>
          <w:sz w:val="24"/>
          <w:szCs w:val="24"/>
        </w:rPr>
        <w:t>（五）对人力资源社会保障行政部门采取登记保存措施的证据材料及相关设备擅自处理的。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val="0"/>
          <w:bCs/>
          <w:sz w:val="30"/>
          <w:szCs w:val="30"/>
          <w:lang w:val="en-US" w:eastAsia="zh-CN"/>
        </w:rPr>
      </w:pPr>
      <w:r>
        <w:rPr>
          <w:rFonts w:hint="eastAsia" w:cs="Times New Roman"/>
          <w:b w:val="0"/>
          <w:bCs/>
          <w:sz w:val="24"/>
          <w:szCs w:val="24"/>
        </w:rPr>
        <w:t>违反前款规定，构成违反治安管理行为的，由公安机关依法给予治安管理处罚；构成犯罪的，依法追究刑事责任。</w:t>
      </w:r>
    </w:p>
    <w:p>
      <w:pPr>
        <w:keepNext w:val="0"/>
        <w:keepLines w:val="0"/>
        <w:pageBreakBefore w:val="0"/>
        <w:widowControl w:val="0"/>
        <w:tabs>
          <w:tab w:val="left" w:pos="8980"/>
        </w:tabs>
        <w:kinsoku/>
        <w:wordWrap/>
        <w:overflowPunct/>
        <w:topLinePunct w:val="0"/>
        <w:autoSpaceDE/>
        <w:autoSpaceDN/>
        <w:bidi w:val="0"/>
        <w:adjustRightInd/>
        <w:snapToGrid/>
        <w:spacing w:line="520" w:lineRule="exact"/>
        <w:ind w:right="-867"/>
        <w:jc w:val="both"/>
        <w:textAlignment w:val="auto"/>
        <w:rPr>
          <w:rFonts w:hint="eastAsia" w:ascii="宋体" w:hAnsi="Calibri" w:eastAsia="宋体" w:cs="Times New Roman"/>
          <w:sz w:val="24"/>
          <w:szCs w:val="22"/>
          <w:lang w:val="en-US" w:eastAsia="zh-CN"/>
        </w:rPr>
        <w:sectPr>
          <w:pgSz w:w="11906" w:h="16838"/>
          <w:pgMar w:top="1440" w:right="1800" w:bottom="1440" w:left="1800" w:header="851" w:footer="992" w:gutter="0"/>
          <w:cols w:space="720" w:num="1"/>
          <w:docGrid w:type="lines" w:linePitch="312" w:charSpace="0"/>
        </w:sectPr>
      </w:pPr>
    </w:p>
    <w:p>
      <w:pPr>
        <w:pStyle w:val="2"/>
        <w:rPr>
          <w:rFonts w:hint="eastAsia"/>
          <w:lang w:val="en-US" w:eastAsia="zh-CN"/>
        </w:rPr>
      </w:pPr>
      <w:r>
        <w:rPr>
          <w:rFonts w:hint="eastAsia"/>
          <w:lang w:val="en-US" w:eastAsia="zh-CN"/>
        </w:rPr>
        <w:drawing>
          <wp:inline distT="0" distB="0" distL="114300" distR="114300">
            <wp:extent cx="8848090" cy="4093845"/>
            <wp:effectExtent l="0" t="0" r="10160" b="1905"/>
            <wp:docPr id="1" name="图片 1" descr="2025-06-16_10-3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5-06-16_10-39-58"/>
                    <pic:cNvPicPr>
                      <a:picLocks noChangeAspect="1"/>
                    </pic:cNvPicPr>
                  </pic:nvPicPr>
                  <pic:blipFill>
                    <a:blip r:embed="rId4"/>
                    <a:stretch>
                      <a:fillRect/>
                    </a:stretch>
                  </pic:blipFill>
                  <pic:spPr>
                    <a:xfrm>
                      <a:off x="0" y="0"/>
                      <a:ext cx="8848090" cy="4093845"/>
                    </a:xfrm>
                    <a:prstGeom prst="rect">
                      <a:avLst/>
                    </a:prstGeom>
                  </pic:spPr>
                </pic:pic>
              </a:graphicData>
            </a:graphic>
          </wp:inline>
        </w:drawing>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6ADFFC"/>
    <w:rsid w:val="3F27A9AB"/>
    <w:rsid w:val="49FD4DE0"/>
    <w:rsid w:val="5F7F97B1"/>
    <w:rsid w:val="5FFA9770"/>
    <w:rsid w:val="63FE237A"/>
    <w:rsid w:val="6DED0E3C"/>
    <w:rsid w:val="6EFF287C"/>
    <w:rsid w:val="6F8BA904"/>
    <w:rsid w:val="757876C0"/>
    <w:rsid w:val="7757517D"/>
    <w:rsid w:val="77F883E6"/>
    <w:rsid w:val="7BDFA815"/>
    <w:rsid w:val="7DBD232F"/>
    <w:rsid w:val="7F66094A"/>
    <w:rsid w:val="7F7F1209"/>
    <w:rsid w:val="96EB3635"/>
    <w:rsid w:val="AFBFEDC3"/>
    <w:rsid w:val="BD5C056C"/>
    <w:rsid w:val="CF6F3224"/>
    <w:rsid w:val="DF7F2CF0"/>
    <w:rsid w:val="E54D4987"/>
    <w:rsid w:val="E6FC9731"/>
    <w:rsid w:val="E766EBB1"/>
    <w:rsid w:val="EBBD6D7F"/>
    <w:rsid w:val="ED7F34FE"/>
    <w:rsid w:val="EF795649"/>
    <w:rsid w:val="EFEE910B"/>
    <w:rsid w:val="F3FDBFD9"/>
    <w:rsid w:val="F3FE07AE"/>
    <w:rsid w:val="F717A77F"/>
    <w:rsid w:val="F7973F41"/>
    <w:rsid w:val="F97D4B56"/>
    <w:rsid w:val="FA3FD711"/>
    <w:rsid w:val="FADBB518"/>
    <w:rsid w:val="FB65B962"/>
    <w:rsid w:val="FF775E33"/>
    <w:rsid w:val="FFFD22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2024-04-21T08:46:00Z</dcterms:created>
  <dc:creator>lxl</dc:creator>
  <cp:lastModifiedBy>林雅琪</cp:lastModifiedBy>
  <dcterms:modified xsi:type="dcterms:W3CDTF">2025-06-18T11:35:33Z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B40D9172644D8996ED7F4F68F709D03E</vt:lpwstr>
  </property>
</Properties>
</file>