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sz w:val="44"/>
          <w:szCs w:val="44"/>
          <w:highlight w:val="none"/>
        </w:rPr>
      </w:pPr>
    </w:p>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关于大鹏新区202</w:t>
      </w:r>
      <w:r>
        <w:rPr>
          <w:rFonts w:hint="eastAsia" w:ascii="方正小标宋简体" w:hAnsi="方正小标宋简体" w:eastAsia="方正小标宋简体" w:cs="方正小标宋简体"/>
          <w:sz w:val="44"/>
          <w:szCs w:val="44"/>
          <w:highlight w:val="none"/>
          <w:lang w:val="en-US" w:eastAsia="zh-CN"/>
        </w:rPr>
        <w:t>4</w:t>
      </w:r>
      <w:r>
        <w:rPr>
          <w:rFonts w:hint="eastAsia" w:ascii="方正小标宋简体" w:hAnsi="方正小标宋简体" w:eastAsia="方正小标宋简体" w:cs="方正小标宋简体"/>
          <w:sz w:val="44"/>
          <w:szCs w:val="44"/>
          <w:highlight w:val="none"/>
        </w:rPr>
        <w:t>年决算的报告</w:t>
      </w:r>
    </w:p>
    <w:p>
      <w:pPr>
        <w:keepNext w:val="0"/>
        <w:keepLines w:val="0"/>
        <w:pageBreakBefore w:val="0"/>
        <w:kinsoku/>
        <w:wordWrap/>
        <w:overflowPunct/>
        <w:topLinePunct w:val="0"/>
        <w:autoSpaceDE/>
        <w:autoSpaceDN/>
        <w:bidi w:val="0"/>
        <w:spacing w:line="560" w:lineRule="exact"/>
        <w:textAlignment w:val="auto"/>
        <w:rPr>
          <w:rFonts w:hint="eastAsia" w:ascii="方正小标宋简体" w:hAnsi="方正小标宋简体" w:eastAsia="方正小标宋简体" w:cs="方正小标宋简体"/>
          <w:b/>
          <w:bCs/>
          <w:sz w:val="32"/>
          <w:szCs w:val="32"/>
          <w:highlight w:val="none"/>
        </w:rPr>
      </w:pPr>
    </w:p>
    <w:p>
      <w:pPr>
        <w:keepNext w:val="0"/>
        <w:keepLines w:val="0"/>
        <w:pageBreakBefore w:val="0"/>
        <w:widowControl/>
        <w:shd w:val="clear" w:color="auto" w:fill="FFFFFF"/>
        <w:tabs>
          <w:tab w:val="left" w:pos="426"/>
        </w:tabs>
        <w:kinsoku/>
        <w:wordWrap/>
        <w:overflowPunct/>
        <w:topLinePunct w:val="0"/>
        <w:autoSpaceDE/>
        <w:autoSpaceDN/>
        <w:bidi w:val="0"/>
        <w:spacing w:line="560" w:lineRule="exact"/>
        <w:ind w:firstLine="640" w:firstLineChars="200"/>
        <w:jc w:val="both"/>
        <w:textAlignment w:val="auto"/>
        <w:rPr>
          <w:rFonts w:ascii="黑体" w:hAnsi="黑体" w:eastAsia="黑体" w:cs="仿宋_GB2312"/>
          <w:sz w:val="32"/>
          <w:szCs w:val="32"/>
          <w:highlight w:val="none"/>
        </w:rPr>
      </w:pPr>
      <w:r>
        <w:rPr>
          <w:rFonts w:hint="eastAsia" w:ascii="黑体" w:hAnsi="黑体" w:eastAsia="黑体" w:cs="仿宋_GB2312"/>
          <w:sz w:val="32"/>
          <w:szCs w:val="32"/>
          <w:highlight w:val="none"/>
        </w:rPr>
        <w:t>一、一般公共预算收支决算情况</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both"/>
        <w:textAlignment w:val="auto"/>
        <w:rPr>
          <w:rFonts w:hint="eastAsia" w:ascii="楷体_GB2312" w:hAnsi="仿宋_GB2312" w:eastAsia="楷体_GB2312" w:cs="仿宋_GB2312"/>
          <w:sz w:val="32"/>
          <w:szCs w:val="32"/>
          <w:highlight w:val="none"/>
          <w:lang w:val="en-US" w:eastAsia="zh-CN"/>
        </w:rPr>
      </w:pPr>
      <w:r>
        <w:rPr>
          <w:rFonts w:hint="eastAsia" w:ascii="楷体_GB2312" w:hAnsi="仿宋_GB2312" w:eastAsia="楷体_GB2312" w:cs="仿宋_GB2312"/>
          <w:sz w:val="32"/>
          <w:szCs w:val="32"/>
          <w:highlight w:val="none"/>
        </w:rPr>
        <w:t>（一）</w:t>
      </w:r>
      <w:r>
        <w:rPr>
          <w:rFonts w:hint="default" w:ascii="楷体_GB2312" w:hAnsi="仿宋_GB2312" w:eastAsia="楷体_GB2312" w:cs="仿宋_GB2312"/>
          <w:sz w:val="32"/>
          <w:szCs w:val="32"/>
          <w:highlight w:val="none"/>
          <w:lang w:val="en-US" w:eastAsia="zh-CN"/>
        </w:rPr>
        <w:t>收入决算情况</w:t>
      </w:r>
    </w:p>
    <w:p>
      <w:pPr>
        <w:pStyle w:val="5"/>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2024年新区一般公共预算收入35.6亿元，完成调整预算数的104.0%，增长17.9%，加上上级补助收入、调入资金等27.9</w:t>
      </w:r>
      <w:r>
        <w:rPr>
          <w:rFonts w:hint="eastAsia" w:ascii="仿宋_GB2312" w:hAnsi="仿宋_GB2312" w:eastAsia="仿宋_GB2312" w:cs="仿宋_GB2312"/>
          <w:kern w:val="2"/>
          <w:sz w:val="32"/>
          <w:szCs w:val="32"/>
          <w:highlight w:val="none"/>
          <w:lang w:eastAsia="zh-CN"/>
        </w:rPr>
        <w:t>亿元及地方政府一般债务转贷收入</w:t>
      </w:r>
      <w:r>
        <w:rPr>
          <w:rFonts w:hint="eastAsia" w:ascii="仿宋_GB2312" w:hAnsi="仿宋_GB2312" w:eastAsia="仿宋_GB2312" w:cs="仿宋_GB2312"/>
          <w:kern w:val="2"/>
          <w:sz w:val="32"/>
          <w:szCs w:val="32"/>
          <w:highlight w:val="none"/>
          <w:lang w:val="en-US" w:eastAsia="zh-CN"/>
        </w:rPr>
        <w:t>0.5亿元，一般公共预算</w:t>
      </w:r>
      <w:r>
        <w:rPr>
          <w:rFonts w:hint="eastAsia" w:ascii="仿宋_GB2312" w:hAnsi="仿宋_GB2312" w:eastAsia="仿宋_GB2312" w:cs="仿宋_GB2312"/>
          <w:b/>
          <w:bCs/>
          <w:kern w:val="2"/>
          <w:sz w:val="32"/>
          <w:szCs w:val="32"/>
          <w:highlight w:val="none"/>
          <w:lang w:val="en-US" w:eastAsia="zh-CN"/>
        </w:rPr>
        <w:t>收入总计64.0亿元</w:t>
      </w:r>
      <w:r>
        <w:rPr>
          <w:rFonts w:hint="eastAsia" w:ascii="仿宋_GB2312" w:hAnsi="仿宋_GB2312" w:eastAsia="仿宋_GB2312" w:cs="仿宋_GB2312"/>
          <w:kern w:val="2"/>
          <w:sz w:val="32"/>
          <w:szCs w:val="32"/>
          <w:highlight w:val="none"/>
          <w:lang w:val="en-US" w:eastAsia="zh-CN"/>
        </w:rPr>
        <w:t>。其中，大鹏新区一般公共预算年初转移支付收入预算16.3亿元，决算27.2亿元，较预算增加10.9亿元，主要是中央财政年中追加下达城镇保障性安居工程补助资金，市财政根据政府投资计划年中追加下达市投区建项目资金（来源于一般公共预算部分）、打造天然气贸易枢纽城市奖励（补贴）市级补助经费等。</w:t>
      </w:r>
    </w:p>
    <w:p>
      <w:pPr>
        <w:keepNext w:val="0"/>
        <w:keepLines w:val="0"/>
        <w:pageBreakBefore w:val="0"/>
        <w:widowControl w:val="0"/>
        <w:numPr>
          <w:ilvl w:val="0"/>
          <w:numId w:val="0"/>
        </w:numPr>
        <w:shd w:val="clear" w:color="auto" w:fill="FFFFFF"/>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b/>
          <w:bCs/>
          <w:sz w:val="32"/>
          <w:szCs w:val="32"/>
          <w:highlight w:val="yellow"/>
          <w:lang w:val="en-US" w:eastAsia="zh-CN" w:bidi="ar"/>
        </w:rPr>
      </w:pPr>
      <w:r>
        <w:rPr>
          <w:rFonts w:hint="eastAsia" w:ascii="楷体_GB2312" w:hAnsi="仿宋_GB2312" w:eastAsia="楷体_GB2312" w:cs="仿宋_GB2312"/>
          <w:sz w:val="32"/>
          <w:szCs w:val="32"/>
          <w:highlight w:val="none"/>
          <w:lang w:eastAsia="zh-CN"/>
        </w:rPr>
        <w:t>（</w:t>
      </w:r>
      <w:r>
        <w:rPr>
          <w:rFonts w:hint="eastAsia" w:ascii="楷体_GB2312" w:hAnsi="仿宋_GB2312" w:eastAsia="楷体_GB2312" w:cs="仿宋_GB2312"/>
          <w:sz w:val="32"/>
          <w:szCs w:val="32"/>
          <w:highlight w:val="none"/>
          <w:lang w:val="en-US" w:eastAsia="zh-CN"/>
        </w:rPr>
        <w:t>二</w:t>
      </w:r>
      <w:r>
        <w:rPr>
          <w:rFonts w:hint="eastAsia" w:ascii="楷体_GB2312" w:hAnsi="仿宋_GB2312" w:eastAsia="楷体_GB2312" w:cs="仿宋_GB2312"/>
          <w:sz w:val="32"/>
          <w:szCs w:val="32"/>
          <w:highlight w:val="none"/>
          <w:lang w:eastAsia="zh-CN"/>
        </w:rPr>
        <w:t>）</w:t>
      </w:r>
      <w:r>
        <w:rPr>
          <w:rFonts w:hint="eastAsia" w:ascii="楷体_GB2312" w:hAnsi="仿宋_GB2312" w:eastAsia="楷体_GB2312" w:cs="仿宋_GB2312"/>
          <w:sz w:val="32"/>
          <w:szCs w:val="32"/>
          <w:highlight w:val="none"/>
        </w:rPr>
        <w:t>支出决算情况</w:t>
      </w:r>
    </w:p>
    <w:p>
      <w:pPr>
        <w:keepNext w:val="0"/>
        <w:keepLines w:val="0"/>
        <w:pageBreakBefore w:val="0"/>
        <w:widowControl w:val="0"/>
        <w:shd w:val="clear" w:color="auto" w:fill="FFFFFF"/>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bidi="ar"/>
        </w:rPr>
      </w:pPr>
      <w:r>
        <w:rPr>
          <w:rFonts w:hint="eastAsia" w:ascii="仿宋_GB2312" w:hAnsi="仿宋_GB2312" w:eastAsia="仿宋_GB2312" w:cs="仿宋_GB2312"/>
          <w:b w:val="0"/>
          <w:bCs w:val="0"/>
          <w:sz w:val="32"/>
          <w:szCs w:val="32"/>
          <w:highlight w:val="none"/>
          <w:lang w:val="en-US" w:eastAsia="zh-CN" w:bidi="ar"/>
        </w:rPr>
        <w:t>2024年新区一般公共预算支出</w:t>
      </w:r>
      <w:r>
        <w:rPr>
          <w:rFonts w:hint="default" w:ascii="仿宋_GB2312" w:hAnsi="仿宋_GB2312" w:eastAsia="仿宋_GB2312" w:cs="仿宋_GB2312"/>
          <w:b w:val="0"/>
          <w:bCs w:val="0"/>
          <w:sz w:val="32"/>
          <w:szCs w:val="32"/>
          <w:highlight w:val="none"/>
          <w:lang w:val="en-US" w:eastAsia="zh-CN" w:bidi="ar"/>
        </w:rPr>
        <w:t>51.</w:t>
      </w:r>
      <w:r>
        <w:rPr>
          <w:rFonts w:hint="eastAsia" w:ascii="仿宋_GB2312" w:hAnsi="仿宋_GB2312" w:eastAsia="仿宋_GB2312" w:cs="仿宋_GB2312"/>
          <w:b w:val="0"/>
          <w:bCs w:val="0"/>
          <w:sz w:val="32"/>
          <w:szCs w:val="32"/>
          <w:highlight w:val="none"/>
          <w:lang w:val="en-US" w:eastAsia="zh-CN" w:bidi="ar"/>
        </w:rPr>
        <w:t>6亿元，完成</w:t>
      </w:r>
      <w:r>
        <w:rPr>
          <w:rFonts w:hint="eastAsia" w:ascii="仿宋_GB2312" w:hAnsi="仿宋_GB2312" w:eastAsia="仿宋_GB2312" w:cs="仿宋_GB2312"/>
          <w:b w:val="0"/>
          <w:bCs w:val="0"/>
          <w:sz w:val="32"/>
          <w:szCs w:val="32"/>
          <w:highlight w:val="none"/>
          <w:lang w:eastAsia="zh-CN" w:bidi="ar"/>
        </w:rPr>
        <w:t>调整预算数</w:t>
      </w:r>
      <w:r>
        <w:rPr>
          <w:rFonts w:hint="eastAsia" w:ascii="仿宋_GB2312" w:hAnsi="仿宋_GB2312" w:eastAsia="仿宋_GB2312" w:cs="仿宋_GB2312"/>
          <w:b w:val="0"/>
          <w:bCs w:val="0"/>
          <w:sz w:val="32"/>
          <w:szCs w:val="32"/>
          <w:highlight w:val="none"/>
          <w:lang w:val="en-US" w:eastAsia="zh-CN" w:bidi="ar"/>
        </w:rPr>
        <w:t>的</w:t>
      </w:r>
      <w:r>
        <w:rPr>
          <w:rFonts w:hint="default" w:ascii="仿宋_GB2312" w:hAnsi="仿宋_GB2312" w:eastAsia="仿宋_GB2312" w:cs="仿宋_GB2312"/>
          <w:b w:val="0"/>
          <w:bCs w:val="0"/>
          <w:sz w:val="32"/>
          <w:szCs w:val="32"/>
          <w:highlight w:val="none"/>
          <w:lang w:val="en-US" w:eastAsia="zh-CN" w:bidi="ar"/>
        </w:rPr>
        <w:t>9</w:t>
      </w:r>
      <w:r>
        <w:rPr>
          <w:rFonts w:hint="eastAsia" w:ascii="仿宋_GB2312" w:hAnsi="仿宋_GB2312" w:eastAsia="仿宋_GB2312" w:cs="仿宋_GB2312"/>
          <w:b w:val="0"/>
          <w:bCs w:val="0"/>
          <w:sz w:val="32"/>
          <w:szCs w:val="32"/>
          <w:highlight w:val="none"/>
          <w:lang w:val="en-US" w:eastAsia="zh-CN" w:bidi="ar"/>
        </w:rPr>
        <w:t>0</w:t>
      </w:r>
      <w:r>
        <w:rPr>
          <w:rFonts w:hint="default" w:ascii="仿宋_GB2312" w:hAnsi="仿宋_GB2312" w:eastAsia="仿宋_GB2312" w:cs="仿宋_GB2312"/>
          <w:b w:val="0"/>
          <w:bCs w:val="0"/>
          <w:sz w:val="32"/>
          <w:szCs w:val="32"/>
          <w:highlight w:val="none"/>
          <w:lang w:val="en-US" w:eastAsia="zh-CN" w:bidi="ar"/>
        </w:rPr>
        <w:t>.</w:t>
      </w:r>
      <w:r>
        <w:rPr>
          <w:rFonts w:hint="eastAsia" w:ascii="仿宋_GB2312" w:hAnsi="仿宋_GB2312" w:eastAsia="仿宋_GB2312" w:cs="仿宋_GB2312"/>
          <w:b w:val="0"/>
          <w:bCs w:val="0"/>
          <w:sz w:val="32"/>
          <w:szCs w:val="32"/>
          <w:highlight w:val="none"/>
          <w:lang w:val="en-US" w:eastAsia="zh-CN" w:bidi="ar"/>
        </w:rPr>
        <w:t>6%，</w:t>
      </w:r>
      <w:r>
        <w:rPr>
          <w:rFonts w:hint="default" w:ascii="仿宋_GB2312" w:hAnsi="仿宋_GB2312" w:eastAsia="仿宋_GB2312" w:cs="仿宋_GB2312"/>
          <w:b w:val="0"/>
          <w:bCs w:val="0"/>
          <w:sz w:val="32"/>
          <w:szCs w:val="32"/>
          <w:highlight w:val="none"/>
          <w:lang w:eastAsia="zh-CN" w:bidi="ar"/>
        </w:rPr>
        <w:t>下</w:t>
      </w:r>
      <w:r>
        <w:rPr>
          <w:rFonts w:hint="default" w:ascii="仿宋_GB2312" w:hAnsi="仿宋_GB2312" w:eastAsia="仿宋_GB2312" w:cs="仿宋_GB2312"/>
          <w:b w:val="0"/>
          <w:bCs w:val="0"/>
          <w:color w:val="auto"/>
          <w:sz w:val="32"/>
          <w:szCs w:val="32"/>
          <w:highlight w:val="none"/>
          <w:lang w:eastAsia="zh-CN" w:bidi="ar"/>
        </w:rPr>
        <w:t>降</w:t>
      </w:r>
      <w:r>
        <w:rPr>
          <w:rFonts w:hint="default" w:ascii="仿宋_GB2312" w:hAnsi="仿宋_GB2312" w:eastAsia="仿宋_GB2312" w:cs="仿宋_GB2312"/>
          <w:b w:val="0"/>
          <w:bCs w:val="0"/>
          <w:color w:val="auto"/>
          <w:sz w:val="32"/>
          <w:szCs w:val="32"/>
          <w:highlight w:val="none"/>
          <w:lang w:val="en-US" w:eastAsia="zh-CN" w:bidi="ar"/>
        </w:rPr>
        <w:t>19.6</w:t>
      </w:r>
      <w:r>
        <w:rPr>
          <w:rFonts w:hint="eastAsia" w:ascii="仿宋_GB2312" w:hAnsi="仿宋_GB2312" w:eastAsia="仿宋_GB2312" w:cs="仿宋_GB2312"/>
          <w:b w:val="0"/>
          <w:bCs w:val="0"/>
          <w:color w:val="auto"/>
          <w:sz w:val="32"/>
          <w:szCs w:val="32"/>
          <w:highlight w:val="none"/>
          <w:lang w:val="en-US" w:eastAsia="zh-CN" w:bidi="ar"/>
        </w:rPr>
        <w:t>%，加上</w:t>
      </w:r>
      <w:r>
        <w:rPr>
          <w:rFonts w:hint="default" w:ascii="仿宋_GB2312" w:hAnsi="仿宋_GB2312" w:eastAsia="仿宋_GB2312" w:cs="仿宋_GB2312"/>
          <w:b w:val="0"/>
          <w:bCs w:val="0"/>
          <w:color w:val="auto"/>
          <w:sz w:val="32"/>
          <w:szCs w:val="32"/>
          <w:highlight w:val="none"/>
          <w:lang w:eastAsia="zh-CN" w:bidi="ar"/>
        </w:rPr>
        <w:t>安排预算稳定调节基金</w:t>
      </w:r>
      <w:r>
        <w:rPr>
          <w:rFonts w:hint="eastAsia" w:ascii="仿宋_GB2312" w:hAnsi="仿宋_GB2312" w:eastAsia="仿宋_GB2312" w:cs="仿宋_GB2312"/>
          <w:b w:val="0"/>
          <w:bCs w:val="0"/>
          <w:color w:val="auto"/>
          <w:sz w:val="32"/>
          <w:szCs w:val="32"/>
          <w:highlight w:val="none"/>
          <w:lang w:eastAsia="zh-CN" w:bidi="ar"/>
        </w:rPr>
        <w:t>、</w:t>
      </w:r>
      <w:r>
        <w:rPr>
          <w:rFonts w:hint="eastAsia" w:ascii="仿宋_GB2312" w:hAnsi="仿宋_GB2312" w:eastAsia="仿宋_GB2312" w:cs="仿宋_GB2312"/>
          <w:b w:val="0"/>
          <w:bCs w:val="0"/>
          <w:color w:val="auto"/>
          <w:sz w:val="32"/>
          <w:szCs w:val="32"/>
          <w:highlight w:val="none"/>
          <w:lang w:val="en-US" w:eastAsia="zh-CN" w:bidi="ar"/>
        </w:rPr>
        <w:t>上解上级支出、债务还本支出以</w:t>
      </w:r>
      <w:r>
        <w:rPr>
          <w:rFonts w:hint="default" w:ascii="仿宋_GB2312" w:hAnsi="仿宋_GB2312" w:eastAsia="仿宋_GB2312" w:cs="仿宋_GB2312"/>
          <w:b w:val="0"/>
          <w:bCs w:val="0"/>
          <w:color w:val="auto"/>
          <w:sz w:val="32"/>
          <w:szCs w:val="32"/>
          <w:highlight w:val="none"/>
          <w:lang w:eastAsia="zh-CN" w:bidi="ar"/>
        </w:rPr>
        <w:t>及</w:t>
      </w:r>
      <w:r>
        <w:rPr>
          <w:rFonts w:hint="eastAsia" w:ascii="仿宋_GB2312" w:hAnsi="仿宋_GB2312" w:eastAsia="仿宋_GB2312" w:cs="仿宋_GB2312"/>
          <w:b w:val="0"/>
          <w:bCs w:val="0"/>
          <w:color w:val="auto"/>
          <w:sz w:val="32"/>
          <w:szCs w:val="32"/>
          <w:highlight w:val="none"/>
          <w:lang w:eastAsia="zh-CN" w:bidi="ar"/>
        </w:rPr>
        <w:t>年终结转结余等转移性支出</w:t>
      </w:r>
      <w:r>
        <w:rPr>
          <w:rFonts w:hint="eastAsia" w:ascii="仿宋_GB2312" w:hAnsi="仿宋_GB2312" w:eastAsia="仿宋_GB2312" w:cs="仿宋_GB2312"/>
          <w:b w:val="0"/>
          <w:bCs w:val="0"/>
          <w:color w:val="auto"/>
          <w:sz w:val="32"/>
          <w:szCs w:val="32"/>
          <w:highlight w:val="none"/>
          <w:lang w:val="en-US" w:eastAsia="zh-CN" w:bidi="ar"/>
        </w:rPr>
        <w:t>12.4亿元，一般公共预算</w:t>
      </w:r>
      <w:r>
        <w:rPr>
          <w:rFonts w:hint="eastAsia" w:ascii="仿宋_GB2312" w:hAnsi="仿宋_GB2312" w:eastAsia="仿宋_GB2312" w:cs="仿宋_GB2312"/>
          <w:b/>
          <w:bCs/>
          <w:color w:val="auto"/>
          <w:sz w:val="32"/>
          <w:szCs w:val="32"/>
          <w:highlight w:val="none"/>
          <w:lang w:val="en-US" w:eastAsia="zh-CN" w:bidi="ar"/>
        </w:rPr>
        <w:t>支出总计64.0亿元</w:t>
      </w:r>
      <w:r>
        <w:rPr>
          <w:rFonts w:hint="eastAsia" w:ascii="仿宋_GB2312" w:hAnsi="仿宋_GB2312" w:eastAsia="仿宋_GB2312" w:cs="仿宋_GB2312"/>
          <w:b w:val="0"/>
          <w:bCs w:val="0"/>
          <w:color w:val="auto"/>
          <w:sz w:val="32"/>
          <w:szCs w:val="32"/>
          <w:highlight w:val="none"/>
          <w:lang w:val="en-US" w:eastAsia="zh-CN" w:bidi="ar"/>
        </w:rPr>
        <w:t>，收支平衡。其中，教育支出、文化旅游体育与传媒支出、社会保障和就业支出、卫生健康支出、节能环</w:t>
      </w:r>
      <w:r>
        <w:rPr>
          <w:rFonts w:hint="eastAsia" w:ascii="仿宋_GB2312" w:hAnsi="仿宋_GB2312" w:eastAsia="仿宋_GB2312" w:cs="仿宋_GB2312"/>
          <w:b w:val="0"/>
          <w:bCs w:val="0"/>
          <w:sz w:val="32"/>
          <w:szCs w:val="32"/>
          <w:highlight w:val="none"/>
          <w:lang w:val="en-US" w:eastAsia="zh-CN" w:bidi="ar"/>
        </w:rPr>
        <w:t>保支出、城乡社区支出、农林水支出、交通运输支出、住房保障支出等九大类民生支出及公共安全支出共完成42.4</w:t>
      </w:r>
      <w:r>
        <w:rPr>
          <w:rStyle w:val="9"/>
          <w:rFonts w:hint="default" w:ascii="仿宋_GB2312" w:hAnsi="仿宋_GB2312" w:eastAsia="仿宋_GB2312" w:cs="仿宋_GB2312"/>
          <w:b w:val="0"/>
          <w:bCs w:val="0"/>
          <w:sz w:val="32"/>
          <w:szCs w:val="32"/>
          <w:highlight w:val="none"/>
          <w:lang w:eastAsia="zh-CN" w:bidi="ar"/>
        </w:rPr>
        <w:footnoteReference w:id="0"/>
      </w:r>
      <w:r>
        <w:rPr>
          <w:rFonts w:hint="eastAsia" w:ascii="仿宋_GB2312" w:hAnsi="仿宋_GB2312" w:eastAsia="仿宋_GB2312" w:cs="仿宋_GB2312"/>
          <w:b w:val="0"/>
          <w:bCs w:val="0"/>
          <w:sz w:val="32"/>
          <w:szCs w:val="32"/>
          <w:highlight w:val="none"/>
          <w:lang w:val="en-US" w:eastAsia="zh-CN" w:bidi="ar"/>
        </w:rPr>
        <w:t>亿元，占新区一般公共预算本级支出的比重为</w:t>
      </w:r>
      <w:r>
        <w:rPr>
          <w:rFonts w:hint="default" w:ascii="仿宋_GB2312" w:hAnsi="仿宋_GB2312" w:eastAsia="仿宋_GB2312" w:cs="仿宋_GB2312"/>
          <w:b w:val="0"/>
          <w:bCs w:val="0"/>
          <w:sz w:val="32"/>
          <w:szCs w:val="32"/>
          <w:highlight w:val="none"/>
          <w:lang w:val="en-US" w:eastAsia="zh-CN" w:bidi="ar"/>
        </w:rPr>
        <w:t>82.2</w:t>
      </w:r>
      <w:r>
        <w:rPr>
          <w:rFonts w:hint="eastAsia" w:ascii="仿宋_GB2312" w:hAnsi="仿宋_GB2312" w:eastAsia="仿宋_GB2312" w:cs="仿宋_GB2312"/>
          <w:b w:val="0"/>
          <w:bCs w:val="0"/>
          <w:sz w:val="32"/>
          <w:szCs w:val="32"/>
          <w:highlight w:val="none"/>
          <w:lang w:val="en-US" w:eastAsia="zh-CN" w:bidi="ar"/>
        </w:rPr>
        <w:t>%。主要情况如下：</w:t>
      </w:r>
    </w:p>
    <w:p>
      <w:pPr>
        <w:keepNext w:val="0"/>
        <w:keepLines w:val="0"/>
        <w:pageBreakBefore w:val="0"/>
        <w:widowControl w:val="0"/>
        <w:numPr>
          <w:ilvl w:val="0"/>
          <w:numId w:val="0"/>
        </w:numPr>
        <w:shd w:val="clear" w:color="auto" w:fill="FFFFFF"/>
        <w:kinsoku/>
        <w:wordWrap/>
        <w:overflowPunct/>
        <w:topLinePunct w:val="0"/>
        <w:autoSpaceDE/>
        <w:autoSpaceDN/>
        <w:bidi w:val="0"/>
        <w:spacing w:line="560" w:lineRule="exact"/>
        <w:ind w:firstLine="642" w:firstLineChars="200"/>
        <w:jc w:val="both"/>
        <w:textAlignment w:val="auto"/>
        <w:rPr>
          <w:rFonts w:hint="eastAsia" w:ascii="仿宋_GB2312" w:hAnsi="仿宋_GB2312" w:eastAsia="仿宋_GB2312" w:cs="仿宋_GB2312"/>
          <w:b w:val="0"/>
          <w:bCs w:val="0"/>
          <w:sz w:val="32"/>
          <w:szCs w:val="32"/>
          <w:highlight w:val="none"/>
          <w:u w:val="none"/>
          <w:lang w:val="en-US" w:eastAsia="zh-CN" w:bidi="ar"/>
        </w:rPr>
      </w:pPr>
      <w:r>
        <w:rPr>
          <w:rFonts w:hint="default" w:ascii="仿宋_GB2312" w:hAnsi="仿宋_GB2312" w:eastAsia="仿宋_GB2312" w:cs="仿宋_GB2312"/>
          <w:b/>
          <w:bCs/>
          <w:kern w:val="2"/>
          <w:sz w:val="32"/>
          <w:szCs w:val="32"/>
          <w:highlight w:val="none"/>
          <w:lang w:eastAsia="zh-CN" w:bidi="ar"/>
        </w:rPr>
        <w:t>1.</w:t>
      </w:r>
      <w:r>
        <w:rPr>
          <w:rFonts w:hint="eastAsia" w:ascii="仿宋_GB2312" w:hAnsi="仿宋_GB2312" w:eastAsia="仿宋_GB2312" w:cs="仿宋_GB2312"/>
          <w:b/>
          <w:bCs/>
          <w:sz w:val="32"/>
          <w:szCs w:val="32"/>
          <w:highlight w:val="none"/>
          <w:lang w:val="en-US" w:eastAsia="zh-CN" w:bidi="ar"/>
        </w:rPr>
        <w:t>一般公共服务支出</w:t>
      </w:r>
      <w:r>
        <w:rPr>
          <w:rFonts w:hint="default" w:ascii="仿宋_GB2312" w:hAnsi="仿宋_GB2312" w:eastAsia="仿宋_GB2312" w:cs="仿宋_GB2312"/>
          <w:b/>
          <w:bCs/>
          <w:sz w:val="32"/>
          <w:szCs w:val="32"/>
          <w:highlight w:val="none"/>
          <w:lang w:val="en-US" w:eastAsia="zh-CN" w:bidi="ar"/>
        </w:rPr>
        <w:t>5.0</w:t>
      </w:r>
      <w:r>
        <w:rPr>
          <w:rFonts w:hint="eastAsia" w:ascii="仿宋_GB2312" w:hAnsi="仿宋_GB2312" w:eastAsia="仿宋_GB2312" w:cs="仿宋_GB2312"/>
          <w:b/>
          <w:bCs/>
          <w:sz w:val="32"/>
          <w:szCs w:val="32"/>
          <w:highlight w:val="none"/>
          <w:lang w:val="en-US" w:eastAsia="zh-CN" w:bidi="ar"/>
        </w:rPr>
        <w:t>亿元，完成调整预算数的</w:t>
      </w:r>
      <w:r>
        <w:rPr>
          <w:rFonts w:hint="default" w:ascii="仿宋_GB2312" w:hAnsi="仿宋_GB2312" w:eastAsia="仿宋_GB2312" w:cs="仿宋_GB2312"/>
          <w:b/>
          <w:bCs/>
          <w:sz w:val="32"/>
          <w:szCs w:val="32"/>
          <w:highlight w:val="none"/>
          <w:lang w:eastAsia="zh-CN" w:bidi="ar"/>
        </w:rPr>
        <w:t>1</w:t>
      </w:r>
      <w:r>
        <w:rPr>
          <w:rFonts w:hint="default" w:ascii="仿宋_GB2312" w:hAnsi="仿宋_GB2312" w:eastAsia="仿宋_GB2312" w:cs="仿宋_GB2312"/>
          <w:b/>
          <w:bCs/>
          <w:sz w:val="32"/>
          <w:szCs w:val="32"/>
          <w:highlight w:val="none"/>
          <w:lang w:val="en-US" w:eastAsia="zh-CN" w:bidi="ar"/>
        </w:rPr>
        <w:t>06</w:t>
      </w:r>
      <w:r>
        <w:rPr>
          <w:rFonts w:hint="default" w:ascii="仿宋_GB2312" w:hAnsi="仿宋_GB2312" w:eastAsia="仿宋_GB2312" w:cs="仿宋_GB2312"/>
          <w:b/>
          <w:bCs/>
          <w:sz w:val="32"/>
          <w:szCs w:val="32"/>
          <w:highlight w:val="none"/>
          <w:lang w:eastAsia="zh-CN" w:bidi="ar"/>
        </w:rPr>
        <w:t>.</w:t>
      </w:r>
      <w:r>
        <w:rPr>
          <w:rFonts w:hint="default" w:ascii="仿宋_GB2312" w:hAnsi="仿宋_GB2312" w:eastAsia="仿宋_GB2312" w:cs="仿宋_GB2312"/>
          <w:b/>
          <w:bCs/>
          <w:sz w:val="32"/>
          <w:szCs w:val="32"/>
          <w:highlight w:val="none"/>
          <w:lang w:val="en-US" w:eastAsia="zh-CN" w:bidi="ar"/>
        </w:rPr>
        <w:t>0</w:t>
      </w:r>
      <w:r>
        <w:rPr>
          <w:rFonts w:hint="eastAsia" w:ascii="仿宋_GB2312" w:hAnsi="仿宋_GB2312" w:eastAsia="仿宋_GB2312" w:cs="仿宋_GB2312"/>
          <w:b/>
          <w:bCs/>
          <w:sz w:val="32"/>
          <w:szCs w:val="32"/>
          <w:highlight w:val="none"/>
          <w:lang w:val="en-US" w:eastAsia="zh-CN" w:bidi="ar"/>
        </w:rPr>
        <w:t>%。</w:t>
      </w:r>
      <w:r>
        <w:rPr>
          <w:rFonts w:hint="eastAsia" w:ascii="仿宋_GB2312" w:hAnsi="仿宋_GB2312" w:eastAsia="仿宋_GB2312" w:cs="仿宋_GB2312"/>
          <w:b w:val="0"/>
          <w:bCs w:val="0"/>
          <w:sz w:val="32"/>
          <w:szCs w:val="32"/>
          <w:highlight w:val="none"/>
          <w:lang w:val="en-US" w:eastAsia="zh-CN" w:bidi="ar"/>
        </w:rPr>
        <w:t>该科目主要反映政府提供一般公共服务的支出。</w:t>
      </w:r>
    </w:p>
    <w:p>
      <w:pPr>
        <w:keepNext w:val="0"/>
        <w:keepLines w:val="0"/>
        <w:pageBreakBefore w:val="0"/>
        <w:widowControl/>
        <w:numPr>
          <w:ilvl w:val="0"/>
          <w:numId w:val="0"/>
        </w:numPr>
        <w:shd w:val="clear" w:color="auto" w:fill="FFFFFF"/>
        <w:kinsoku/>
        <w:wordWrap/>
        <w:overflowPunct/>
        <w:topLinePunct w:val="0"/>
        <w:autoSpaceDE/>
        <w:autoSpaceDN/>
        <w:bidi w:val="0"/>
        <w:spacing w:line="560" w:lineRule="exact"/>
        <w:ind w:firstLine="642" w:firstLineChars="200"/>
        <w:jc w:val="both"/>
        <w:textAlignment w:val="auto"/>
        <w:rPr>
          <w:rFonts w:hint="default" w:ascii="仿宋_GB2312" w:hAnsi="仿宋_GB2312" w:eastAsia="仿宋_GB2312" w:cs="仿宋_GB2312"/>
          <w:b w:val="0"/>
          <w:bCs w:val="0"/>
          <w:sz w:val="32"/>
          <w:szCs w:val="32"/>
          <w:highlight w:val="none"/>
          <w:lang w:val="en-US" w:eastAsia="zh-CN" w:bidi="ar"/>
        </w:rPr>
      </w:pPr>
      <w:r>
        <w:rPr>
          <w:rFonts w:hint="eastAsia" w:ascii="仿宋_GB2312" w:hAnsi="仿宋_GB2312" w:eastAsia="仿宋_GB2312" w:cs="仿宋_GB2312"/>
          <w:b/>
          <w:bCs/>
          <w:kern w:val="2"/>
          <w:sz w:val="32"/>
          <w:szCs w:val="32"/>
          <w:highlight w:val="none"/>
          <w:lang w:val="en-US" w:eastAsia="zh-CN" w:bidi="ar"/>
        </w:rPr>
        <w:t>2.</w:t>
      </w:r>
      <w:r>
        <w:rPr>
          <w:rFonts w:hint="eastAsia" w:ascii="仿宋_GB2312" w:hAnsi="仿宋_GB2312" w:eastAsia="仿宋_GB2312" w:cs="仿宋_GB2312"/>
          <w:b/>
          <w:bCs/>
          <w:sz w:val="32"/>
          <w:szCs w:val="32"/>
          <w:highlight w:val="none"/>
          <w:lang w:val="en-US" w:eastAsia="zh-CN" w:bidi="ar"/>
        </w:rPr>
        <w:t>公共安全支出</w:t>
      </w:r>
      <w:r>
        <w:rPr>
          <w:rFonts w:hint="default" w:ascii="仿宋_GB2312" w:hAnsi="仿宋_GB2312" w:eastAsia="仿宋_GB2312" w:cs="仿宋_GB2312"/>
          <w:b/>
          <w:bCs/>
          <w:color w:val="auto"/>
          <w:sz w:val="32"/>
          <w:szCs w:val="32"/>
          <w:highlight w:val="none"/>
          <w:lang w:val="en-US" w:eastAsia="zh-CN" w:bidi="ar"/>
        </w:rPr>
        <w:t>2.8</w:t>
      </w:r>
      <w:r>
        <w:rPr>
          <w:rFonts w:hint="eastAsia" w:ascii="仿宋_GB2312" w:hAnsi="仿宋_GB2312" w:eastAsia="仿宋_GB2312" w:cs="仿宋_GB2312"/>
          <w:b/>
          <w:bCs/>
          <w:sz w:val="32"/>
          <w:szCs w:val="32"/>
          <w:highlight w:val="none"/>
          <w:lang w:val="en-US" w:eastAsia="zh-CN" w:bidi="ar"/>
        </w:rPr>
        <w:t>亿元，完成调整预算数的</w:t>
      </w:r>
      <w:r>
        <w:rPr>
          <w:rFonts w:hint="default" w:ascii="仿宋_GB2312" w:hAnsi="仿宋_GB2312" w:eastAsia="仿宋_GB2312" w:cs="仿宋_GB2312"/>
          <w:b/>
          <w:bCs/>
          <w:sz w:val="32"/>
          <w:szCs w:val="32"/>
          <w:highlight w:val="none"/>
          <w:lang w:val="en-US" w:eastAsia="zh-CN" w:bidi="ar"/>
        </w:rPr>
        <w:t>76.9</w:t>
      </w:r>
      <w:r>
        <w:rPr>
          <w:rFonts w:hint="eastAsia" w:ascii="仿宋_GB2312" w:hAnsi="仿宋_GB2312" w:eastAsia="仿宋_GB2312" w:cs="仿宋_GB2312"/>
          <w:b/>
          <w:bCs/>
          <w:sz w:val="32"/>
          <w:szCs w:val="32"/>
          <w:highlight w:val="none"/>
          <w:lang w:val="en-US" w:eastAsia="zh-CN" w:bidi="ar"/>
        </w:rPr>
        <w:t>%。</w:t>
      </w:r>
      <w:r>
        <w:rPr>
          <w:rFonts w:hint="eastAsia" w:ascii="仿宋_GB2312" w:hAnsi="仿宋_GB2312" w:eastAsia="仿宋_GB2312" w:cs="仿宋_GB2312"/>
          <w:b w:val="0"/>
          <w:bCs w:val="0"/>
          <w:sz w:val="32"/>
          <w:szCs w:val="32"/>
          <w:highlight w:val="none"/>
          <w:lang w:val="en-US" w:eastAsia="zh-CN" w:bidi="ar"/>
        </w:rPr>
        <w:t>该科目主要反映政府维护社会公共安全方面的支出。</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val="0"/>
          <w:bCs w:val="0"/>
          <w:sz w:val="32"/>
          <w:szCs w:val="32"/>
          <w:highlight w:val="none"/>
          <w:lang w:val="en-US" w:eastAsia="zh-CN" w:bidi="ar"/>
        </w:rPr>
      </w:pPr>
      <w:r>
        <w:rPr>
          <w:rFonts w:hint="eastAsia" w:ascii="仿宋_GB2312" w:hAnsi="仿宋_GB2312" w:eastAsia="仿宋_GB2312" w:cs="仿宋_GB2312"/>
          <w:b/>
          <w:bCs/>
          <w:kern w:val="2"/>
          <w:sz w:val="32"/>
          <w:szCs w:val="32"/>
          <w:highlight w:val="none"/>
          <w:lang w:val="en-US" w:eastAsia="zh-CN" w:bidi="ar"/>
        </w:rPr>
        <w:t>3.</w:t>
      </w:r>
      <w:r>
        <w:rPr>
          <w:rFonts w:hint="eastAsia" w:ascii="仿宋_GB2312" w:hAnsi="仿宋_GB2312" w:eastAsia="仿宋_GB2312" w:cs="仿宋_GB2312"/>
          <w:b/>
          <w:bCs/>
          <w:sz w:val="32"/>
          <w:szCs w:val="32"/>
          <w:highlight w:val="none"/>
          <w:lang w:val="en-US" w:eastAsia="zh-CN" w:bidi="ar"/>
        </w:rPr>
        <w:t>教育支出</w:t>
      </w:r>
      <w:r>
        <w:rPr>
          <w:rFonts w:hint="default" w:ascii="仿宋_GB2312" w:hAnsi="仿宋_GB2312" w:eastAsia="仿宋_GB2312" w:cs="仿宋_GB2312"/>
          <w:b/>
          <w:bCs/>
          <w:color w:val="auto"/>
          <w:sz w:val="32"/>
          <w:szCs w:val="32"/>
          <w:highlight w:val="none"/>
          <w:lang w:val="en-US" w:eastAsia="zh-CN" w:bidi="ar"/>
        </w:rPr>
        <w:t>10.9</w:t>
      </w:r>
      <w:r>
        <w:rPr>
          <w:rFonts w:hint="eastAsia" w:ascii="仿宋_GB2312" w:hAnsi="仿宋_GB2312" w:eastAsia="仿宋_GB2312" w:cs="仿宋_GB2312"/>
          <w:b/>
          <w:bCs/>
          <w:sz w:val="32"/>
          <w:szCs w:val="32"/>
          <w:highlight w:val="none"/>
          <w:lang w:val="en-US" w:eastAsia="zh-CN" w:bidi="ar"/>
        </w:rPr>
        <w:t>亿元，完成调整预算数的</w:t>
      </w:r>
      <w:r>
        <w:rPr>
          <w:rFonts w:hint="default" w:ascii="仿宋_GB2312" w:hAnsi="仿宋_GB2312" w:eastAsia="仿宋_GB2312" w:cs="仿宋_GB2312"/>
          <w:b/>
          <w:bCs/>
          <w:sz w:val="32"/>
          <w:szCs w:val="32"/>
          <w:highlight w:val="none"/>
          <w:lang w:val="en-US" w:eastAsia="zh-CN" w:bidi="ar"/>
        </w:rPr>
        <w:t>96.3</w:t>
      </w:r>
      <w:r>
        <w:rPr>
          <w:rFonts w:hint="eastAsia" w:ascii="仿宋_GB2312" w:hAnsi="仿宋_GB2312" w:eastAsia="仿宋_GB2312" w:cs="仿宋_GB2312"/>
          <w:b/>
          <w:bCs/>
          <w:sz w:val="32"/>
          <w:szCs w:val="32"/>
          <w:highlight w:val="none"/>
          <w:lang w:val="en-US" w:eastAsia="zh-CN" w:bidi="ar"/>
        </w:rPr>
        <w:t>%。</w:t>
      </w:r>
      <w:r>
        <w:rPr>
          <w:rFonts w:hint="eastAsia" w:ascii="仿宋_GB2312" w:hAnsi="仿宋_GB2312" w:eastAsia="仿宋_GB2312" w:cs="仿宋_GB2312"/>
          <w:b w:val="0"/>
          <w:bCs w:val="0"/>
          <w:sz w:val="32"/>
          <w:szCs w:val="32"/>
          <w:highlight w:val="none"/>
          <w:lang w:val="en-US" w:eastAsia="zh-CN" w:bidi="ar"/>
        </w:rPr>
        <w:t>该科目主要反映政府教育事务支出。</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val="0"/>
          <w:bCs w:val="0"/>
          <w:sz w:val="32"/>
          <w:szCs w:val="32"/>
          <w:highlight w:val="none"/>
          <w:lang w:val="en-US" w:eastAsia="zh-CN" w:bidi="ar"/>
        </w:rPr>
      </w:pPr>
      <w:r>
        <w:rPr>
          <w:rFonts w:hint="eastAsia" w:ascii="仿宋_GB2312" w:hAnsi="仿宋_GB2312" w:eastAsia="仿宋_GB2312" w:cs="仿宋_GB2312"/>
          <w:b/>
          <w:bCs/>
          <w:kern w:val="2"/>
          <w:sz w:val="32"/>
          <w:szCs w:val="32"/>
          <w:highlight w:val="none"/>
          <w:lang w:val="en-US" w:eastAsia="zh-CN" w:bidi="ar"/>
        </w:rPr>
        <w:t>4.</w:t>
      </w:r>
      <w:r>
        <w:rPr>
          <w:rFonts w:hint="eastAsia" w:ascii="仿宋_GB2312" w:hAnsi="仿宋_GB2312" w:eastAsia="仿宋_GB2312" w:cs="仿宋_GB2312"/>
          <w:b/>
          <w:bCs/>
          <w:sz w:val="32"/>
          <w:szCs w:val="32"/>
          <w:highlight w:val="none"/>
          <w:lang w:val="en-US" w:eastAsia="zh-CN" w:bidi="ar"/>
        </w:rPr>
        <w:t>科学技术支出</w:t>
      </w:r>
      <w:r>
        <w:rPr>
          <w:rFonts w:hint="default" w:ascii="仿宋_GB2312" w:hAnsi="仿宋_GB2312" w:eastAsia="仿宋_GB2312" w:cs="仿宋_GB2312"/>
          <w:b/>
          <w:bCs/>
          <w:sz w:val="32"/>
          <w:szCs w:val="32"/>
          <w:highlight w:val="none"/>
          <w:lang w:val="en-US" w:eastAsia="zh-CN" w:bidi="ar"/>
        </w:rPr>
        <w:t>1.5</w:t>
      </w:r>
      <w:r>
        <w:rPr>
          <w:rFonts w:hint="eastAsia" w:ascii="仿宋_GB2312" w:hAnsi="仿宋_GB2312" w:eastAsia="仿宋_GB2312" w:cs="仿宋_GB2312"/>
          <w:b/>
          <w:bCs/>
          <w:sz w:val="32"/>
          <w:szCs w:val="32"/>
          <w:highlight w:val="none"/>
          <w:lang w:val="en-US" w:eastAsia="zh-CN" w:bidi="ar"/>
        </w:rPr>
        <w:t>亿元，完成调整预算数的</w:t>
      </w:r>
      <w:r>
        <w:rPr>
          <w:rFonts w:hint="default" w:ascii="仿宋_GB2312" w:hAnsi="仿宋_GB2312" w:eastAsia="仿宋_GB2312" w:cs="仿宋_GB2312"/>
          <w:b/>
          <w:bCs/>
          <w:sz w:val="32"/>
          <w:szCs w:val="32"/>
          <w:highlight w:val="none"/>
          <w:lang w:val="en-US" w:eastAsia="zh-CN" w:bidi="ar"/>
        </w:rPr>
        <w:t>371.5</w:t>
      </w:r>
      <w:r>
        <w:rPr>
          <w:rFonts w:hint="eastAsia" w:ascii="仿宋_GB2312" w:hAnsi="仿宋_GB2312" w:eastAsia="仿宋_GB2312" w:cs="仿宋_GB2312"/>
          <w:b/>
          <w:bCs/>
          <w:sz w:val="32"/>
          <w:szCs w:val="32"/>
          <w:highlight w:val="none"/>
          <w:lang w:val="en-US" w:eastAsia="zh-CN" w:bidi="ar"/>
        </w:rPr>
        <w:t>%。</w:t>
      </w:r>
      <w:r>
        <w:rPr>
          <w:rFonts w:hint="eastAsia" w:ascii="仿宋_GB2312" w:hAnsi="仿宋_GB2312" w:eastAsia="仿宋_GB2312" w:cs="仿宋_GB2312"/>
          <w:b w:val="0"/>
          <w:bCs w:val="0"/>
          <w:sz w:val="32"/>
          <w:szCs w:val="32"/>
          <w:highlight w:val="none"/>
          <w:lang w:val="en-US" w:eastAsia="zh-CN" w:bidi="ar"/>
        </w:rPr>
        <w:t>该科目主要反映科学技术方面的支出</w:t>
      </w:r>
      <w:r>
        <w:rPr>
          <w:rFonts w:hint="eastAsia" w:ascii="仿宋_GB2312" w:hAnsi="仿宋_GB2312" w:eastAsia="仿宋_GB2312" w:cs="仿宋_GB2312"/>
          <w:b w:val="0"/>
          <w:bCs w:val="0"/>
          <w:sz w:val="32"/>
          <w:szCs w:val="32"/>
          <w:highlight w:val="none"/>
          <w:lang w:eastAsia="zh-CN" w:bidi="ar"/>
        </w:rPr>
        <w:t>。</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2" w:firstLineChars="200"/>
        <w:jc w:val="both"/>
        <w:textAlignment w:val="auto"/>
        <w:rPr>
          <w:rFonts w:hint="default" w:ascii="仿宋_GB2312" w:hAnsi="仿宋_GB2312" w:eastAsia="仿宋_GB2312" w:cs="仿宋_GB2312"/>
          <w:b w:val="0"/>
          <w:bCs w:val="0"/>
          <w:sz w:val="32"/>
          <w:szCs w:val="32"/>
          <w:highlight w:val="none"/>
          <w:lang w:val="en-US" w:eastAsia="zh-CN" w:bidi="ar"/>
        </w:rPr>
      </w:pPr>
      <w:r>
        <w:rPr>
          <w:rFonts w:hint="eastAsia" w:ascii="仿宋_GB2312" w:hAnsi="仿宋_GB2312" w:eastAsia="仿宋_GB2312" w:cs="仿宋_GB2312"/>
          <w:b/>
          <w:bCs/>
          <w:sz w:val="32"/>
          <w:szCs w:val="32"/>
          <w:highlight w:val="none"/>
          <w:lang w:val="en-US" w:eastAsia="zh-CN" w:bidi="ar"/>
        </w:rPr>
        <w:t>5.文化旅游体育与传媒支出</w:t>
      </w:r>
      <w:r>
        <w:rPr>
          <w:rFonts w:hint="eastAsia" w:ascii="仿宋_GB2312" w:hAnsi="仿宋_GB2312" w:eastAsia="仿宋_GB2312" w:cs="仿宋_GB2312"/>
          <w:b/>
          <w:bCs/>
          <w:color w:val="auto"/>
          <w:sz w:val="32"/>
          <w:szCs w:val="32"/>
          <w:highlight w:val="none"/>
          <w:lang w:val="en-US" w:eastAsia="zh-CN" w:bidi="ar"/>
        </w:rPr>
        <w:t>0.</w:t>
      </w:r>
      <w:r>
        <w:rPr>
          <w:rFonts w:hint="default" w:ascii="仿宋_GB2312" w:hAnsi="仿宋_GB2312" w:eastAsia="仿宋_GB2312" w:cs="仿宋_GB2312"/>
          <w:b/>
          <w:bCs/>
          <w:color w:val="auto"/>
          <w:sz w:val="32"/>
          <w:szCs w:val="32"/>
          <w:highlight w:val="none"/>
          <w:lang w:eastAsia="zh-CN" w:bidi="ar"/>
        </w:rPr>
        <w:t>6</w:t>
      </w:r>
      <w:r>
        <w:rPr>
          <w:rFonts w:hint="eastAsia" w:ascii="仿宋_GB2312" w:hAnsi="仿宋_GB2312" w:eastAsia="仿宋_GB2312" w:cs="仿宋_GB2312"/>
          <w:b/>
          <w:bCs/>
          <w:sz w:val="32"/>
          <w:szCs w:val="32"/>
          <w:highlight w:val="none"/>
          <w:lang w:val="en-US" w:eastAsia="zh-CN" w:bidi="ar"/>
        </w:rPr>
        <w:t>亿元，完成调整预算数的</w:t>
      </w:r>
      <w:r>
        <w:rPr>
          <w:rFonts w:hint="default" w:ascii="仿宋_GB2312" w:hAnsi="仿宋_GB2312" w:eastAsia="仿宋_GB2312" w:cs="仿宋_GB2312"/>
          <w:b/>
          <w:bCs/>
          <w:sz w:val="32"/>
          <w:szCs w:val="32"/>
          <w:highlight w:val="none"/>
          <w:lang w:eastAsia="zh-CN" w:bidi="ar"/>
        </w:rPr>
        <w:t>8</w:t>
      </w:r>
      <w:r>
        <w:rPr>
          <w:rFonts w:hint="default" w:ascii="仿宋_GB2312" w:hAnsi="仿宋_GB2312" w:eastAsia="仿宋_GB2312" w:cs="仿宋_GB2312"/>
          <w:b/>
          <w:bCs/>
          <w:sz w:val="32"/>
          <w:szCs w:val="32"/>
          <w:highlight w:val="none"/>
          <w:lang w:val="en-US" w:eastAsia="zh-CN" w:bidi="ar"/>
        </w:rPr>
        <w:t>2.1</w:t>
      </w:r>
      <w:r>
        <w:rPr>
          <w:rFonts w:hint="eastAsia" w:ascii="仿宋_GB2312" w:hAnsi="仿宋_GB2312" w:eastAsia="仿宋_GB2312" w:cs="仿宋_GB2312"/>
          <w:b/>
          <w:bCs/>
          <w:sz w:val="32"/>
          <w:szCs w:val="32"/>
          <w:highlight w:val="none"/>
          <w:lang w:val="en-US" w:eastAsia="zh-CN" w:bidi="ar"/>
        </w:rPr>
        <w:t>%。</w:t>
      </w:r>
      <w:r>
        <w:rPr>
          <w:rFonts w:hint="eastAsia" w:ascii="仿宋_GB2312" w:hAnsi="仿宋_GB2312" w:eastAsia="仿宋_GB2312" w:cs="仿宋_GB2312"/>
          <w:b w:val="0"/>
          <w:bCs w:val="0"/>
          <w:sz w:val="32"/>
          <w:szCs w:val="32"/>
          <w:highlight w:val="none"/>
          <w:lang w:val="en-US" w:eastAsia="zh-CN" w:bidi="ar"/>
        </w:rPr>
        <w:t>该科目主要反映政府在文化、旅游、文物、体育、广播电视、电影、新闻出版等方面的支出。</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val="0"/>
          <w:bCs w:val="0"/>
          <w:color w:val="auto"/>
          <w:sz w:val="32"/>
          <w:szCs w:val="32"/>
          <w:highlight w:val="none"/>
          <w:lang w:val="en-US" w:eastAsia="zh-CN" w:bidi="ar"/>
        </w:rPr>
      </w:pPr>
      <w:r>
        <w:rPr>
          <w:rFonts w:hint="eastAsia" w:ascii="仿宋_GB2312" w:hAnsi="仿宋_GB2312" w:eastAsia="仿宋_GB2312" w:cs="仿宋_GB2312"/>
          <w:b/>
          <w:bCs/>
          <w:sz w:val="32"/>
          <w:szCs w:val="32"/>
          <w:highlight w:val="none"/>
          <w:lang w:val="en-US" w:eastAsia="zh-CN" w:bidi="ar"/>
        </w:rPr>
        <w:t>6.社会保障和就业支出</w:t>
      </w:r>
      <w:r>
        <w:rPr>
          <w:rFonts w:hint="default" w:ascii="仿宋_GB2312" w:hAnsi="仿宋_GB2312" w:eastAsia="仿宋_GB2312" w:cs="仿宋_GB2312"/>
          <w:b/>
          <w:bCs/>
          <w:color w:val="auto"/>
          <w:sz w:val="32"/>
          <w:szCs w:val="32"/>
          <w:highlight w:val="none"/>
          <w:lang w:eastAsia="zh-CN" w:bidi="ar"/>
        </w:rPr>
        <w:t>2.</w:t>
      </w:r>
      <w:r>
        <w:rPr>
          <w:rFonts w:hint="default" w:ascii="仿宋_GB2312" w:hAnsi="仿宋_GB2312" w:eastAsia="仿宋_GB2312" w:cs="仿宋_GB2312"/>
          <w:b/>
          <w:bCs/>
          <w:color w:val="auto"/>
          <w:sz w:val="32"/>
          <w:szCs w:val="32"/>
          <w:highlight w:val="none"/>
          <w:lang w:val="en-US" w:eastAsia="zh-CN" w:bidi="ar"/>
        </w:rPr>
        <w:t>7</w:t>
      </w:r>
      <w:r>
        <w:rPr>
          <w:rFonts w:hint="eastAsia" w:ascii="仿宋_GB2312" w:hAnsi="仿宋_GB2312" w:eastAsia="仿宋_GB2312" w:cs="仿宋_GB2312"/>
          <w:b/>
          <w:bCs/>
          <w:sz w:val="32"/>
          <w:szCs w:val="32"/>
          <w:highlight w:val="none"/>
          <w:lang w:val="en-US" w:eastAsia="zh-CN" w:bidi="ar"/>
        </w:rPr>
        <w:t>亿元，完成调整预算数的</w:t>
      </w:r>
      <w:r>
        <w:rPr>
          <w:rFonts w:hint="default" w:ascii="仿宋_GB2312" w:hAnsi="仿宋_GB2312" w:eastAsia="仿宋_GB2312" w:cs="仿宋_GB2312"/>
          <w:b/>
          <w:bCs/>
          <w:sz w:val="32"/>
          <w:szCs w:val="32"/>
          <w:highlight w:val="none"/>
          <w:lang w:val="en-US" w:eastAsia="zh-CN" w:bidi="ar"/>
        </w:rPr>
        <w:t>89.7</w:t>
      </w:r>
      <w:r>
        <w:rPr>
          <w:rFonts w:hint="eastAsia" w:ascii="仿宋_GB2312" w:hAnsi="仿宋_GB2312" w:eastAsia="仿宋_GB2312" w:cs="仿宋_GB2312"/>
          <w:b/>
          <w:bCs/>
          <w:sz w:val="32"/>
          <w:szCs w:val="32"/>
          <w:highlight w:val="none"/>
          <w:lang w:val="en-US" w:eastAsia="zh-CN" w:bidi="ar"/>
        </w:rPr>
        <w:t>%。</w:t>
      </w:r>
      <w:r>
        <w:rPr>
          <w:rFonts w:hint="eastAsia" w:ascii="仿宋_GB2312" w:hAnsi="仿宋_GB2312" w:eastAsia="仿宋_GB2312" w:cs="仿宋_GB2312"/>
          <w:b w:val="0"/>
          <w:bCs w:val="0"/>
          <w:sz w:val="32"/>
          <w:szCs w:val="32"/>
          <w:highlight w:val="none"/>
          <w:lang w:val="en-US" w:eastAsia="zh-CN" w:bidi="ar"/>
        </w:rPr>
        <w:t>该科目主要反映政府在社会保障和就业方面的支出。</w:t>
      </w:r>
    </w:p>
    <w:p>
      <w:pPr>
        <w:keepNext w:val="0"/>
        <w:keepLines w:val="0"/>
        <w:pageBreakBefore w:val="0"/>
        <w:widowControl/>
        <w:shd w:val="clear" w:color="auto" w:fill="FFFFFF"/>
        <w:kinsoku/>
        <w:wordWrap/>
        <w:overflowPunct/>
        <w:topLinePunct w:val="0"/>
        <w:autoSpaceDE/>
        <w:autoSpaceDN/>
        <w:bidi w:val="0"/>
        <w:spacing w:line="560" w:lineRule="exact"/>
        <w:ind w:firstLine="642" w:firstLineChars="200"/>
        <w:jc w:val="both"/>
        <w:textAlignment w:val="auto"/>
        <w:rPr>
          <w:rFonts w:hint="eastAsia" w:ascii="仿宋_GB2312" w:hAnsi="仿宋_GB2312" w:eastAsia="仿宋_GB2312" w:cs="仿宋_GB2312"/>
          <w:b w:val="0"/>
          <w:bCs w:val="0"/>
          <w:sz w:val="32"/>
          <w:szCs w:val="32"/>
          <w:highlight w:val="none"/>
          <w:lang w:val="en-US" w:eastAsia="zh-CN" w:bidi="ar"/>
        </w:rPr>
      </w:pPr>
      <w:r>
        <w:rPr>
          <w:rFonts w:hint="eastAsia" w:ascii="仿宋_GB2312" w:hAnsi="仿宋_GB2312" w:eastAsia="仿宋_GB2312" w:cs="仿宋_GB2312"/>
          <w:b/>
          <w:bCs/>
          <w:sz w:val="32"/>
          <w:szCs w:val="32"/>
          <w:highlight w:val="none"/>
          <w:lang w:val="en-US" w:eastAsia="zh-CN" w:bidi="ar"/>
        </w:rPr>
        <w:t>7.卫生健康支出</w:t>
      </w:r>
      <w:r>
        <w:rPr>
          <w:rFonts w:hint="default" w:ascii="仿宋_GB2312" w:hAnsi="仿宋_GB2312" w:eastAsia="仿宋_GB2312" w:cs="仿宋_GB2312"/>
          <w:b/>
          <w:bCs/>
          <w:color w:val="auto"/>
          <w:sz w:val="32"/>
          <w:szCs w:val="32"/>
          <w:highlight w:val="none"/>
          <w:lang w:val="en-US" w:eastAsia="zh-CN" w:bidi="ar"/>
        </w:rPr>
        <w:t>3.7</w:t>
      </w:r>
      <w:r>
        <w:rPr>
          <w:rFonts w:hint="eastAsia" w:ascii="仿宋_GB2312" w:hAnsi="仿宋_GB2312" w:eastAsia="仿宋_GB2312" w:cs="仿宋_GB2312"/>
          <w:b/>
          <w:bCs/>
          <w:sz w:val="32"/>
          <w:szCs w:val="32"/>
          <w:highlight w:val="none"/>
          <w:lang w:val="en-US" w:eastAsia="zh-CN" w:bidi="ar"/>
        </w:rPr>
        <w:t>亿元，完成调整预算数的</w:t>
      </w:r>
      <w:r>
        <w:rPr>
          <w:rFonts w:hint="default" w:ascii="仿宋_GB2312" w:hAnsi="仿宋_GB2312" w:eastAsia="仿宋_GB2312" w:cs="仿宋_GB2312"/>
          <w:b/>
          <w:bCs/>
          <w:sz w:val="32"/>
          <w:szCs w:val="32"/>
          <w:highlight w:val="none"/>
          <w:lang w:val="en-US" w:eastAsia="zh-CN" w:bidi="ar"/>
        </w:rPr>
        <w:t>82.7</w:t>
      </w:r>
      <w:r>
        <w:rPr>
          <w:rFonts w:hint="eastAsia" w:ascii="仿宋_GB2312" w:hAnsi="仿宋_GB2312" w:eastAsia="仿宋_GB2312" w:cs="仿宋_GB2312"/>
          <w:b/>
          <w:bCs/>
          <w:sz w:val="32"/>
          <w:szCs w:val="32"/>
          <w:highlight w:val="none"/>
          <w:lang w:val="en-US" w:eastAsia="zh-CN" w:bidi="ar"/>
        </w:rPr>
        <w:t>%。</w:t>
      </w:r>
      <w:r>
        <w:rPr>
          <w:rFonts w:hint="eastAsia" w:ascii="仿宋_GB2312" w:hAnsi="仿宋_GB2312" w:eastAsia="仿宋_GB2312" w:cs="仿宋_GB2312"/>
          <w:b w:val="0"/>
          <w:bCs w:val="0"/>
          <w:sz w:val="32"/>
          <w:szCs w:val="32"/>
          <w:highlight w:val="none"/>
          <w:lang w:val="en-US" w:eastAsia="zh-CN" w:bidi="ar"/>
        </w:rPr>
        <w:t>该科目主要反映政府卫生健康方面的支出</w:t>
      </w:r>
      <w:r>
        <w:rPr>
          <w:rFonts w:hint="eastAsia" w:ascii="仿宋_GB2312" w:hAnsi="仿宋_GB2312" w:eastAsia="仿宋_GB2312" w:cs="仿宋_GB2312"/>
          <w:b w:val="0"/>
          <w:bCs w:val="0"/>
          <w:sz w:val="32"/>
          <w:szCs w:val="32"/>
          <w:highlight w:val="none"/>
          <w:lang w:eastAsia="zh-CN" w:bidi="ar"/>
        </w:rPr>
        <w:t>。</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2" w:firstLineChars="200"/>
        <w:jc w:val="both"/>
        <w:textAlignment w:val="auto"/>
        <w:rPr>
          <w:rFonts w:hint="default" w:ascii="仿宋_GB2312" w:hAnsi="仿宋_GB2312" w:eastAsia="仿宋_GB2312" w:cs="仿宋_GB2312"/>
          <w:b w:val="0"/>
          <w:bCs w:val="0"/>
          <w:sz w:val="32"/>
          <w:szCs w:val="32"/>
          <w:highlight w:val="none"/>
          <w:lang w:val="en-US" w:eastAsia="zh-CN" w:bidi="ar"/>
        </w:rPr>
      </w:pPr>
      <w:r>
        <w:rPr>
          <w:rFonts w:hint="eastAsia" w:ascii="仿宋_GB2312" w:hAnsi="仿宋_GB2312" w:eastAsia="仿宋_GB2312" w:cs="仿宋_GB2312"/>
          <w:b/>
          <w:bCs/>
          <w:sz w:val="32"/>
          <w:szCs w:val="32"/>
          <w:highlight w:val="none"/>
          <w:lang w:val="en-US" w:eastAsia="zh-CN" w:bidi="ar"/>
        </w:rPr>
        <w:t>8.节能环保支出</w:t>
      </w:r>
      <w:r>
        <w:rPr>
          <w:rFonts w:hint="eastAsia" w:ascii="仿宋_GB2312" w:hAnsi="仿宋_GB2312" w:eastAsia="仿宋_GB2312" w:cs="仿宋_GB2312"/>
          <w:b/>
          <w:bCs/>
          <w:color w:val="auto"/>
          <w:sz w:val="32"/>
          <w:szCs w:val="32"/>
          <w:highlight w:val="none"/>
          <w:lang w:val="en-US" w:eastAsia="zh-CN" w:bidi="ar"/>
        </w:rPr>
        <w:t>0.</w:t>
      </w:r>
      <w:r>
        <w:rPr>
          <w:rFonts w:hint="default" w:ascii="仿宋_GB2312" w:hAnsi="仿宋_GB2312" w:eastAsia="仿宋_GB2312" w:cs="仿宋_GB2312"/>
          <w:b/>
          <w:bCs/>
          <w:color w:val="auto"/>
          <w:sz w:val="32"/>
          <w:szCs w:val="32"/>
          <w:highlight w:val="none"/>
          <w:lang w:val="en-US" w:eastAsia="zh-CN" w:bidi="ar"/>
        </w:rPr>
        <w:t>3</w:t>
      </w:r>
      <w:r>
        <w:rPr>
          <w:rFonts w:hint="eastAsia" w:ascii="仿宋_GB2312" w:hAnsi="仿宋_GB2312" w:eastAsia="仿宋_GB2312" w:cs="仿宋_GB2312"/>
          <w:b/>
          <w:bCs/>
          <w:sz w:val="32"/>
          <w:szCs w:val="32"/>
          <w:highlight w:val="none"/>
          <w:lang w:val="en-US" w:eastAsia="zh-CN" w:bidi="ar"/>
        </w:rPr>
        <w:t>亿元，完成调整预算数的</w:t>
      </w:r>
      <w:r>
        <w:rPr>
          <w:rFonts w:hint="default" w:ascii="仿宋_GB2312" w:hAnsi="仿宋_GB2312" w:eastAsia="仿宋_GB2312" w:cs="仿宋_GB2312"/>
          <w:b/>
          <w:bCs/>
          <w:sz w:val="32"/>
          <w:szCs w:val="32"/>
          <w:highlight w:val="none"/>
          <w:lang w:val="en-US" w:eastAsia="zh-CN" w:bidi="ar"/>
        </w:rPr>
        <w:t>67.1</w:t>
      </w:r>
      <w:r>
        <w:rPr>
          <w:rFonts w:hint="eastAsia" w:ascii="仿宋_GB2312" w:hAnsi="仿宋_GB2312" w:eastAsia="仿宋_GB2312" w:cs="仿宋_GB2312"/>
          <w:b/>
          <w:bCs/>
          <w:sz w:val="32"/>
          <w:szCs w:val="32"/>
          <w:highlight w:val="none"/>
          <w:lang w:val="en-US" w:eastAsia="zh-CN" w:bidi="ar"/>
        </w:rPr>
        <w:t>%。</w:t>
      </w:r>
      <w:r>
        <w:rPr>
          <w:rFonts w:hint="eastAsia" w:ascii="仿宋_GB2312" w:hAnsi="仿宋_GB2312" w:eastAsia="仿宋_GB2312" w:cs="仿宋_GB2312"/>
          <w:b w:val="0"/>
          <w:bCs w:val="0"/>
          <w:sz w:val="32"/>
          <w:szCs w:val="32"/>
          <w:highlight w:val="none"/>
          <w:lang w:val="en-US" w:eastAsia="zh-CN" w:bidi="ar"/>
        </w:rPr>
        <w:t>该科目主要反映政府节能环保支出。</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2" w:firstLineChars="200"/>
        <w:jc w:val="both"/>
        <w:textAlignment w:val="auto"/>
        <w:rPr>
          <w:rFonts w:hint="default" w:ascii="仿宋_GB2312" w:hAnsi="仿宋_GB2312" w:eastAsia="仿宋_GB2312" w:cs="仿宋_GB2312"/>
          <w:b w:val="0"/>
          <w:bCs w:val="0"/>
          <w:sz w:val="32"/>
          <w:szCs w:val="32"/>
          <w:highlight w:val="none"/>
          <w:lang w:val="en-US" w:eastAsia="zh-CN" w:bidi="ar"/>
        </w:rPr>
      </w:pPr>
      <w:r>
        <w:rPr>
          <w:rFonts w:hint="eastAsia" w:ascii="仿宋_GB2312" w:hAnsi="仿宋_GB2312" w:eastAsia="仿宋_GB2312" w:cs="仿宋_GB2312"/>
          <w:b/>
          <w:bCs/>
          <w:sz w:val="32"/>
          <w:szCs w:val="32"/>
          <w:highlight w:val="none"/>
          <w:lang w:val="en-US" w:eastAsia="zh-CN" w:bidi="ar"/>
        </w:rPr>
        <w:t>9.城乡社区支出</w:t>
      </w:r>
      <w:r>
        <w:rPr>
          <w:rFonts w:hint="default" w:ascii="仿宋_GB2312" w:hAnsi="仿宋_GB2312" w:eastAsia="仿宋_GB2312" w:cs="仿宋_GB2312"/>
          <w:b/>
          <w:bCs/>
          <w:color w:val="auto"/>
          <w:sz w:val="32"/>
          <w:szCs w:val="32"/>
          <w:highlight w:val="none"/>
          <w:lang w:val="en-US" w:eastAsia="zh-CN" w:bidi="ar"/>
        </w:rPr>
        <w:t>10.6</w:t>
      </w:r>
      <w:r>
        <w:rPr>
          <w:rFonts w:hint="eastAsia" w:ascii="仿宋_GB2312" w:hAnsi="仿宋_GB2312" w:eastAsia="仿宋_GB2312" w:cs="仿宋_GB2312"/>
          <w:b/>
          <w:bCs/>
          <w:sz w:val="32"/>
          <w:szCs w:val="32"/>
          <w:highlight w:val="none"/>
          <w:lang w:val="en-US" w:eastAsia="zh-CN" w:bidi="ar"/>
        </w:rPr>
        <w:t>亿元，完成调整预算数的</w:t>
      </w:r>
      <w:r>
        <w:rPr>
          <w:rFonts w:hint="default" w:ascii="仿宋_GB2312" w:hAnsi="仿宋_GB2312" w:eastAsia="仿宋_GB2312" w:cs="仿宋_GB2312"/>
          <w:b/>
          <w:bCs/>
          <w:sz w:val="32"/>
          <w:szCs w:val="32"/>
          <w:highlight w:val="none"/>
          <w:lang w:val="en-US" w:eastAsia="zh-CN" w:bidi="ar"/>
        </w:rPr>
        <w:t>73.8</w:t>
      </w:r>
      <w:r>
        <w:rPr>
          <w:rFonts w:hint="eastAsia" w:ascii="仿宋_GB2312" w:hAnsi="仿宋_GB2312" w:eastAsia="仿宋_GB2312" w:cs="仿宋_GB2312"/>
          <w:b/>
          <w:bCs/>
          <w:sz w:val="32"/>
          <w:szCs w:val="32"/>
          <w:highlight w:val="none"/>
          <w:lang w:val="en-US" w:eastAsia="zh-CN" w:bidi="ar"/>
        </w:rPr>
        <w:t>%。</w:t>
      </w:r>
      <w:r>
        <w:rPr>
          <w:rFonts w:hint="eastAsia" w:ascii="仿宋_GB2312" w:hAnsi="仿宋_GB2312" w:eastAsia="仿宋_GB2312" w:cs="仿宋_GB2312"/>
          <w:b w:val="0"/>
          <w:bCs w:val="0"/>
          <w:sz w:val="32"/>
          <w:szCs w:val="32"/>
          <w:highlight w:val="none"/>
          <w:lang w:val="en-US" w:eastAsia="zh-CN" w:bidi="ar"/>
        </w:rPr>
        <w:t>该科目主要反映政府城乡社区事务支出。</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val="0"/>
          <w:bCs w:val="0"/>
          <w:sz w:val="32"/>
          <w:szCs w:val="32"/>
          <w:highlight w:val="none"/>
          <w:lang w:val="en-US" w:eastAsia="zh-CN" w:bidi="ar"/>
        </w:rPr>
      </w:pPr>
      <w:r>
        <w:rPr>
          <w:rFonts w:hint="eastAsia" w:ascii="仿宋_GB2312" w:hAnsi="仿宋_GB2312" w:eastAsia="仿宋_GB2312" w:cs="仿宋_GB2312"/>
          <w:b/>
          <w:bCs/>
          <w:sz w:val="32"/>
          <w:szCs w:val="32"/>
          <w:highlight w:val="none"/>
          <w:lang w:val="en-US" w:eastAsia="zh-CN" w:bidi="ar"/>
        </w:rPr>
        <w:t>10.农林水支出</w:t>
      </w:r>
      <w:r>
        <w:rPr>
          <w:rFonts w:hint="eastAsia" w:ascii="仿宋_GB2312" w:hAnsi="仿宋_GB2312" w:eastAsia="仿宋_GB2312" w:cs="仿宋_GB2312"/>
          <w:b/>
          <w:bCs/>
          <w:color w:val="auto"/>
          <w:sz w:val="32"/>
          <w:szCs w:val="32"/>
          <w:highlight w:val="none"/>
          <w:lang w:val="en-US" w:eastAsia="zh-CN" w:bidi="ar"/>
        </w:rPr>
        <w:t>3</w:t>
      </w:r>
      <w:r>
        <w:rPr>
          <w:rFonts w:hint="default" w:ascii="仿宋_GB2312" w:hAnsi="仿宋_GB2312" w:eastAsia="仿宋_GB2312" w:cs="仿宋_GB2312"/>
          <w:b/>
          <w:bCs/>
          <w:color w:val="auto"/>
          <w:sz w:val="32"/>
          <w:szCs w:val="32"/>
          <w:highlight w:val="none"/>
          <w:lang w:val="en-US" w:eastAsia="zh-CN" w:bidi="ar"/>
        </w:rPr>
        <w:t>.7</w:t>
      </w:r>
      <w:r>
        <w:rPr>
          <w:rFonts w:hint="eastAsia" w:ascii="仿宋_GB2312" w:hAnsi="仿宋_GB2312" w:eastAsia="仿宋_GB2312" w:cs="仿宋_GB2312"/>
          <w:b/>
          <w:bCs/>
          <w:sz w:val="32"/>
          <w:szCs w:val="32"/>
          <w:highlight w:val="none"/>
          <w:lang w:val="en-US" w:eastAsia="zh-CN" w:bidi="ar"/>
        </w:rPr>
        <w:t>亿元，完成调整预算数的</w:t>
      </w:r>
      <w:r>
        <w:rPr>
          <w:rFonts w:hint="default" w:ascii="仿宋_GB2312" w:hAnsi="仿宋_GB2312" w:eastAsia="仿宋_GB2312" w:cs="仿宋_GB2312"/>
          <w:b/>
          <w:bCs/>
          <w:sz w:val="32"/>
          <w:szCs w:val="32"/>
          <w:highlight w:val="none"/>
          <w:lang w:val="en-US" w:eastAsia="zh-CN" w:bidi="ar"/>
        </w:rPr>
        <w:t>95.5</w:t>
      </w:r>
      <w:r>
        <w:rPr>
          <w:rFonts w:hint="eastAsia" w:ascii="仿宋_GB2312" w:hAnsi="仿宋_GB2312" w:eastAsia="仿宋_GB2312" w:cs="仿宋_GB2312"/>
          <w:b/>
          <w:bCs/>
          <w:sz w:val="32"/>
          <w:szCs w:val="32"/>
          <w:highlight w:val="none"/>
          <w:lang w:val="en-US" w:eastAsia="zh-CN" w:bidi="ar"/>
        </w:rPr>
        <w:t>%。</w:t>
      </w:r>
      <w:r>
        <w:rPr>
          <w:rFonts w:hint="eastAsia" w:ascii="仿宋_GB2312" w:hAnsi="仿宋_GB2312" w:eastAsia="仿宋_GB2312" w:cs="仿宋_GB2312"/>
          <w:b w:val="0"/>
          <w:bCs w:val="0"/>
          <w:sz w:val="32"/>
          <w:szCs w:val="32"/>
          <w:highlight w:val="none"/>
          <w:lang w:val="en-US" w:eastAsia="zh-CN" w:bidi="ar"/>
        </w:rPr>
        <w:t>该科目主要反映政府农林水事务支出。</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2" w:firstLineChars="200"/>
        <w:jc w:val="both"/>
        <w:textAlignment w:val="auto"/>
        <w:rPr>
          <w:rFonts w:hint="default" w:ascii="仿宋_GB2312" w:hAnsi="仿宋_GB2312" w:eastAsia="仿宋_GB2312" w:cs="仿宋_GB2312"/>
          <w:b w:val="0"/>
          <w:bCs w:val="0"/>
          <w:sz w:val="32"/>
          <w:szCs w:val="32"/>
          <w:highlight w:val="none"/>
          <w:lang w:val="en-US" w:eastAsia="zh-CN" w:bidi="ar"/>
        </w:rPr>
      </w:pPr>
      <w:r>
        <w:rPr>
          <w:rFonts w:hint="eastAsia" w:ascii="仿宋_GB2312" w:hAnsi="仿宋_GB2312" w:eastAsia="仿宋_GB2312" w:cs="仿宋_GB2312"/>
          <w:b/>
          <w:bCs/>
          <w:sz w:val="32"/>
          <w:szCs w:val="32"/>
          <w:highlight w:val="none"/>
          <w:lang w:val="en-US" w:eastAsia="zh-CN" w:bidi="ar"/>
        </w:rPr>
        <w:t>11.交通运输支出</w:t>
      </w:r>
      <w:r>
        <w:rPr>
          <w:rFonts w:hint="eastAsia" w:ascii="仿宋_GB2312" w:hAnsi="仿宋_GB2312" w:eastAsia="仿宋_GB2312" w:cs="仿宋_GB2312"/>
          <w:b/>
          <w:bCs/>
          <w:color w:val="auto"/>
          <w:sz w:val="32"/>
          <w:szCs w:val="32"/>
          <w:highlight w:val="none"/>
          <w:lang w:val="en-US" w:eastAsia="zh-CN" w:bidi="ar"/>
        </w:rPr>
        <w:t>2.4</w:t>
      </w:r>
      <w:r>
        <w:rPr>
          <w:rFonts w:hint="eastAsia" w:ascii="仿宋_GB2312" w:hAnsi="仿宋_GB2312" w:eastAsia="仿宋_GB2312" w:cs="仿宋_GB2312"/>
          <w:b/>
          <w:bCs/>
          <w:sz w:val="32"/>
          <w:szCs w:val="32"/>
          <w:highlight w:val="none"/>
          <w:lang w:val="en-US" w:eastAsia="zh-CN" w:bidi="ar"/>
        </w:rPr>
        <w:t>亿元，完成调整预算数的488.0%。</w:t>
      </w:r>
      <w:r>
        <w:rPr>
          <w:rFonts w:hint="eastAsia" w:ascii="仿宋_GB2312" w:hAnsi="仿宋_GB2312" w:eastAsia="仿宋_GB2312" w:cs="仿宋_GB2312"/>
          <w:b w:val="0"/>
          <w:bCs w:val="0"/>
          <w:sz w:val="32"/>
          <w:szCs w:val="32"/>
          <w:highlight w:val="none"/>
          <w:lang w:val="en-US" w:eastAsia="zh-CN" w:bidi="ar"/>
        </w:rPr>
        <w:t>该科目主要反映交通运输和邮政业方面的支出。</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val="0"/>
          <w:bCs w:val="0"/>
          <w:sz w:val="32"/>
          <w:szCs w:val="32"/>
          <w:highlight w:val="none"/>
          <w:lang w:eastAsia="zh-CN" w:bidi="ar"/>
        </w:rPr>
      </w:pPr>
      <w:r>
        <w:rPr>
          <w:rFonts w:hint="eastAsia" w:ascii="仿宋_GB2312" w:hAnsi="仿宋_GB2312" w:eastAsia="仿宋_GB2312" w:cs="仿宋_GB2312"/>
          <w:b/>
          <w:bCs/>
          <w:sz w:val="32"/>
          <w:szCs w:val="32"/>
          <w:highlight w:val="none"/>
          <w:lang w:val="en-US" w:eastAsia="zh-CN" w:bidi="ar"/>
        </w:rPr>
        <w:t>12.资源勘探工业信息等支出0.7亿元，完成调整预算数的29.4%。</w:t>
      </w:r>
      <w:r>
        <w:rPr>
          <w:rFonts w:hint="eastAsia" w:ascii="仿宋_GB2312" w:hAnsi="仿宋_GB2312" w:eastAsia="仿宋_GB2312" w:cs="仿宋_GB2312"/>
          <w:b w:val="0"/>
          <w:bCs w:val="0"/>
          <w:sz w:val="32"/>
          <w:szCs w:val="32"/>
          <w:highlight w:val="none"/>
          <w:lang w:val="en-US" w:eastAsia="zh-CN" w:bidi="ar"/>
        </w:rPr>
        <w:t>该科目主要反映用于资源勘探、制造业、建筑业、工业信息等方面的支出。</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2" w:firstLineChars="200"/>
        <w:jc w:val="both"/>
        <w:textAlignment w:val="auto"/>
        <w:rPr>
          <w:rFonts w:hint="default" w:ascii="仿宋_GB2312" w:hAnsi="仿宋_GB2312" w:eastAsia="仿宋_GB2312" w:cs="仿宋_GB2312"/>
          <w:b/>
          <w:bCs/>
          <w:sz w:val="32"/>
          <w:szCs w:val="32"/>
          <w:highlight w:val="none"/>
          <w:lang w:val="en-US" w:eastAsia="zh-CN" w:bidi="ar"/>
        </w:rPr>
      </w:pPr>
      <w:r>
        <w:rPr>
          <w:rFonts w:hint="eastAsia" w:ascii="仿宋_GB2312" w:hAnsi="仿宋_GB2312" w:eastAsia="仿宋_GB2312" w:cs="仿宋_GB2312"/>
          <w:b/>
          <w:bCs/>
          <w:sz w:val="32"/>
          <w:szCs w:val="32"/>
          <w:highlight w:val="none"/>
          <w:lang w:val="en-US" w:eastAsia="zh-CN" w:bidi="ar"/>
        </w:rPr>
        <w:t>13.商业服务业等支出0.4亿元，比调整预算数增加0.4亿元。</w:t>
      </w:r>
      <w:r>
        <w:rPr>
          <w:rFonts w:hint="eastAsia" w:ascii="仿宋_GB2312" w:hAnsi="仿宋_GB2312" w:eastAsia="仿宋_GB2312" w:cs="仿宋_GB2312"/>
          <w:b w:val="0"/>
          <w:bCs w:val="0"/>
          <w:sz w:val="32"/>
          <w:szCs w:val="32"/>
          <w:highlight w:val="none"/>
          <w:lang w:val="en-US" w:eastAsia="zh-CN" w:bidi="ar"/>
        </w:rPr>
        <w:t>该科目主要反映商业服务业等方面的支出</w:t>
      </w:r>
      <w:r>
        <w:rPr>
          <w:rFonts w:hint="eastAsia" w:ascii="仿宋_GB2312" w:hAnsi="仿宋_GB2312" w:eastAsia="仿宋_GB2312" w:cs="仿宋_GB2312"/>
          <w:b w:val="0"/>
          <w:bCs w:val="0"/>
          <w:color w:val="auto"/>
          <w:sz w:val="32"/>
          <w:szCs w:val="32"/>
          <w:highlight w:val="none"/>
          <w:lang w:eastAsia="zh-CN" w:bidi="ar"/>
        </w:rPr>
        <w:t>。</w:t>
      </w:r>
    </w:p>
    <w:p>
      <w:pPr>
        <w:keepNext w:val="0"/>
        <w:keepLines w:val="0"/>
        <w:pageBreakBefore w:val="0"/>
        <w:widowControl/>
        <w:shd w:val="clear" w:color="auto" w:fill="FFFFFF"/>
        <w:kinsoku/>
        <w:wordWrap/>
        <w:overflowPunct/>
        <w:topLinePunct w:val="0"/>
        <w:autoSpaceDE/>
        <w:autoSpaceDN/>
        <w:bidi w:val="0"/>
        <w:spacing w:line="560" w:lineRule="exact"/>
        <w:ind w:firstLine="642" w:firstLineChars="200"/>
        <w:jc w:val="both"/>
        <w:textAlignment w:val="auto"/>
        <w:rPr>
          <w:rFonts w:hint="eastAsia" w:ascii="仿宋_GB2312" w:hAnsi="仿宋_GB2312" w:eastAsia="仿宋_GB2312" w:cs="仿宋_GB2312"/>
          <w:b w:val="0"/>
          <w:bCs w:val="0"/>
          <w:sz w:val="32"/>
          <w:szCs w:val="32"/>
          <w:highlight w:val="none"/>
          <w:lang w:val="en-US" w:eastAsia="zh-CN" w:bidi="ar"/>
        </w:rPr>
      </w:pPr>
      <w:r>
        <w:rPr>
          <w:rFonts w:hint="eastAsia" w:ascii="仿宋_GB2312" w:hAnsi="仿宋_GB2312" w:eastAsia="仿宋_GB2312" w:cs="仿宋_GB2312"/>
          <w:b/>
          <w:bCs/>
          <w:sz w:val="32"/>
          <w:szCs w:val="32"/>
          <w:highlight w:val="none"/>
          <w:lang w:val="en-US" w:eastAsia="zh-CN" w:bidi="ar"/>
        </w:rPr>
        <w:t>14.自然资源海洋气象等支出</w:t>
      </w:r>
      <w:r>
        <w:rPr>
          <w:rFonts w:hint="default" w:ascii="仿宋_GB2312" w:hAnsi="仿宋_GB2312" w:eastAsia="仿宋_GB2312" w:cs="仿宋_GB2312"/>
          <w:b/>
          <w:bCs/>
          <w:sz w:val="32"/>
          <w:szCs w:val="32"/>
          <w:highlight w:val="none"/>
          <w:lang w:eastAsia="zh-CN" w:bidi="ar"/>
        </w:rPr>
        <w:t>0.5</w:t>
      </w:r>
      <w:r>
        <w:rPr>
          <w:rFonts w:hint="eastAsia" w:ascii="仿宋_GB2312" w:hAnsi="仿宋_GB2312" w:eastAsia="仿宋_GB2312" w:cs="仿宋_GB2312"/>
          <w:b/>
          <w:bCs/>
          <w:sz w:val="32"/>
          <w:szCs w:val="32"/>
          <w:highlight w:val="none"/>
          <w:lang w:val="en-US" w:eastAsia="zh-CN" w:bidi="ar"/>
        </w:rPr>
        <w:t>亿元，完成调整预算数的91.4%。</w:t>
      </w:r>
      <w:r>
        <w:rPr>
          <w:rFonts w:hint="eastAsia" w:ascii="仿宋_GB2312" w:hAnsi="仿宋_GB2312" w:eastAsia="仿宋_GB2312" w:cs="仿宋_GB2312"/>
          <w:b w:val="0"/>
          <w:bCs w:val="0"/>
          <w:sz w:val="32"/>
          <w:szCs w:val="32"/>
          <w:highlight w:val="none"/>
          <w:lang w:val="en-US" w:eastAsia="zh-CN" w:bidi="ar"/>
        </w:rPr>
        <w:t>该科目主要反映政府用于自然资源、海洋、测绘、气象等公益服务事业方面的支出</w:t>
      </w:r>
      <w:r>
        <w:rPr>
          <w:rFonts w:hint="eastAsia" w:ascii="仿宋_GB2312" w:hAnsi="仿宋_GB2312" w:eastAsia="仿宋_GB2312" w:cs="仿宋_GB2312"/>
          <w:b w:val="0"/>
          <w:bCs w:val="0"/>
          <w:sz w:val="32"/>
          <w:szCs w:val="32"/>
          <w:highlight w:val="none"/>
          <w:lang w:eastAsia="zh-CN" w:bidi="ar"/>
        </w:rPr>
        <w:t>。</w:t>
      </w:r>
    </w:p>
    <w:p>
      <w:pPr>
        <w:keepNext w:val="0"/>
        <w:keepLines w:val="0"/>
        <w:pageBreakBefore w:val="0"/>
        <w:widowControl w:val="0"/>
        <w:shd w:val="clear" w:color="auto" w:fill="FFFFFF"/>
        <w:kinsoku/>
        <w:wordWrap/>
        <w:overflowPunct/>
        <w:topLinePunct w:val="0"/>
        <w:autoSpaceDE/>
        <w:autoSpaceDN/>
        <w:bidi w:val="0"/>
        <w:spacing w:line="560" w:lineRule="exact"/>
        <w:ind w:firstLine="642" w:firstLineChars="200"/>
        <w:jc w:val="both"/>
        <w:textAlignment w:val="auto"/>
        <w:rPr>
          <w:rFonts w:hint="default" w:ascii="仿宋_GB2312" w:hAnsi="仿宋_GB2312" w:eastAsia="仿宋_GB2312" w:cs="仿宋_GB2312"/>
          <w:b w:val="0"/>
          <w:bCs w:val="0"/>
          <w:sz w:val="32"/>
          <w:szCs w:val="32"/>
          <w:highlight w:val="none"/>
          <w:lang w:val="en-US" w:eastAsia="zh-CN" w:bidi="ar"/>
        </w:rPr>
      </w:pPr>
      <w:r>
        <w:rPr>
          <w:rFonts w:hint="eastAsia" w:ascii="仿宋_GB2312" w:hAnsi="仿宋_GB2312" w:eastAsia="仿宋_GB2312" w:cs="仿宋_GB2312"/>
          <w:b/>
          <w:bCs/>
          <w:sz w:val="32"/>
          <w:szCs w:val="32"/>
          <w:highlight w:val="none"/>
          <w:lang w:val="en-US" w:eastAsia="zh-CN" w:bidi="ar"/>
        </w:rPr>
        <w:t>15.住房保障支出</w:t>
      </w:r>
      <w:r>
        <w:rPr>
          <w:rFonts w:hint="eastAsia" w:ascii="仿宋_GB2312" w:hAnsi="仿宋_GB2312" w:eastAsia="仿宋_GB2312" w:cs="仿宋_GB2312"/>
          <w:b/>
          <w:bCs/>
          <w:color w:val="auto"/>
          <w:sz w:val="32"/>
          <w:szCs w:val="32"/>
          <w:highlight w:val="none"/>
          <w:lang w:val="en-US" w:eastAsia="zh-CN" w:bidi="ar"/>
        </w:rPr>
        <w:t>4.5</w:t>
      </w:r>
      <w:r>
        <w:rPr>
          <w:rFonts w:hint="eastAsia" w:ascii="仿宋_GB2312" w:hAnsi="仿宋_GB2312" w:eastAsia="仿宋_GB2312" w:cs="仿宋_GB2312"/>
          <w:b/>
          <w:bCs/>
          <w:sz w:val="32"/>
          <w:szCs w:val="32"/>
          <w:highlight w:val="none"/>
          <w:lang w:val="en-US" w:eastAsia="zh-CN" w:bidi="ar"/>
        </w:rPr>
        <w:t>亿元，完成调整预算数的126.0%。</w:t>
      </w:r>
      <w:r>
        <w:rPr>
          <w:rFonts w:hint="eastAsia" w:ascii="仿宋_GB2312" w:hAnsi="仿宋_GB2312" w:eastAsia="仿宋_GB2312" w:cs="仿宋_GB2312"/>
          <w:b w:val="0"/>
          <w:bCs w:val="0"/>
          <w:sz w:val="32"/>
          <w:szCs w:val="32"/>
          <w:highlight w:val="none"/>
          <w:lang w:val="en-US" w:eastAsia="zh-CN" w:bidi="ar"/>
        </w:rPr>
        <w:t>该科目主要反映政府用于住房方面的支出。</w:t>
      </w:r>
    </w:p>
    <w:p>
      <w:pPr>
        <w:pStyle w:val="5"/>
        <w:keepNext w:val="0"/>
        <w:keepLines w:val="0"/>
        <w:pageBreakBefore w:val="0"/>
        <w:widowControl w:val="0"/>
        <w:kinsoku/>
        <w:wordWrap/>
        <w:overflowPunct/>
        <w:topLinePunct w:val="0"/>
        <w:autoSpaceDE/>
        <w:autoSpaceDN/>
        <w:bidi w:val="0"/>
        <w:spacing w:line="560" w:lineRule="exact"/>
        <w:ind w:firstLine="642" w:firstLineChars="200"/>
        <w:jc w:val="both"/>
        <w:textAlignment w:val="auto"/>
        <w:rPr>
          <w:rFonts w:hint="default" w:ascii="仿宋_GB2312" w:hAnsi="仿宋_GB2312" w:eastAsia="仿宋_GB2312" w:cs="仿宋_GB2312"/>
          <w:b w:val="0"/>
          <w:bCs w:val="0"/>
          <w:sz w:val="32"/>
          <w:szCs w:val="32"/>
          <w:highlight w:val="none"/>
          <w:lang w:eastAsia="zh-CN" w:bidi="ar"/>
        </w:rPr>
      </w:pPr>
      <w:r>
        <w:rPr>
          <w:rFonts w:hint="eastAsia" w:ascii="仿宋_GB2312" w:hAnsi="仿宋_GB2312" w:eastAsia="仿宋_GB2312" w:cs="仿宋_GB2312"/>
          <w:b/>
          <w:bCs/>
          <w:sz w:val="32"/>
          <w:szCs w:val="32"/>
          <w:highlight w:val="none"/>
          <w:lang w:val="en-US" w:eastAsia="zh-CN" w:bidi="ar"/>
        </w:rPr>
        <w:t>16.灾害防治及应急管理支出1.0亿元，完成调整预算数的79.0%。</w:t>
      </w:r>
      <w:r>
        <w:rPr>
          <w:rFonts w:hint="eastAsia" w:ascii="仿宋_GB2312" w:hAnsi="仿宋_GB2312" w:eastAsia="仿宋_GB2312" w:cs="仿宋_GB2312"/>
          <w:b w:val="0"/>
          <w:bCs w:val="0"/>
          <w:sz w:val="32"/>
          <w:szCs w:val="32"/>
          <w:highlight w:val="none"/>
          <w:lang w:val="en-US" w:eastAsia="zh-CN" w:bidi="ar"/>
        </w:rPr>
        <w:t>该科目主要反映政府用于自然灾害防治、安全生产监管及应急管理等方面的支出。</w:t>
      </w:r>
    </w:p>
    <w:p>
      <w:pPr>
        <w:pStyle w:val="5"/>
        <w:keepNext w:val="0"/>
        <w:keepLines w:val="0"/>
        <w:pageBreakBefore w:val="0"/>
        <w:widowControl w:val="0"/>
        <w:kinsoku/>
        <w:wordWrap/>
        <w:overflowPunct/>
        <w:topLinePunct w:val="0"/>
        <w:autoSpaceDE/>
        <w:autoSpaceDN/>
        <w:bidi w:val="0"/>
        <w:spacing w:line="560" w:lineRule="exact"/>
        <w:ind w:firstLine="642" w:firstLineChars="200"/>
        <w:jc w:val="both"/>
        <w:textAlignment w:val="auto"/>
        <w:rPr>
          <w:rFonts w:hint="default" w:ascii="仿宋_GB2312" w:hAnsi="仿宋_GB2312" w:eastAsia="仿宋_GB2312" w:cs="仿宋_GB2312"/>
          <w:b w:val="0"/>
          <w:bCs w:val="0"/>
          <w:sz w:val="32"/>
          <w:szCs w:val="32"/>
          <w:highlight w:val="none"/>
          <w:lang w:eastAsia="zh-CN" w:bidi="ar"/>
        </w:rPr>
      </w:pPr>
      <w:r>
        <w:rPr>
          <w:rFonts w:hint="eastAsia" w:ascii="仿宋_GB2312" w:hAnsi="仿宋_GB2312" w:eastAsia="仿宋_GB2312" w:cs="仿宋_GB2312"/>
          <w:b/>
          <w:bCs/>
          <w:kern w:val="2"/>
          <w:sz w:val="32"/>
          <w:szCs w:val="32"/>
          <w:highlight w:val="none"/>
          <w:lang w:eastAsia="zh-CN" w:bidi="ar"/>
        </w:rPr>
        <w:t>1</w:t>
      </w:r>
      <w:r>
        <w:rPr>
          <w:rFonts w:hint="eastAsia" w:ascii="仿宋_GB2312" w:hAnsi="仿宋_GB2312" w:eastAsia="仿宋_GB2312" w:cs="仿宋_GB2312"/>
          <w:b/>
          <w:bCs/>
          <w:kern w:val="2"/>
          <w:sz w:val="32"/>
          <w:szCs w:val="32"/>
          <w:highlight w:val="none"/>
          <w:lang w:val="en-US" w:eastAsia="zh-CN" w:bidi="ar"/>
        </w:rPr>
        <w:t>7</w:t>
      </w:r>
      <w:r>
        <w:rPr>
          <w:rFonts w:hint="eastAsia" w:ascii="仿宋_GB2312" w:hAnsi="仿宋_GB2312" w:eastAsia="仿宋_GB2312" w:cs="仿宋_GB2312"/>
          <w:b/>
          <w:bCs/>
          <w:kern w:val="2"/>
          <w:sz w:val="32"/>
          <w:szCs w:val="32"/>
          <w:highlight w:val="none"/>
          <w:lang w:eastAsia="zh-CN" w:bidi="ar"/>
        </w:rPr>
        <w:t>.债务发行费用</w:t>
      </w:r>
      <w:r>
        <w:rPr>
          <w:rFonts w:hint="eastAsia" w:ascii="仿宋_GB2312" w:hAnsi="仿宋_GB2312" w:eastAsia="仿宋_GB2312" w:cs="仿宋_GB2312"/>
          <w:b/>
          <w:bCs/>
          <w:kern w:val="2"/>
          <w:sz w:val="32"/>
          <w:szCs w:val="32"/>
          <w:highlight w:val="none"/>
          <w:lang w:val="en-US" w:eastAsia="zh-CN" w:bidi="ar"/>
        </w:rPr>
        <w:t>4</w:t>
      </w:r>
      <w:r>
        <w:rPr>
          <w:rFonts w:hint="eastAsia" w:ascii="仿宋_GB2312" w:hAnsi="仿宋_GB2312" w:eastAsia="仿宋_GB2312" w:cs="仿宋_GB2312"/>
          <w:b/>
          <w:bCs/>
          <w:kern w:val="2"/>
          <w:sz w:val="32"/>
          <w:szCs w:val="32"/>
          <w:highlight w:val="none"/>
          <w:lang w:eastAsia="zh-CN" w:bidi="ar"/>
        </w:rPr>
        <w:t>万元。</w:t>
      </w:r>
      <w:r>
        <w:rPr>
          <w:rFonts w:hint="default" w:ascii="仿宋_GB2312" w:hAnsi="仿宋_GB2312" w:eastAsia="仿宋_GB2312" w:cs="仿宋_GB2312"/>
          <w:b w:val="0"/>
          <w:bCs w:val="0"/>
          <w:sz w:val="32"/>
          <w:szCs w:val="32"/>
          <w:highlight w:val="none"/>
          <w:lang w:eastAsia="zh-CN" w:bidi="ar"/>
        </w:rPr>
        <w:t>该科目反映地方政府</w:t>
      </w:r>
      <w:r>
        <w:rPr>
          <w:rFonts w:hint="eastAsia" w:ascii="仿宋_GB2312" w:hAnsi="仿宋_GB2312" w:eastAsia="仿宋_GB2312" w:cs="仿宋_GB2312"/>
          <w:b w:val="0"/>
          <w:bCs w:val="0"/>
          <w:sz w:val="32"/>
          <w:szCs w:val="32"/>
          <w:highlight w:val="none"/>
          <w:lang w:eastAsia="zh-CN" w:bidi="ar"/>
        </w:rPr>
        <w:t>用于一般</w:t>
      </w:r>
      <w:r>
        <w:rPr>
          <w:rFonts w:hint="default" w:ascii="仿宋_GB2312" w:hAnsi="仿宋_GB2312" w:eastAsia="仿宋_GB2312" w:cs="仿宋_GB2312"/>
          <w:b w:val="0"/>
          <w:bCs w:val="0"/>
          <w:sz w:val="32"/>
          <w:szCs w:val="32"/>
          <w:highlight w:val="none"/>
          <w:lang w:eastAsia="zh-CN" w:bidi="ar"/>
        </w:rPr>
        <w:t>债务发行费用的支出。</w:t>
      </w:r>
    </w:p>
    <w:p>
      <w:pPr>
        <w:pStyle w:val="5"/>
        <w:keepNext w:val="0"/>
        <w:keepLines w:val="0"/>
        <w:pageBreakBefore w:val="0"/>
        <w:widowControl/>
        <w:kinsoku/>
        <w:wordWrap/>
        <w:overflowPunct/>
        <w:topLinePunct w:val="0"/>
        <w:autoSpaceDE/>
        <w:autoSpaceDN/>
        <w:bidi w:val="0"/>
        <w:spacing w:line="560" w:lineRule="exact"/>
        <w:ind w:firstLine="642" w:firstLineChars="200"/>
        <w:jc w:val="both"/>
        <w:textAlignment w:val="auto"/>
        <w:rPr>
          <w:rFonts w:hint="default" w:ascii="仿宋_GB2312" w:hAnsi="仿宋_GB2312" w:eastAsia="仿宋_GB2312" w:cs="仿宋_GB2312"/>
          <w:b w:val="0"/>
          <w:bCs w:val="0"/>
          <w:sz w:val="32"/>
          <w:szCs w:val="32"/>
          <w:highlight w:val="none"/>
          <w:lang w:val="en-US" w:eastAsia="zh-CN" w:bidi="ar"/>
        </w:rPr>
      </w:pPr>
      <w:r>
        <w:rPr>
          <w:rFonts w:hint="eastAsia" w:ascii="仿宋_GB2312" w:hAnsi="仿宋_GB2312" w:eastAsia="仿宋_GB2312" w:cs="仿宋_GB2312"/>
          <w:b/>
          <w:bCs/>
          <w:sz w:val="32"/>
          <w:szCs w:val="32"/>
          <w:highlight w:val="none"/>
          <w:lang w:val="en-US" w:eastAsia="zh-CN" w:bidi="ar"/>
        </w:rPr>
        <w:t>18.债务付息支出0.02亿元。</w:t>
      </w:r>
      <w:r>
        <w:rPr>
          <w:rFonts w:hint="eastAsia" w:ascii="仿宋_GB2312" w:hAnsi="仿宋_GB2312" w:eastAsia="仿宋_GB2312" w:cs="仿宋_GB2312"/>
          <w:b w:val="0"/>
          <w:bCs w:val="0"/>
          <w:sz w:val="32"/>
          <w:szCs w:val="32"/>
          <w:highlight w:val="none"/>
          <w:lang w:val="en-US" w:eastAsia="zh-CN" w:bidi="ar"/>
        </w:rPr>
        <w:t>该科目反映</w:t>
      </w:r>
      <w:r>
        <w:rPr>
          <w:rFonts w:hint="default" w:ascii="仿宋_GB2312" w:hAnsi="仿宋_GB2312" w:eastAsia="仿宋_GB2312" w:cs="仿宋_GB2312"/>
          <w:b w:val="0"/>
          <w:bCs w:val="0"/>
          <w:sz w:val="32"/>
          <w:szCs w:val="32"/>
          <w:highlight w:val="none"/>
          <w:lang w:val="en-US" w:eastAsia="zh-CN" w:bidi="ar"/>
        </w:rPr>
        <w:t>地方政府用于</w:t>
      </w:r>
      <w:r>
        <w:rPr>
          <w:rFonts w:hint="eastAsia" w:ascii="仿宋_GB2312" w:hAnsi="仿宋_GB2312" w:eastAsia="仿宋_GB2312" w:cs="仿宋_GB2312"/>
          <w:b w:val="0"/>
          <w:bCs w:val="0"/>
          <w:sz w:val="32"/>
          <w:szCs w:val="32"/>
          <w:highlight w:val="none"/>
          <w:lang w:val="en-US" w:eastAsia="zh-CN" w:bidi="ar"/>
        </w:rPr>
        <w:t>归还一般债务利息所发生的支出。</w:t>
      </w:r>
    </w:p>
    <w:p>
      <w:pPr>
        <w:pStyle w:val="5"/>
        <w:keepNext w:val="0"/>
        <w:keepLines w:val="0"/>
        <w:pageBreakBefore w:val="0"/>
        <w:widowControl/>
        <w:kinsoku/>
        <w:wordWrap/>
        <w:overflowPunct/>
        <w:topLinePunct w:val="0"/>
        <w:autoSpaceDE/>
        <w:autoSpaceDN/>
        <w:bidi w:val="0"/>
        <w:spacing w:line="560" w:lineRule="exact"/>
        <w:ind w:firstLine="642" w:firstLineChars="200"/>
        <w:jc w:val="both"/>
        <w:textAlignment w:val="auto"/>
        <w:rPr>
          <w:rFonts w:hint="default" w:ascii="仿宋_GB2312" w:hAnsi="仿宋_GB2312" w:eastAsia="仿宋_GB2312" w:cs="仿宋_GB2312"/>
          <w:b w:val="0"/>
          <w:bCs w:val="0"/>
          <w:sz w:val="32"/>
          <w:szCs w:val="32"/>
          <w:highlight w:val="none"/>
          <w:lang w:val="en-US" w:eastAsia="zh-CN" w:bidi="ar"/>
        </w:rPr>
      </w:pPr>
      <w:r>
        <w:rPr>
          <w:rFonts w:hint="eastAsia" w:ascii="仿宋_GB2312" w:hAnsi="仿宋_GB2312" w:eastAsia="仿宋_GB2312" w:cs="仿宋_GB2312"/>
          <w:b/>
          <w:bCs/>
          <w:sz w:val="32"/>
          <w:szCs w:val="32"/>
          <w:highlight w:val="none"/>
          <w:lang w:val="en-US" w:eastAsia="zh-CN" w:bidi="ar"/>
        </w:rPr>
        <w:t>19.债务还本支出0.6亿元。</w:t>
      </w:r>
      <w:r>
        <w:rPr>
          <w:rFonts w:hint="default" w:ascii="仿宋_GB2312" w:hAnsi="仿宋_GB2312" w:eastAsia="仿宋_GB2312" w:cs="仿宋_GB2312"/>
          <w:b w:val="0"/>
          <w:bCs w:val="0"/>
          <w:sz w:val="32"/>
          <w:szCs w:val="32"/>
          <w:highlight w:val="none"/>
          <w:lang w:val="en-US" w:eastAsia="zh-CN" w:bidi="ar"/>
        </w:rPr>
        <w:t>该科目反映地方政府用于归还一般债务本金所发生的支出。</w:t>
      </w:r>
      <w:r>
        <w:rPr>
          <w:rFonts w:hint="eastAsia" w:ascii="仿宋_GB2312" w:hAnsi="仿宋_GB2312" w:eastAsia="仿宋_GB2312" w:cs="仿宋_GB2312"/>
          <w:b w:val="0"/>
          <w:bCs w:val="0"/>
          <w:sz w:val="32"/>
          <w:szCs w:val="32"/>
          <w:highlight w:val="none"/>
          <w:lang w:val="en-US" w:eastAsia="zh-CN" w:bidi="ar"/>
        </w:rPr>
        <w:t>主要是再融资一般债券用于政府投资项目结决算资金，按照市财政局要求列还本支出。</w:t>
      </w:r>
    </w:p>
    <w:p>
      <w:pPr>
        <w:keepNext w:val="0"/>
        <w:keepLines w:val="0"/>
        <w:pageBreakBefore w:val="0"/>
        <w:widowControl/>
        <w:shd w:val="clear" w:color="auto" w:fill="FFFFFF"/>
        <w:kinsoku/>
        <w:wordWrap/>
        <w:overflowPunct/>
        <w:topLinePunct w:val="0"/>
        <w:autoSpaceDE/>
        <w:autoSpaceDN/>
        <w:bidi w:val="0"/>
        <w:spacing w:line="560" w:lineRule="exact"/>
        <w:ind w:firstLine="642" w:firstLineChars="200"/>
        <w:jc w:val="both"/>
        <w:textAlignment w:val="auto"/>
        <w:rPr>
          <w:rFonts w:hint="eastAsia" w:ascii="仿宋_GB2312" w:hAnsi="仿宋_GB2312" w:eastAsia="仿宋_GB2312" w:cs="仿宋_GB2312"/>
          <w:b w:val="0"/>
          <w:bCs w:val="0"/>
          <w:sz w:val="32"/>
          <w:szCs w:val="32"/>
          <w:highlight w:val="none"/>
          <w:lang w:val="en-US" w:eastAsia="zh-CN" w:bidi="ar"/>
        </w:rPr>
      </w:pPr>
      <w:r>
        <w:rPr>
          <w:rFonts w:hint="eastAsia" w:ascii="仿宋_GB2312" w:hAnsi="仿宋_GB2312" w:eastAsia="仿宋_GB2312" w:cs="仿宋_GB2312"/>
          <w:b/>
          <w:bCs/>
          <w:sz w:val="32"/>
          <w:szCs w:val="32"/>
          <w:highlight w:val="none"/>
          <w:lang w:val="en-US" w:eastAsia="zh-CN" w:bidi="ar"/>
        </w:rPr>
        <w:t>20.各项转移性支出</w:t>
      </w:r>
      <w:r>
        <w:rPr>
          <w:rFonts w:hint="default" w:ascii="仿宋_GB2312" w:hAnsi="仿宋_GB2312" w:eastAsia="仿宋_GB2312" w:cs="仿宋_GB2312"/>
          <w:b/>
          <w:bCs/>
          <w:sz w:val="32"/>
          <w:szCs w:val="32"/>
          <w:highlight w:val="none"/>
          <w:lang w:val="en-US" w:eastAsia="zh-CN" w:bidi="ar"/>
        </w:rPr>
        <w:t>11.8</w:t>
      </w:r>
      <w:r>
        <w:rPr>
          <w:rFonts w:hint="eastAsia" w:ascii="仿宋_GB2312" w:hAnsi="仿宋_GB2312" w:eastAsia="仿宋_GB2312" w:cs="仿宋_GB2312"/>
          <w:b/>
          <w:bCs/>
          <w:sz w:val="32"/>
          <w:szCs w:val="32"/>
          <w:highlight w:val="none"/>
          <w:lang w:val="en-US" w:eastAsia="zh-CN" w:bidi="ar"/>
        </w:rPr>
        <w:t>亿元，</w:t>
      </w:r>
      <w:r>
        <w:rPr>
          <w:rFonts w:hint="eastAsia" w:ascii="仿宋_GB2312" w:hAnsi="仿宋_GB2312" w:eastAsia="仿宋_GB2312" w:cs="仿宋_GB2312"/>
          <w:b/>
          <w:bCs/>
          <w:color w:val="auto"/>
          <w:sz w:val="32"/>
          <w:szCs w:val="32"/>
          <w:highlight w:val="none"/>
          <w:lang w:val="en-US" w:eastAsia="zh-CN" w:bidi="ar"/>
        </w:rPr>
        <w:t>完成调整预算数的</w:t>
      </w:r>
      <w:r>
        <w:rPr>
          <w:rFonts w:hint="default" w:ascii="仿宋_GB2312" w:hAnsi="仿宋_GB2312" w:eastAsia="仿宋_GB2312" w:cs="仿宋_GB2312"/>
          <w:b/>
          <w:bCs/>
          <w:color w:val="auto"/>
          <w:sz w:val="32"/>
          <w:szCs w:val="32"/>
          <w:highlight w:val="none"/>
          <w:lang w:eastAsia="zh-CN" w:bidi="ar"/>
        </w:rPr>
        <w:t>267.4</w:t>
      </w:r>
      <w:r>
        <w:rPr>
          <w:rFonts w:hint="eastAsia" w:ascii="仿宋_GB2312" w:hAnsi="仿宋_GB2312" w:eastAsia="仿宋_GB2312" w:cs="仿宋_GB2312"/>
          <w:b/>
          <w:bCs/>
          <w:color w:val="auto"/>
          <w:sz w:val="32"/>
          <w:szCs w:val="32"/>
          <w:highlight w:val="none"/>
          <w:lang w:val="en-US" w:eastAsia="zh-CN" w:bidi="ar"/>
        </w:rPr>
        <w:t>%。</w:t>
      </w:r>
      <w:r>
        <w:rPr>
          <w:rFonts w:hint="eastAsia" w:ascii="仿宋_GB2312" w:hAnsi="仿宋_GB2312" w:eastAsia="仿宋_GB2312" w:cs="仿宋_GB2312"/>
          <w:b w:val="0"/>
          <w:bCs w:val="0"/>
          <w:sz w:val="32"/>
          <w:szCs w:val="32"/>
          <w:highlight w:val="none"/>
          <w:lang w:val="en-US" w:eastAsia="zh-CN" w:bidi="ar"/>
        </w:rPr>
        <w:t>主要包括：</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bidi="ar"/>
        </w:rPr>
      </w:pPr>
      <w:r>
        <w:rPr>
          <w:rFonts w:hint="eastAsia" w:ascii="仿宋_GB2312" w:hAnsi="仿宋_GB2312" w:eastAsia="仿宋_GB2312" w:cs="仿宋_GB2312"/>
          <w:b w:val="0"/>
          <w:bCs w:val="0"/>
          <w:sz w:val="32"/>
          <w:szCs w:val="32"/>
          <w:highlight w:val="none"/>
          <w:lang w:val="en-US" w:eastAsia="zh-CN" w:bidi="ar"/>
        </w:rPr>
        <w:t>（1）上解上级支出</w:t>
      </w:r>
      <w:r>
        <w:rPr>
          <w:rFonts w:hint="default" w:ascii="仿宋_GB2312" w:hAnsi="仿宋_GB2312" w:eastAsia="仿宋_GB2312" w:cs="仿宋_GB2312"/>
          <w:b w:val="0"/>
          <w:bCs w:val="0"/>
          <w:sz w:val="32"/>
          <w:szCs w:val="32"/>
          <w:highlight w:val="none"/>
          <w:lang w:val="en-US" w:eastAsia="zh-CN" w:bidi="ar"/>
        </w:rPr>
        <w:t>11.2</w:t>
      </w:r>
      <w:r>
        <w:rPr>
          <w:rFonts w:hint="eastAsia" w:ascii="仿宋_GB2312" w:hAnsi="仿宋_GB2312" w:eastAsia="仿宋_GB2312" w:cs="仿宋_GB2312"/>
          <w:b w:val="0"/>
          <w:bCs w:val="0"/>
          <w:sz w:val="32"/>
          <w:szCs w:val="32"/>
          <w:highlight w:val="none"/>
          <w:lang w:val="en-US" w:eastAsia="zh-CN" w:bidi="ar"/>
        </w:rPr>
        <w:t>亿元。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bidi="ar"/>
        </w:rPr>
      </w:pPr>
      <w:r>
        <w:rPr>
          <w:rFonts w:hint="eastAsia" w:ascii="仿宋_GB2312" w:hAnsi="仿宋_GB2312" w:eastAsia="仿宋_GB2312" w:cs="仿宋_GB2312"/>
          <w:b w:val="0"/>
          <w:bCs w:val="0"/>
          <w:sz w:val="32"/>
          <w:szCs w:val="32"/>
          <w:highlight w:val="none"/>
          <w:lang w:val="en-US" w:eastAsia="zh-CN" w:bidi="ar"/>
        </w:rPr>
        <w:t>（2）增设预算周转金0元。</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highlight w:val="none"/>
          <w:lang w:val="en-US" w:eastAsia="zh-CN" w:bidi="ar"/>
        </w:rPr>
      </w:pPr>
      <w:r>
        <w:rPr>
          <w:rFonts w:hint="eastAsia" w:ascii="仿宋_GB2312" w:hAnsi="仿宋_GB2312" w:eastAsia="仿宋_GB2312" w:cs="仿宋_GB2312"/>
          <w:b w:val="0"/>
          <w:bCs w:val="0"/>
          <w:sz w:val="32"/>
          <w:szCs w:val="32"/>
          <w:highlight w:val="none"/>
          <w:lang w:val="en-US" w:eastAsia="zh-CN" w:bidi="ar"/>
        </w:rPr>
        <w:t>（3）安排预算稳定调节基金</w:t>
      </w:r>
      <w:r>
        <w:rPr>
          <w:rFonts w:hint="default" w:ascii="仿宋_GB2312" w:hAnsi="仿宋_GB2312" w:eastAsia="仿宋_GB2312" w:cs="仿宋_GB2312"/>
          <w:b w:val="0"/>
          <w:bCs w:val="0"/>
          <w:sz w:val="32"/>
          <w:szCs w:val="32"/>
          <w:highlight w:val="none"/>
          <w:lang w:val="en-US" w:eastAsia="zh-CN" w:bidi="ar"/>
        </w:rPr>
        <w:t>0</w:t>
      </w:r>
      <w:r>
        <w:rPr>
          <w:rFonts w:hint="default" w:ascii="仿宋_GB2312" w:hAnsi="仿宋_GB2312" w:eastAsia="仿宋_GB2312" w:cs="仿宋_GB2312"/>
          <w:b w:val="0"/>
          <w:bCs w:val="0"/>
          <w:sz w:val="32"/>
          <w:szCs w:val="32"/>
          <w:highlight w:val="none"/>
          <w:lang w:eastAsia="zh-CN" w:bidi="ar"/>
        </w:rPr>
        <w:t>.6亿</w:t>
      </w:r>
      <w:r>
        <w:rPr>
          <w:rFonts w:hint="eastAsia" w:ascii="仿宋_GB2312" w:hAnsi="仿宋_GB2312" w:eastAsia="仿宋_GB2312" w:cs="仿宋_GB2312"/>
          <w:b w:val="0"/>
          <w:bCs w:val="0"/>
          <w:sz w:val="32"/>
          <w:szCs w:val="32"/>
          <w:highlight w:val="none"/>
          <w:lang w:val="en-US" w:eastAsia="zh-CN" w:bidi="ar"/>
        </w:rPr>
        <w:t>元。</w:t>
      </w:r>
      <w:r>
        <w:rPr>
          <w:rFonts w:hint="default" w:ascii="仿宋_GB2312" w:hAnsi="仿宋_GB2312" w:eastAsia="仿宋_GB2312" w:cs="仿宋_GB2312"/>
          <w:b w:val="0"/>
          <w:bCs w:val="0"/>
          <w:sz w:val="32"/>
          <w:szCs w:val="32"/>
          <w:highlight w:val="none"/>
          <w:lang w:val="en-US" w:eastAsia="zh-CN" w:bidi="ar"/>
        </w:rPr>
        <w:t>2023年市区财政年终决算后新区预算稳定调节基金余额为1.</w:t>
      </w:r>
      <w:r>
        <w:rPr>
          <w:rFonts w:hint="eastAsia" w:ascii="仿宋_GB2312" w:hAnsi="仿宋_GB2312" w:eastAsia="仿宋_GB2312" w:cs="仿宋_GB2312"/>
          <w:b w:val="0"/>
          <w:bCs w:val="0"/>
          <w:sz w:val="32"/>
          <w:szCs w:val="32"/>
          <w:highlight w:val="none"/>
          <w:lang w:val="en-US" w:eastAsia="zh-CN" w:bidi="ar"/>
        </w:rPr>
        <w:t>5亿</w:t>
      </w:r>
      <w:r>
        <w:rPr>
          <w:rFonts w:hint="default" w:ascii="仿宋_GB2312" w:hAnsi="仿宋_GB2312" w:eastAsia="仿宋_GB2312" w:cs="仿宋_GB2312"/>
          <w:b w:val="0"/>
          <w:bCs w:val="0"/>
          <w:sz w:val="32"/>
          <w:szCs w:val="32"/>
          <w:highlight w:val="none"/>
          <w:lang w:val="en-US" w:eastAsia="zh-CN" w:bidi="ar"/>
        </w:rPr>
        <w:t>元</w:t>
      </w:r>
      <w:r>
        <w:rPr>
          <w:rFonts w:hint="eastAsia" w:ascii="仿宋_GB2312" w:hAnsi="仿宋_GB2312" w:eastAsia="仿宋_GB2312" w:cs="仿宋_GB2312"/>
          <w:b w:val="0"/>
          <w:bCs w:val="0"/>
          <w:sz w:val="32"/>
          <w:szCs w:val="32"/>
          <w:highlight w:val="none"/>
          <w:lang w:val="en-US" w:eastAsia="zh-CN" w:bidi="ar"/>
        </w:rPr>
        <w:t>，加上按规定用当年结余补充的0</w:t>
      </w:r>
      <w:r>
        <w:rPr>
          <w:rFonts w:hint="default" w:ascii="仿宋_GB2312" w:hAnsi="仿宋_GB2312" w:eastAsia="仿宋_GB2312" w:cs="仿宋_GB2312"/>
          <w:b w:val="0"/>
          <w:bCs w:val="0"/>
          <w:sz w:val="32"/>
          <w:szCs w:val="32"/>
          <w:highlight w:val="none"/>
          <w:lang w:eastAsia="zh-CN" w:bidi="ar"/>
        </w:rPr>
        <w:t>.6亿</w:t>
      </w:r>
      <w:r>
        <w:rPr>
          <w:rFonts w:hint="eastAsia" w:ascii="仿宋_GB2312" w:hAnsi="仿宋_GB2312" w:eastAsia="仿宋_GB2312" w:cs="仿宋_GB2312"/>
          <w:b w:val="0"/>
          <w:bCs w:val="0"/>
          <w:sz w:val="32"/>
          <w:szCs w:val="32"/>
          <w:highlight w:val="none"/>
          <w:lang w:val="en-US" w:eastAsia="zh-CN" w:bidi="ar"/>
        </w:rPr>
        <w:t>元，202</w:t>
      </w:r>
      <w:r>
        <w:rPr>
          <w:rFonts w:hint="default" w:ascii="仿宋_GB2312" w:hAnsi="仿宋_GB2312" w:eastAsia="仿宋_GB2312" w:cs="仿宋_GB2312"/>
          <w:b w:val="0"/>
          <w:bCs w:val="0"/>
          <w:sz w:val="32"/>
          <w:szCs w:val="32"/>
          <w:highlight w:val="none"/>
          <w:lang w:val="en-US" w:eastAsia="zh-CN" w:bidi="ar"/>
        </w:rPr>
        <w:t>4</w:t>
      </w:r>
      <w:r>
        <w:rPr>
          <w:rFonts w:hint="eastAsia" w:ascii="仿宋_GB2312" w:hAnsi="仿宋_GB2312" w:eastAsia="仿宋_GB2312" w:cs="仿宋_GB2312"/>
          <w:b w:val="0"/>
          <w:bCs w:val="0"/>
          <w:sz w:val="32"/>
          <w:szCs w:val="32"/>
          <w:highlight w:val="none"/>
          <w:lang w:val="en-US" w:eastAsia="zh-CN" w:bidi="ar"/>
        </w:rPr>
        <w:t>年年末预算稳定调节基金余额为</w:t>
      </w:r>
      <w:r>
        <w:rPr>
          <w:rFonts w:hint="default" w:ascii="仿宋_GB2312" w:hAnsi="仿宋_GB2312" w:eastAsia="仿宋_GB2312" w:cs="仿宋_GB2312"/>
          <w:b w:val="0"/>
          <w:bCs w:val="0"/>
          <w:sz w:val="32"/>
          <w:szCs w:val="32"/>
          <w:highlight w:val="none"/>
          <w:lang w:val="en-US" w:eastAsia="zh-CN" w:bidi="ar"/>
        </w:rPr>
        <w:t>2.1</w:t>
      </w:r>
      <w:r>
        <w:rPr>
          <w:rFonts w:hint="default" w:ascii="仿宋_GB2312" w:hAnsi="仿宋_GB2312" w:eastAsia="仿宋_GB2312" w:cs="仿宋_GB2312"/>
          <w:b w:val="0"/>
          <w:bCs w:val="0"/>
          <w:sz w:val="32"/>
          <w:szCs w:val="32"/>
          <w:highlight w:val="none"/>
          <w:lang w:eastAsia="zh-CN" w:bidi="ar"/>
        </w:rPr>
        <w:t>亿</w:t>
      </w:r>
      <w:r>
        <w:rPr>
          <w:rFonts w:hint="eastAsia" w:ascii="仿宋_GB2312" w:hAnsi="仿宋_GB2312" w:eastAsia="仿宋_GB2312" w:cs="仿宋_GB2312"/>
          <w:b w:val="0"/>
          <w:bCs w:val="0"/>
          <w:sz w:val="32"/>
          <w:szCs w:val="32"/>
          <w:highlight w:val="none"/>
          <w:lang w:val="en-US" w:eastAsia="zh-CN" w:bidi="ar"/>
        </w:rPr>
        <w:t>元。</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仿宋_GB2312" w:eastAsia="楷体_GB2312" w:cs="仿宋_GB2312"/>
          <w:sz w:val="32"/>
          <w:szCs w:val="32"/>
          <w:highlight w:val="none"/>
        </w:rPr>
      </w:pPr>
      <w:r>
        <w:rPr>
          <w:rFonts w:hint="eastAsia" w:ascii="楷体_GB2312" w:hAnsi="仿宋_GB2312" w:eastAsia="楷体_GB2312" w:cs="仿宋_GB2312"/>
          <w:sz w:val="32"/>
          <w:szCs w:val="32"/>
          <w:highlight w:val="none"/>
        </w:rPr>
        <w:t>（</w:t>
      </w:r>
      <w:r>
        <w:rPr>
          <w:rFonts w:hint="eastAsia" w:ascii="楷体_GB2312" w:hAnsi="仿宋_GB2312" w:eastAsia="楷体_GB2312" w:cs="仿宋_GB2312"/>
          <w:sz w:val="32"/>
          <w:szCs w:val="32"/>
          <w:highlight w:val="none"/>
          <w:lang w:val="en-US" w:eastAsia="zh-CN"/>
        </w:rPr>
        <w:t>三</w:t>
      </w:r>
      <w:r>
        <w:rPr>
          <w:rFonts w:hint="eastAsia" w:ascii="楷体_GB2312" w:hAnsi="仿宋_GB2312" w:eastAsia="楷体_GB2312" w:cs="仿宋_GB2312"/>
          <w:sz w:val="32"/>
          <w:szCs w:val="32"/>
          <w:highlight w:val="none"/>
        </w:rPr>
        <w:t>）预备费使用情况</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w:t>
      </w:r>
      <w:r>
        <w:rPr>
          <w:rFonts w:hint="default"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年一般公共预算安排预备费</w:t>
      </w:r>
      <w:r>
        <w:rPr>
          <w:rFonts w:hint="eastAsia" w:ascii="仿宋_GB2312" w:hAnsi="仿宋_GB2312" w:eastAsia="仿宋_GB2312" w:cs="仿宋_GB2312"/>
          <w:sz w:val="32"/>
          <w:szCs w:val="32"/>
          <w:highlight w:val="none"/>
          <w:lang w:val="en-US" w:eastAsia="zh-CN"/>
        </w:rPr>
        <w:t>0.6</w:t>
      </w:r>
      <w:r>
        <w:rPr>
          <w:rFonts w:hint="eastAsia" w:ascii="仿宋_GB2312" w:hAnsi="仿宋_GB2312" w:eastAsia="仿宋_GB2312" w:cs="仿宋_GB2312"/>
          <w:sz w:val="32"/>
          <w:szCs w:val="32"/>
          <w:highlight w:val="none"/>
        </w:rPr>
        <w:t>亿元，</w:t>
      </w:r>
      <w:r>
        <w:rPr>
          <w:rFonts w:hint="default" w:ascii="仿宋_GB2312" w:hAnsi="仿宋_GB2312" w:eastAsia="仿宋_GB2312" w:cs="仿宋_GB2312"/>
          <w:sz w:val="32"/>
          <w:szCs w:val="32"/>
          <w:highlight w:val="none"/>
        </w:rPr>
        <w:t>当年未形成支出。</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仿宋_GB2312" w:eastAsia="楷体_GB2312" w:cs="仿宋_GB2312"/>
          <w:sz w:val="32"/>
          <w:szCs w:val="32"/>
          <w:highlight w:val="none"/>
          <w:lang w:eastAsia="zh-CN"/>
        </w:rPr>
      </w:pPr>
      <w:r>
        <w:rPr>
          <w:rFonts w:hint="eastAsia" w:ascii="楷体_GB2312" w:hAnsi="仿宋_GB2312" w:eastAsia="楷体_GB2312" w:cs="仿宋_GB2312"/>
          <w:sz w:val="32"/>
          <w:szCs w:val="32"/>
          <w:highlight w:val="none"/>
        </w:rPr>
        <w:t>（</w:t>
      </w:r>
      <w:r>
        <w:rPr>
          <w:rFonts w:hint="eastAsia" w:ascii="楷体_GB2312" w:hAnsi="仿宋_GB2312" w:eastAsia="楷体_GB2312" w:cs="仿宋_GB2312"/>
          <w:sz w:val="32"/>
          <w:szCs w:val="32"/>
          <w:highlight w:val="none"/>
          <w:lang w:val="en-US" w:eastAsia="zh-CN"/>
        </w:rPr>
        <w:t>四</w:t>
      </w:r>
      <w:r>
        <w:rPr>
          <w:rFonts w:hint="eastAsia" w:ascii="楷体_GB2312" w:hAnsi="仿宋_GB2312" w:eastAsia="楷体_GB2312" w:cs="仿宋_GB2312"/>
          <w:sz w:val="32"/>
          <w:szCs w:val="32"/>
          <w:highlight w:val="none"/>
        </w:rPr>
        <w:t>）</w:t>
      </w:r>
      <w:r>
        <w:rPr>
          <w:rFonts w:hint="eastAsia" w:ascii="楷体_GB2312" w:hAnsi="仿宋_GB2312" w:eastAsia="楷体_GB2312" w:cs="仿宋_GB2312"/>
          <w:sz w:val="32"/>
          <w:szCs w:val="32"/>
          <w:highlight w:val="none"/>
          <w:lang w:eastAsia="zh-CN"/>
        </w:rPr>
        <w:t>结转资金使用情况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eastAsia="zh-CN"/>
        </w:rPr>
        <w:t>结转到</w:t>
      </w:r>
      <w:r>
        <w:rPr>
          <w:rFonts w:hint="eastAsia" w:ascii="仿宋_GB2312" w:hAnsi="仿宋_GB2312" w:eastAsia="仿宋_GB2312" w:cs="仿宋_GB2312"/>
          <w:sz w:val="32"/>
          <w:szCs w:val="32"/>
          <w:highlight w:val="none"/>
          <w:lang w:val="en-US" w:eastAsia="zh-CN"/>
        </w:rPr>
        <w:t>2024年资金规模为零</w:t>
      </w:r>
      <w:r>
        <w:rPr>
          <w:rFonts w:hint="default" w:ascii="仿宋_GB2312" w:hAnsi="仿宋_GB2312" w:eastAsia="仿宋_GB2312" w:cs="仿宋_GB2312"/>
          <w:sz w:val="32"/>
          <w:szCs w:val="32"/>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仿宋_GB2312" w:eastAsia="楷体_GB2312" w:cs="仿宋_GB2312"/>
          <w:color w:val="FF0000"/>
          <w:sz w:val="32"/>
          <w:szCs w:val="32"/>
          <w:highlight w:val="yellow"/>
        </w:rPr>
      </w:pPr>
      <w:r>
        <w:rPr>
          <w:rFonts w:hint="eastAsia" w:ascii="楷体_GB2312" w:hAnsi="仿宋_GB2312" w:eastAsia="楷体_GB2312" w:cs="仿宋_GB2312"/>
          <w:sz w:val="32"/>
          <w:szCs w:val="32"/>
          <w:highlight w:val="none"/>
        </w:rPr>
        <w:t>（</w:t>
      </w:r>
      <w:r>
        <w:rPr>
          <w:rFonts w:hint="eastAsia" w:ascii="楷体_GB2312" w:hAnsi="仿宋_GB2312" w:eastAsia="楷体_GB2312" w:cs="仿宋_GB2312"/>
          <w:sz w:val="32"/>
          <w:szCs w:val="32"/>
          <w:highlight w:val="none"/>
          <w:lang w:val="en-US" w:eastAsia="zh-CN"/>
        </w:rPr>
        <w:t>五</w:t>
      </w:r>
      <w:r>
        <w:rPr>
          <w:rFonts w:hint="eastAsia" w:ascii="楷体_GB2312" w:hAnsi="仿宋_GB2312" w:eastAsia="楷体_GB2312" w:cs="仿宋_GB2312"/>
          <w:sz w:val="32"/>
          <w:szCs w:val="32"/>
          <w:highlight w:val="none"/>
        </w:rPr>
        <w:t>）“三公”经费支出情况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2024年“三公”经费累计支出1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696.28万元，较</w:t>
      </w:r>
      <w:r>
        <w:rPr>
          <w:rFonts w:hint="eastAsia" w:ascii="仿宋_GB2312" w:hAnsi="仿宋_GB2312" w:eastAsia="仿宋_GB2312" w:cs="仿宋_GB2312"/>
          <w:sz w:val="32"/>
          <w:szCs w:val="32"/>
          <w:highlight w:val="none"/>
          <w:lang w:eastAsia="zh-CN"/>
        </w:rPr>
        <w:t>上</w:t>
      </w:r>
      <w:r>
        <w:rPr>
          <w:rFonts w:hint="eastAsia" w:ascii="仿宋_GB2312" w:hAnsi="仿宋_GB2312" w:eastAsia="仿宋_GB2312" w:cs="仿宋_GB2312"/>
          <w:sz w:val="32"/>
          <w:szCs w:val="32"/>
          <w:highlight w:val="none"/>
        </w:rPr>
        <w:t>年减少100.13万元，下降5.57%，其中：</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1.因公出国（境）费支出92.74万元，比上年增加25.11万元，增长37.13%。主要原因是根据实际工作需要，</w:t>
      </w:r>
      <w:r>
        <w:rPr>
          <w:rFonts w:hint="eastAsia" w:ascii="仿宋_GB2312" w:hAnsi="仿宋_GB2312" w:eastAsia="仿宋_GB2312" w:cs="仿宋_GB2312"/>
          <w:sz w:val="32"/>
          <w:szCs w:val="32"/>
          <w:highlight w:val="none"/>
          <w:lang w:eastAsia="zh-CN"/>
        </w:rPr>
        <w:t>招商、访问、考察</w:t>
      </w:r>
      <w:r>
        <w:rPr>
          <w:rFonts w:hint="eastAsia" w:ascii="仿宋_GB2312" w:hAnsi="仿宋_GB2312" w:eastAsia="仿宋_GB2312" w:cs="仿宋_GB2312"/>
          <w:sz w:val="32"/>
          <w:szCs w:val="32"/>
          <w:highlight w:val="none"/>
        </w:rPr>
        <w:t>次数增加。</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2.公务用车购置及运行维护费1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597.86万元，比上年减少123.79万元，其中公务用车购置支出657.22万元，比上年增加214.98万元，增长48.61%，增长的主要原因是新增购置一台森林消防水罐车325万元。公务用车运行维护费支出940.64万元，比上年减少338.77万元，下降26.48%，减少的主要原因是严控</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三公</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支出。</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3.公务接待费支出5.68万元，比上年减少1.45万元，下降20.34%。下降的主要原因是落实过紧日子要求。</w:t>
      </w:r>
    </w:p>
    <w:p>
      <w:pPr>
        <w:keepNext w:val="0"/>
        <w:keepLines w:val="0"/>
        <w:pageBreakBefore w:val="0"/>
        <w:widowControl/>
        <w:suppressLineNumbers w:val="0"/>
        <w:kinsoku/>
        <w:wordWrap/>
        <w:overflowPunct/>
        <w:topLinePunct w:val="0"/>
        <w:autoSpaceDE/>
        <w:bidi w:val="0"/>
        <w:spacing w:line="560" w:lineRule="exact"/>
        <w:jc w:val="center"/>
        <w:textAlignment w:val="auto"/>
        <w:rPr>
          <w:rFonts w:ascii="仿宋_GB2312" w:hAnsi="宋体" w:eastAsia="仿宋_GB2312" w:cs="仿宋_GB2312"/>
          <w:b/>
          <w:bCs/>
          <w:color w:val="000000"/>
          <w:kern w:val="0"/>
          <w:sz w:val="32"/>
          <w:szCs w:val="32"/>
          <w:highlight w:val="none"/>
          <w:lang w:val="en-US" w:eastAsia="zh-CN" w:bidi="ar"/>
        </w:rPr>
      </w:pPr>
      <w:r>
        <w:rPr>
          <w:rFonts w:ascii="仿宋_GB2312" w:hAnsi="宋体" w:eastAsia="仿宋_GB2312" w:cs="仿宋_GB2312"/>
          <w:b/>
          <w:bCs/>
          <w:color w:val="000000"/>
          <w:kern w:val="0"/>
          <w:sz w:val="32"/>
          <w:szCs w:val="32"/>
          <w:highlight w:val="none"/>
          <w:lang w:val="en-US" w:eastAsia="zh-CN" w:bidi="ar"/>
        </w:rPr>
        <w:t>20</w:t>
      </w:r>
      <w:r>
        <w:rPr>
          <w:rFonts w:hint="eastAsia" w:ascii="仿宋_GB2312" w:hAnsi="宋体" w:eastAsia="仿宋_GB2312" w:cs="仿宋_GB2312"/>
          <w:b/>
          <w:bCs/>
          <w:color w:val="000000"/>
          <w:kern w:val="0"/>
          <w:sz w:val="32"/>
          <w:szCs w:val="32"/>
          <w:highlight w:val="none"/>
          <w:lang w:val="en-US" w:eastAsia="zh-CN" w:bidi="ar"/>
        </w:rPr>
        <w:t>2</w:t>
      </w:r>
      <w:r>
        <w:rPr>
          <w:rFonts w:hint="default" w:ascii="仿宋_GB2312" w:hAnsi="宋体" w:eastAsia="仿宋_GB2312" w:cs="仿宋_GB2312"/>
          <w:b/>
          <w:bCs/>
          <w:color w:val="000000"/>
          <w:kern w:val="0"/>
          <w:sz w:val="32"/>
          <w:szCs w:val="32"/>
          <w:highlight w:val="none"/>
          <w:lang w:val="en-US" w:eastAsia="zh-CN" w:bidi="ar"/>
        </w:rPr>
        <w:t>4</w:t>
      </w:r>
      <w:r>
        <w:rPr>
          <w:rFonts w:ascii="仿宋_GB2312" w:hAnsi="宋体" w:eastAsia="仿宋_GB2312" w:cs="仿宋_GB2312"/>
          <w:b/>
          <w:bCs/>
          <w:color w:val="000000"/>
          <w:kern w:val="0"/>
          <w:sz w:val="32"/>
          <w:szCs w:val="32"/>
          <w:highlight w:val="none"/>
          <w:lang w:val="en-US" w:eastAsia="zh-CN" w:bidi="ar"/>
        </w:rPr>
        <w:t>年</w:t>
      </w:r>
      <w:r>
        <w:rPr>
          <w:rFonts w:hint="eastAsia" w:ascii="仿宋_GB2312" w:hAnsi="宋体" w:eastAsia="仿宋_GB2312" w:cs="仿宋_GB2312"/>
          <w:b/>
          <w:bCs/>
          <w:color w:val="000000"/>
          <w:kern w:val="0"/>
          <w:sz w:val="32"/>
          <w:szCs w:val="32"/>
          <w:highlight w:val="none"/>
          <w:lang w:val="en-US" w:eastAsia="zh-CN" w:bidi="ar"/>
        </w:rPr>
        <w:t>新区</w:t>
      </w:r>
      <w:r>
        <w:rPr>
          <w:rFonts w:ascii="仿宋_GB2312" w:hAnsi="宋体" w:eastAsia="仿宋_GB2312" w:cs="仿宋_GB2312"/>
          <w:b/>
          <w:bCs/>
          <w:color w:val="000000"/>
          <w:kern w:val="0"/>
          <w:sz w:val="32"/>
          <w:szCs w:val="32"/>
          <w:highlight w:val="none"/>
          <w:lang w:val="en-US" w:eastAsia="zh-CN" w:bidi="ar"/>
        </w:rPr>
        <w:t>“三公”经费支出对比表</w:t>
      </w:r>
    </w:p>
    <w:p>
      <w:pPr>
        <w:keepNext w:val="0"/>
        <w:keepLines w:val="0"/>
        <w:pageBreakBefore w:val="0"/>
        <w:widowControl/>
        <w:suppressLineNumbers w:val="0"/>
        <w:kinsoku/>
        <w:wordWrap/>
        <w:overflowPunct/>
        <w:topLinePunct w:val="0"/>
        <w:autoSpaceDE/>
        <w:bidi w:val="0"/>
        <w:spacing w:line="560" w:lineRule="exact"/>
        <w:jc w:val="right"/>
        <w:textAlignment w:val="auto"/>
        <w:rPr>
          <w:rFonts w:hint="default" w:ascii="仿宋_GB2312" w:hAnsi="宋体" w:eastAsia="仿宋_GB2312" w:cs="仿宋_GB2312"/>
          <w:b w:val="0"/>
          <w:bCs w:val="0"/>
          <w:color w:val="000000"/>
          <w:kern w:val="0"/>
          <w:sz w:val="32"/>
          <w:szCs w:val="32"/>
          <w:highlight w:val="none"/>
          <w:lang w:val="en-US" w:eastAsia="zh-CN" w:bidi="ar"/>
        </w:rPr>
      </w:pPr>
      <w:r>
        <w:rPr>
          <w:rFonts w:hint="eastAsia" w:ascii="仿宋_GB2312" w:hAnsi="宋体" w:eastAsia="仿宋_GB2312" w:cs="仿宋_GB2312"/>
          <w:b w:val="0"/>
          <w:bCs w:val="0"/>
          <w:color w:val="000000"/>
          <w:kern w:val="0"/>
          <w:sz w:val="32"/>
          <w:szCs w:val="32"/>
          <w:highlight w:val="none"/>
          <w:lang w:val="en-US" w:eastAsia="zh-CN" w:bidi="ar"/>
        </w:rPr>
        <w:t>单位：万元</w:t>
      </w:r>
    </w:p>
    <w:tbl>
      <w:tblPr>
        <w:tblStyle w:val="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7"/>
        <w:gridCol w:w="1828"/>
        <w:gridCol w:w="1862"/>
        <w:gridCol w:w="2101"/>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617" w:type="dxa"/>
            <w:noWrap w:val="0"/>
            <w:vAlign w:val="center"/>
          </w:tcPr>
          <w:p>
            <w:pPr>
              <w:spacing w:line="280" w:lineRule="exact"/>
              <w:jc w:val="center"/>
              <w:rPr>
                <w:rFonts w:hint="eastAsia" w:ascii="仿宋_GB2312" w:hAnsi="仿宋_GB2312" w:eastAsia="仿宋_GB2312" w:cs="仿宋_GB2312"/>
                <w:sz w:val="24"/>
                <w:szCs w:val="24"/>
                <w:highlight w:val="none"/>
                <w:vertAlign w:val="baseline"/>
              </w:rPr>
            </w:pPr>
            <w:r>
              <w:rPr>
                <w:rFonts w:ascii="仿宋_GB2312" w:hAnsi="宋体" w:eastAsia="仿宋_GB2312" w:cs="仿宋_GB2312"/>
                <w:b/>
                <w:bCs/>
                <w:color w:val="000000"/>
                <w:kern w:val="0"/>
                <w:sz w:val="24"/>
                <w:szCs w:val="24"/>
                <w:highlight w:val="none"/>
                <w:lang w:val="en-US" w:eastAsia="zh-CN" w:bidi="ar"/>
              </w:rPr>
              <w:t xml:space="preserve">项 </w:t>
            </w:r>
            <w:r>
              <w:rPr>
                <w:rFonts w:hint="eastAsia" w:ascii="仿宋_GB2312" w:hAnsi="宋体" w:eastAsia="仿宋_GB2312" w:cs="仿宋_GB2312"/>
                <w:b/>
                <w:bCs/>
                <w:color w:val="000000"/>
                <w:kern w:val="0"/>
                <w:sz w:val="24"/>
                <w:szCs w:val="24"/>
                <w:highlight w:val="none"/>
                <w:lang w:val="en-US" w:eastAsia="zh-CN" w:bidi="ar"/>
              </w:rPr>
              <w:t>目</w:t>
            </w:r>
          </w:p>
        </w:tc>
        <w:tc>
          <w:tcPr>
            <w:tcW w:w="1828" w:type="dxa"/>
            <w:noWrap w:val="0"/>
            <w:vAlign w:val="center"/>
          </w:tcPr>
          <w:p>
            <w:pPr>
              <w:spacing w:line="280" w:lineRule="exact"/>
              <w:jc w:val="center"/>
              <w:rPr>
                <w:rFonts w:hint="eastAsia" w:ascii="仿宋_GB2312" w:hAnsi="仿宋_GB2312" w:eastAsia="仿宋_GB2312" w:cs="仿宋_GB2312"/>
                <w:sz w:val="24"/>
                <w:szCs w:val="24"/>
                <w:highlight w:val="none"/>
                <w:vertAlign w:val="baseline"/>
              </w:rPr>
            </w:pPr>
            <w:r>
              <w:rPr>
                <w:rFonts w:ascii="仿宋_GB2312" w:hAnsi="宋体" w:eastAsia="仿宋_GB2312" w:cs="仿宋_GB2312"/>
                <w:b/>
                <w:bCs/>
                <w:color w:val="000000"/>
                <w:kern w:val="0"/>
                <w:sz w:val="24"/>
                <w:szCs w:val="24"/>
                <w:highlight w:val="none"/>
                <w:lang w:val="en-US" w:eastAsia="zh-CN" w:bidi="ar"/>
              </w:rPr>
              <w:t>合</w:t>
            </w:r>
            <w:r>
              <w:rPr>
                <w:rFonts w:hint="eastAsia" w:ascii="仿宋_GB2312" w:hAnsi="宋体" w:eastAsia="仿宋_GB2312" w:cs="仿宋_GB2312"/>
                <w:b/>
                <w:bCs/>
                <w:color w:val="000000"/>
                <w:kern w:val="0"/>
                <w:sz w:val="24"/>
                <w:szCs w:val="24"/>
                <w:highlight w:val="none"/>
                <w:lang w:val="en-US" w:eastAsia="zh-CN" w:bidi="ar"/>
              </w:rPr>
              <w:t xml:space="preserve"> </w:t>
            </w:r>
            <w:r>
              <w:rPr>
                <w:rFonts w:ascii="仿宋_GB2312" w:hAnsi="宋体" w:eastAsia="仿宋_GB2312" w:cs="仿宋_GB2312"/>
                <w:b/>
                <w:bCs/>
                <w:color w:val="000000"/>
                <w:kern w:val="0"/>
                <w:sz w:val="24"/>
                <w:szCs w:val="24"/>
                <w:highlight w:val="none"/>
                <w:lang w:val="en-US" w:eastAsia="zh-CN" w:bidi="ar"/>
              </w:rPr>
              <w:t>计</w:t>
            </w:r>
          </w:p>
        </w:tc>
        <w:tc>
          <w:tcPr>
            <w:tcW w:w="1862" w:type="dxa"/>
            <w:noWrap w:val="0"/>
            <w:vAlign w:val="center"/>
          </w:tcPr>
          <w:p>
            <w:pPr>
              <w:keepNext w:val="0"/>
              <w:keepLines w:val="0"/>
              <w:pageBreakBefore w:val="0"/>
              <w:kinsoku/>
              <w:wordWrap/>
              <w:overflowPunct/>
              <w:topLinePunct w:val="0"/>
              <w:autoSpaceDE/>
              <w:bidi w:val="0"/>
              <w:spacing w:line="280" w:lineRule="exact"/>
              <w:jc w:val="center"/>
              <w:textAlignment w:val="auto"/>
              <w:rPr>
                <w:rFonts w:hint="eastAsia" w:ascii="仿宋_GB2312" w:hAnsi="仿宋_GB2312" w:eastAsia="仿宋_GB2312" w:cs="仿宋_GB2312"/>
                <w:sz w:val="24"/>
                <w:szCs w:val="24"/>
                <w:highlight w:val="none"/>
                <w:vertAlign w:val="baseline"/>
              </w:rPr>
            </w:pPr>
            <w:r>
              <w:rPr>
                <w:rFonts w:ascii="仿宋_GB2312" w:hAnsi="宋体" w:eastAsia="仿宋_GB2312" w:cs="仿宋_GB2312"/>
                <w:b/>
                <w:bCs/>
                <w:color w:val="000000"/>
                <w:kern w:val="0"/>
                <w:sz w:val="24"/>
                <w:szCs w:val="24"/>
                <w:highlight w:val="none"/>
                <w:lang w:val="en-US" w:eastAsia="zh-CN" w:bidi="ar"/>
              </w:rPr>
              <w:t>因公出国</w:t>
            </w:r>
            <w:r>
              <w:rPr>
                <w:rFonts w:hint="eastAsia" w:ascii="仿宋_GB2312" w:hAnsi="宋体" w:eastAsia="仿宋_GB2312" w:cs="仿宋_GB2312"/>
                <w:b/>
                <w:bCs/>
                <w:color w:val="000000"/>
                <w:kern w:val="0"/>
                <w:sz w:val="24"/>
                <w:szCs w:val="24"/>
                <w:highlight w:val="none"/>
                <w:lang w:val="en-US" w:eastAsia="zh-CN" w:bidi="ar"/>
              </w:rPr>
              <w:t>（境）经费</w:t>
            </w:r>
          </w:p>
        </w:tc>
        <w:tc>
          <w:tcPr>
            <w:tcW w:w="2101" w:type="dxa"/>
            <w:noWrap w:val="0"/>
            <w:vAlign w:val="center"/>
          </w:tcPr>
          <w:p>
            <w:pPr>
              <w:keepNext w:val="0"/>
              <w:keepLines w:val="0"/>
              <w:pageBreakBefore w:val="0"/>
              <w:kinsoku/>
              <w:wordWrap/>
              <w:overflowPunct/>
              <w:topLinePunct w:val="0"/>
              <w:autoSpaceDE/>
              <w:bidi w:val="0"/>
              <w:spacing w:line="280" w:lineRule="exact"/>
              <w:jc w:val="center"/>
              <w:textAlignment w:val="auto"/>
              <w:rPr>
                <w:rFonts w:hint="eastAsia" w:ascii="仿宋_GB2312" w:hAnsi="仿宋_GB2312" w:eastAsia="仿宋_GB2312" w:cs="仿宋_GB2312"/>
                <w:sz w:val="24"/>
                <w:szCs w:val="24"/>
                <w:highlight w:val="none"/>
                <w:vertAlign w:val="baseline"/>
              </w:rPr>
            </w:pPr>
            <w:r>
              <w:rPr>
                <w:rFonts w:ascii="仿宋_GB2312" w:hAnsi="宋体" w:eastAsia="仿宋_GB2312" w:cs="仿宋_GB2312"/>
                <w:b/>
                <w:bCs/>
                <w:color w:val="000000"/>
                <w:kern w:val="0"/>
                <w:sz w:val="24"/>
                <w:szCs w:val="24"/>
                <w:highlight w:val="none"/>
                <w:lang w:val="en-US" w:eastAsia="zh-CN" w:bidi="ar"/>
              </w:rPr>
              <w:t>公务用车购置</w:t>
            </w:r>
            <w:r>
              <w:rPr>
                <w:rFonts w:hint="eastAsia" w:ascii="仿宋_GB2312" w:hAnsi="宋体" w:eastAsia="仿宋_GB2312" w:cs="仿宋_GB2312"/>
                <w:b/>
                <w:bCs/>
                <w:color w:val="000000"/>
                <w:kern w:val="0"/>
                <w:sz w:val="24"/>
                <w:szCs w:val="24"/>
                <w:highlight w:val="none"/>
                <w:lang w:val="en-US" w:eastAsia="zh-CN" w:bidi="ar"/>
              </w:rPr>
              <w:t>和运行维护费</w:t>
            </w:r>
          </w:p>
        </w:tc>
        <w:tc>
          <w:tcPr>
            <w:tcW w:w="1647" w:type="dxa"/>
            <w:noWrap w:val="0"/>
            <w:vAlign w:val="center"/>
          </w:tcPr>
          <w:p>
            <w:pPr>
              <w:keepNext w:val="0"/>
              <w:keepLines w:val="0"/>
              <w:pageBreakBefore w:val="0"/>
              <w:kinsoku/>
              <w:wordWrap/>
              <w:overflowPunct/>
              <w:topLinePunct w:val="0"/>
              <w:autoSpaceDE/>
              <w:bidi w:val="0"/>
              <w:spacing w:line="280" w:lineRule="exact"/>
              <w:jc w:val="center"/>
              <w:textAlignment w:val="auto"/>
              <w:rPr>
                <w:rFonts w:hint="eastAsia" w:ascii="仿宋_GB2312" w:hAnsi="仿宋_GB2312" w:eastAsia="仿宋_GB2312" w:cs="仿宋_GB2312"/>
                <w:sz w:val="24"/>
                <w:szCs w:val="24"/>
                <w:highlight w:val="none"/>
                <w:vertAlign w:val="baseline"/>
              </w:rPr>
            </w:pPr>
            <w:r>
              <w:rPr>
                <w:rFonts w:ascii="仿宋_GB2312" w:hAnsi="宋体" w:eastAsia="仿宋_GB2312" w:cs="仿宋_GB2312"/>
                <w:b/>
                <w:bCs/>
                <w:color w:val="000000"/>
                <w:kern w:val="0"/>
                <w:sz w:val="24"/>
                <w:szCs w:val="24"/>
                <w:highlight w:val="none"/>
                <w:lang w:val="en-US" w:eastAsia="zh-CN" w:bidi="ar"/>
              </w:rPr>
              <w:t>公务</w:t>
            </w:r>
            <w:r>
              <w:rPr>
                <w:rFonts w:hint="eastAsia" w:ascii="仿宋_GB2312" w:hAnsi="宋体" w:eastAsia="仿宋_GB2312" w:cs="仿宋_GB2312"/>
                <w:b/>
                <w:bCs/>
                <w:color w:val="000000"/>
                <w:kern w:val="0"/>
                <w:sz w:val="24"/>
                <w:szCs w:val="24"/>
                <w:highlight w:val="none"/>
                <w:lang w:val="en-US" w:eastAsia="zh-CN" w:bidi="ar"/>
              </w:rPr>
              <w:t>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7" w:type="dxa"/>
            <w:noWrap w:val="0"/>
            <w:vAlign w:val="center"/>
          </w:tcPr>
          <w:p>
            <w:pPr>
              <w:keepNext w:val="0"/>
              <w:keepLines w:val="0"/>
              <w:pageBreakBefore w:val="0"/>
              <w:kinsoku/>
              <w:wordWrap/>
              <w:overflowPunct/>
              <w:topLinePunct w:val="0"/>
              <w:autoSpaceDE/>
              <w:bidi w:val="0"/>
              <w:spacing w:line="520" w:lineRule="exact"/>
              <w:jc w:val="center"/>
              <w:textAlignment w:val="auto"/>
              <w:rPr>
                <w:rFonts w:hint="default" w:ascii="仿宋_GB2312" w:hAnsi="仿宋_GB2312" w:eastAsia="仿宋_GB2312" w:cs="仿宋_GB2312"/>
                <w:sz w:val="24"/>
                <w:szCs w:val="24"/>
                <w:highlight w:val="none"/>
                <w:vertAlign w:val="baseline"/>
                <w:lang w:val="en-US"/>
              </w:rPr>
            </w:pPr>
            <w:r>
              <w:rPr>
                <w:rFonts w:hint="eastAsia" w:ascii="仿宋_GB2312" w:hAnsi="宋体" w:eastAsia="仿宋_GB2312" w:cs="仿宋_GB2312"/>
                <w:color w:val="000000"/>
                <w:kern w:val="0"/>
                <w:sz w:val="24"/>
                <w:szCs w:val="24"/>
                <w:highlight w:val="none"/>
                <w:lang w:val="en-US" w:eastAsia="zh-CN" w:bidi="ar"/>
              </w:rPr>
              <w:t>年初预算</w:t>
            </w:r>
          </w:p>
        </w:tc>
        <w:tc>
          <w:tcPr>
            <w:tcW w:w="1828" w:type="dxa"/>
            <w:noWrap w:val="0"/>
            <w:vAlign w:val="center"/>
          </w:tcPr>
          <w:p>
            <w:pPr>
              <w:pStyle w:val="5"/>
              <w:keepNext w:val="0"/>
              <w:keepLines w:val="0"/>
              <w:pageBreakBefore w:val="0"/>
              <w:kinsoku/>
              <w:wordWrap/>
              <w:overflowPunct/>
              <w:topLinePunct w:val="0"/>
              <w:autoSpaceDE/>
              <w:bidi w:val="0"/>
              <w:spacing w:line="520" w:lineRule="exact"/>
              <w:ind w:firstLine="0" w:firstLineChars="0"/>
              <w:jc w:val="center"/>
              <w:textAlignment w:val="auto"/>
              <w:rPr>
                <w:rFonts w:hint="default" w:ascii="仿宋_GB2312" w:hAnsi="仿宋_GB2312" w:eastAsia="仿宋_GB2312" w:cs="仿宋_GB2312"/>
                <w:sz w:val="24"/>
                <w:szCs w:val="24"/>
                <w:highlight w:val="none"/>
                <w:vertAlign w:val="baseline"/>
                <w:lang w:eastAsia="zh-CN"/>
              </w:rPr>
            </w:pPr>
            <w:r>
              <w:rPr>
                <w:rFonts w:hint="eastAsia" w:ascii="仿宋_GB2312" w:hAnsi="仿宋_GB2312" w:eastAsia="仿宋_GB2312" w:cs="仿宋_GB2312"/>
                <w:sz w:val="24"/>
                <w:szCs w:val="24"/>
                <w:highlight w:val="none"/>
                <w:vertAlign w:val="baseline"/>
                <w:lang w:val="en-US" w:eastAsia="zh-CN"/>
              </w:rPr>
              <w:t>2,504.94</w:t>
            </w:r>
          </w:p>
        </w:tc>
        <w:tc>
          <w:tcPr>
            <w:tcW w:w="1862" w:type="dxa"/>
            <w:noWrap w:val="0"/>
            <w:vAlign w:val="center"/>
          </w:tcPr>
          <w:p>
            <w:pPr>
              <w:pStyle w:val="5"/>
              <w:keepNext w:val="0"/>
              <w:keepLines w:val="0"/>
              <w:pageBreakBefore w:val="0"/>
              <w:kinsoku/>
              <w:wordWrap/>
              <w:overflowPunct/>
              <w:topLinePunct w:val="0"/>
              <w:autoSpaceDE/>
              <w:bidi w:val="0"/>
              <w:spacing w:line="520" w:lineRule="exact"/>
              <w:ind w:firstLine="240" w:firstLineChars="100"/>
              <w:jc w:val="center"/>
              <w:textAlignment w:val="auto"/>
              <w:rPr>
                <w:rFonts w:hint="default" w:ascii="仿宋_GB2312" w:hAnsi="仿宋_GB2312" w:eastAsia="仿宋_GB2312" w:cs="仿宋_GB2312"/>
                <w:sz w:val="24"/>
                <w:szCs w:val="24"/>
                <w:highlight w:val="none"/>
                <w:vertAlign w:val="baseline"/>
                <w:lang w:eastAsia="zh-CN"/>
              </w:rPr>
            </w:pPr>
            <w:r>
              <w:rPr>
                <w:rFonts w:hint="eastAsia" w:ascii="仿宋_GB2312" w:hAnsi="仿宋_GB2312" w:eastAsia="仿宋_GB2312" w:cs="仿宋_GB2312"/>
                <w:sz w:val="24"/>
                <w:szCs w:val="24"/>
                <w:highlight w:val="none"/>
                <w:vertAlign w:val="baseline"/>
                <w:lang w:val="en-US" w:eastAsia="zh-CN"/>
              </w:rPr>
              <w:t>0</w:t>
            </w:r>
          </w:p>
        </w:tc>
        <w:tc>
          <w:tcPr>
            <w:tcW w:w="2101" w:type="dxa"/>
            <w:noWrap w:val="0"/>
            <w:vAlign w:val="center"/>
          </w:tcPr>
          <w:p>
            <w:pPr>
              <w:pStyle w:val="5"/>
              <w:keepNext w:val="0"/>
              <w:keepLines w:val="0"/>
              <w:pageBreakBefore w:val="0"/>
              <w:kinsoku/>
              <w:wordWrap/>
              <w:overflowPunct/>
              <w:topLinePunct w:val="0"/>
              <w:autoSpaceDE/>
              <w:bidi w:val="0"/>
              <w:spacing w:line="520" w:lineRule="exact"/>
              <w:ind w:firstLine="240" w:firstLineChars="10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2,457.14</w:t>
            </w:r>
          </w:p>
        </w:tc>
        <w:tc>
          <w:tcPr>
            <w:tcW w:w="1647" w:type="dxa"/>
            <w:noWrap w:val="0"/>
            <w:vAlign w:val="center"/>
          </w:tcPr>
          <w:p>
            <w:pPr>
              <w:pStyle w:val="5"/>
              <w:keepNext w:val="0"/>
              <w:keepLines w:val="0"/>
              <w:pageBreakBefore w:val="0"/>
              <w:kinsoku/>
              <w:wordWrap/>
              <w:overflowPunct/>
              <w:topLinePunct w:val="0"/>
              <w:autoSpaceDE/>
              <w:bidi w:val="0"/>
              <w:spacing w:line="520" w:lineRule="exact"/>
              <w:ind w:firstLine="0" w:firstLine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7" w:type="dxa"/>
            <w:noWrap w:val="0"/>
            <w:vAlign w:val="center"/>
          </w:tcPr>
          <w:p>
            <w:pPr>
              <w:keepNext w:val="0"/>
              <w:keepLines w:val="0"/>
              <w:pageBreakBefore w:val="0"/>
              <w:kinsoku/>
              <w:wordWrap/>
              <w:overflowPunct/>
              <w:topLinePunct w:val="0"/>
              <w:autoSpaceDE/>
              <w:bidi w:val="0"/>
              <w:spacing w:line="520" w:lineRule="exact"/>
              <w:jc w:val="center"/>
              <w:textAlignment w:val="auto"/>
              <w:rPr>
                <w:rFonts w:hint="default" w:ascii="仿宋_GB2312" w:hAnsi="仿宋_GB2312" w:eastAsia="仿宋_GB2312" w:cs="仿宋_GB2312"/>
                <w:sz w:val="24"/>
                <w:szCs w:val="24"/>
                <w:highlight w:val="none"/>
                <w:vertAlign w:val="baseline"/>
                <w:lang w:val="en-US"/>
              </w:rPr>
            </w:pPr>
            <w:r>
              <w:rPr>
                <w:rFonts w:hint="eastAsia" w:ascii="仿宋_GB2312" w:hAnsi="宋体" w:eastAsia="仿宋_GB2312" w:cs="仿宋_GB2312"/>
                <w:color w:val="000000"/>
                <w:kern w:val="0"/>
                <w:sz w:val="24"/>
                <w:szCs w:val="24"/>
                <w:highlight w:val="none"/>
                <w:lang w:val="en-US" w:eastAsia="zh-CN" w:bidi="ar"/>
              </w:rPr>
              <w:t>实际执行</w:t>
            </w:r>
          </w:p>
        </w:tc>
        <w:tc>
          <w:tcPr>
            <w:tcW w:w="1828" w:type="dxa"/>
            <w:noWrap w:val="0"/>
            <w:vAlign w:val="center"/>
          </w:tcPr>
          <w:p>
            <w:pPr>
              <w:pStyle w:val="5"/>
              <w:keepNext w:val="0"/>
              <w:keepLines w:val="0"/>
              <w:pageBreakBefore w:val="0"/>
              <w:kinsoku/>
              <w:wordWrap/>
              <w:overflowPunct/>
              <w:topLinePunct w:val="0"/>
              <w:autoSpaceDE/>
              <w:bidi w:val="0"/>
              <w:spacing w:line="520" w:lineRule="exact"/>
              <w:ind w:firstLine="0" w:firstLine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1,696.28</w:t>
            </w:r>
          </w:p>
        </w:tc>
        <w:tc>
          <w:tcPr>
            <w:tcW w:w="1862" w:type="dxa"/>
            <w:noWrap w:val="0"/>
            <w:vAlign w:val="center"/>
          </w:tcPr>
          <w:p>
            <w:pPr>
              <w:pStyle w:val="5"/>
              <w:keepNext w:val="0"/>
              <w:keepLines w:val="0"/>
              <w:pageBreakBefore w:val="0"/>
              <w:kinsoku/>
              <w:wordWrap/>
              <w:overflowPunct/>
              <w:topLinePunct w:val="0"/>
              <w:autoSpaceDE/>
              <w:bidi w:val="0"/>
              <w:spacing w:line="520" w:lineRule="exact"/>
              <w:ind w:firstLine="240" w:firstLineChars="10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92.74</w:t>
            </w:r>
          </w:p>
        </w:tc>
        <w:tc>
          <w:tcPr>
            <w:tcW w:w="2101" w:type="dxa"/>
            <w:noWrap w:val="0"/>
            <w:vAlign w:val="center"/>
          </w:tcPr>
          <w:p>
            <w:pPr>
              <w:pStyle w:val="5"/>
              <w:keepNext w:val="0"/>
              <w:keepLines w:val="0"/>
              <w:pageBreakBefore w:val="0"/>
              <w:kinsoku/>
              <w:wordWrap/>
              <w:overflowPunct/>
              <w:topLinePunct w:val="0"/>
              <w:autoSpaceDE/>
              <w:bidi w:val="0"/>
              <w:spacing w:line="520" w:lineRule="exact"/>
              <w:ind w:firstLine="240" w:firstLineChars="10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1,597.86</w:t>
            </w:r>
          </w:p>
        </w:tc>
        <w:tc>
          <w:tcPr>
            <w:tcW w:w="1647" w:type="dxa"/>
            <w:noWrap w:val="0"/>
            <w:vAlign w:val="center"/>
          </w:tcPr>
          <w:p>
            <w:pPr>
              <w:pStyle w:val="5"/>
              <w:keepNext w:val="0"/>
              <w:keepLines w:val="0"/>
              <w:pageBreakBefore w:val="0"/>
              <w:kinsoku/>
              <w:wordWrap/>
              <w:overflowPunct/>
              <w:topLinePunct w:val="0"/>
              <w:autoSpaceDE/>
              <w:bidi w:val="0"/>
              <w:spacing w:line="520" w:lineRule="exact"/>
              <w:ind w:firstLine="0" w:firstLine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7" w:type="dxa"/>
            <w:noWrap w:val="0"/>
            <w:vAlign w:val="center"/>
          </w:tcPr>
          <w:p>
            <w:pPr>
              <w:keepNext w:val="0"/>
              <w:keepLines w:val="0"/>
              <w:pageBreakBefore w:val="0"/>
              <w:kinsoku/>
              <w:wordWrap/>
              <w:overflowPunct/>
              <w:topLinePunct w:val="0"/>
              <w:autoSpaceDE/>
              <w:bidi w:val="0"/>
              <w:spacing w:line="520" w:lineRule="exact"/>
              <w:jc w:val="center"/>
              <w:textAlignment w:val="auto"/>
              <w:rPr>
                <w:rFonts w:hint="default" w:ascii="仿宋_GB2312" w:hAnsi="宋体" w:eastAsia="仿宋_GB2312" w:cs="仿宋_GB2312"/>
                <w:color w:val="000000"/>
                <w:kern w:val="0"/>
                <w:sz w:val="24"/>
                <w:szCs w:val="24"/>
                <w:highlight w:val="none"/>
                <w:lang w:val="en-US" w:eastAsia="zh-CN" w:bidi="ar"/>
              </w:rPr>
            </w:pPr>
            <w:r>
              <w:rPr>
                <w:rFonts w:hint="default" w:ascii="仿宋_GB2312" w:hAnsi="宋体" w:eastAsia="仿宋_GB2312" w:cs="仿宋_GB2312"/>
                <w:color w:val="000000"/>
                <w:kern w:val="0"/>
                <w:sz w:val="24"/>
                <w:szCs w:val="24"/>
                <w:highlight w:val="none"/>
                <w:lang w:val="en-US" w:eastAsia="zh-CN" w:bidi="ar"/>
              </w:rPr>
              <w:t>同比上年</w:t>
            </w:r>
          </w:p>
        </w:tc>
        <w:tc>
          <w:tcPr>
            <w:tcW w:w="1828" w:type="dxa"/>
            <w:noWrap w:val="0"/>
            <w:vAlign w:val="center"/>
          </w:tcPr>
          <w:p>
            <w:pPr>
              <w:pStyle w:val="5"/>
              <w:keepNext w:val="0"/>
              <w:keepLines w:val="0"/>
              <w:pageBreakBefore w:val="0"/>
              <w:kinsoku/>
              <w:wordWrap/>
              <w:overflowPunct/>
              <w:topLinePunct w:val="0"/>
              <w:autoSpaceDE/>
              <w:bidi w:val="0"/>
              <w:spacing w:line="520" w:lineRule="exact"/>
              <w:ind w:firstLine="0" w:firstLineChars="0"/>
              <w:jc w:val="center"/>
              <w:textAlignment w:val="auto"/>
              <w:rPr>
                <w:rFonts w:hint="eastAsia" w:ascii="仿宋_GB2312" w:hAnsi="仿宋_GB2312" w:eastAsia="仿宋_GB2312" w:cs="仿宋_GB2312"/>
                <w:kern w:val="0"/>
                <w:sz w:val="24"/>
                <w:szCs w:val="24"/>
                <w:highlight w:val="none"/>
                <w:vertAlign w:val="baseline"/>
                <w:lang w:val="en-US" w:eastAsia="zh-CN" w:bidi="ar-SA"/>
              </w:rPr>
            </w:pPr>
            <w:r>
              <w:rPr>
                <w:rFonts w:hint="eastAsia" w:ascii="仿宋_GB2312" w:hAnsi="仿宋_GB2312" w:eastAsia="仿宋_GB2312" w:cs="仿宋_GB2312"/>
                <w:kern w:val="0"/>
                <w:sz w:val="24"/>
                <w:szCs w:val="24"/>
                <w:highlight w:val="none"/>
                <w:vertAlign w:val="baseline"/>
                <w:lang w:val="en-US" w:eastAsia="zh-CN" w:bidi="ar-SA"/>
              </w:rPr>
              <w:t>-5.57%</w:t>
            </w:r>
          </w:p>
        </w:tc>
        <w:tc>
          <w:tcPr>
            <w:tcW w:w="1862" w:type="dxa"/>
            <w:noWrap w:val="0"/>
            <w:vAlign w:val="center"/>
          </w:tcPr>
          <w:p>
            <w:pPr>
              <w:pStyle w:val="5"/>
              <w:keepNext w:val="0"/>
              <w:keepLines w:val="0"/>
              <w:pageBreakBefore w:val="0"/>
              <w:kinsoku/>
              <w:wordWrap/>
              <w:overflowPunct/>
              <w:topLinePunct w:val="0"/>
              <w:autoSpaceDE/>
              <w:bidi w:val="0"/>
              <w:spacing w:line="520" w:lineRule="exact"/>
              <w:ind w:firstLine="240" w:firstLineChars="100"/>
              <w:jc w:val="center"/>
              <w:textAlignment w:val="auto"/>
              <w:rPr>
                <w:rFonts w:hint="eastAsia" w:ascii="仿宋_GB2312" w:hAnsi="仿宋_GB2312" w:eastAsia="仿宋_GB2312" w:cs="仿宋_GB2312"/>
                <w:kern w:val="0"/>
                <w:sz w:val="24"/>
                <w:szCs w:val="24"/>
                <w:highlight w:val="none"/>
                <w:vertAlign w:val="baseline"/>
                <w:lang w:val="en-US" w:eastAsia="zh-CN" w:bidi="ar-SA"/>
              </w:rPr>
            </w:pPr>
            <w:r>
              <w:rPr>
                <w:rFonts w:hint="eastAsia" w:ascii="仿宋_GB2312" w:hAnsi="仿宋_GB2312" w:eastAsia="仿宋_GB2312" w:cs="仿宋_GB2312"/>
                <w:kern w:val="0"/>
                <w:sz w:val="24"/>
                <w:szCs w:val="24"/>
                <w:highlight w:val="none"/>
                <w:vertAlign w:val="baseline"/>
                <w:lang w:val="en-US" w:eastAsia="zh-CN" w:bidi="ar-SA"/>
              </w:rPr>
              <w:t>37.13%</w:t>
            </w:r>
          </w:p>
        </w:tc>
        <w:tc>
          <w:tcPr>
            <w:tcW w:w="2101" w:type="dxa"/>
            <w:noWrap w:val="0"/>
            <w:vAlign w:val="center"/>
          </w:tcPr>
          <w:p>
            <w:pPr>
              <w:pStyle w:val="5"/>
              <w:keepNext w:val="0"/>
              <w:keepLines w:val="0"/>
              <w:pageBreakBefore w:val="0"/>
              <w:kinsoku/>
              <w:wordWrap/>
              <w:overflowPunct/>
              <w:topLinePunct w:val="0"/>
              <w:autoSpaceDE/>
              <w:bidi w:val="0"/>
              <w:spacing w:line="520" w:lineRule="exact"/>
              <w:ind w:firstLine="240" w:firstLineChars="100"/>
              <w:jc w:val="center"/>
              <w:textAlignment w:val="auto"/>
              <w:rPr>
                <w:rFonts w:hint="eastAsia" w:ascii="仿宋_GB2312" w:hAnsi="仿宋_GB2312" w:eastAsia="仿宋_GB2312" w:cs="仿宋_GB2312"/>
                <w:kern w:val="0"/>
                <w:sz w:val="24"/>
                <w:szCs w:val="24"/>
                <w:highlight w:val="none"/>
                <w:vertAlign w:val="baseline"/>
                <w:lang w:val="en-US" w:eastAsia="zh-CN" w:bidi="ar-SA"/>
              </w:rPr>
            </w:pPr>
            <w:r>
              <w:rPr>
                <w:rFonts w:hint="eastAsia" w:ascii="仿宋_GB2312" w:hAnsi="仿宋_GB2312" w:eastAsia="仿宋_GB2312" w:cs="仿宋_GB2312"/>
                <w:kern w:val="0"/>
                <w:sz w:val="24"/>
                <w:szCs w:val="24"/>
                <w:highlight w:val="none"/>
                <w:vertAlign w:val="baseline"/>
                <w:lang w:val="en-US" w:eastAsia="zh-CN" w:bidi="ar-SA"/>
              </w:rPr>
              <w:t>-7.19%</w:t>
            </w:r>
          </w:p>
        </w:tc>
        <w:tc>
          <w:tcPr>
            <w:tcW w:w="1647" w:type="dxa"/>
            <w:noWrap w:val="0"/>
            <w:vAlign w:val="center"/>
          </w:tcPr>
          <w:p>
            <w:pPr>
              <w:pStyle w:val="5"/>
              <w:keepNext w:val="0"/>
              <w:keepLines w:val="0"/>
              <w:pageBreakBefore w:val="0"/>
              <w:kinsoku/>
              <w:wordWrap/>
              <w:overflowPunct/>
              <w:topLinePunct w:val="0"/>
              <w:autoSpaceDE/>
              <w:bidi w:val="0"/>
              <w:spacing w:line="520" w:lineRule="exact"/>
              <w:ind w:firstLine="240" w:firstLineChars="100"/>
              <w:jc w:val="center"/>
              <w:textAlignment w:val="auto"/>
              <w:rPr>
                <w:rFonts w:hint="eastAsia" w:ascii="仿宋_GB2312" w:hAnsi="仿宋_GB2312" w:eastAsia="仿宋_GB2312" w:cs="仿宋_GB2312"/>
                <w:kern w:val="0"/>
                <w:sz w:val="24"/>
                <w:szCs w:val="24"/>
                <w:highlight w:val="none"/>
                <w:vertAlign w:val="baseline"/>
                <w:lang w:val="en-US" w:eastAsia="zh-CN" w:bidi="ar-SA"/>
              </w:rPr>
            </w:pPr>
            <w:r>
              <w:rPr>
                <w:rFonts w:hint="eastAsia" w:ascii="仿宋_GB2312" w:hAnsi="仿宋_GB2312" w:eastAsia="仿宋_GB2312" w:cs="仿宋_GB2312"/>
                <w:kern w:val="0"/>
                <w:sz w:val="24"/>
                <w:szCs w:val="24"/>
                <w:highlight w:val="none"/>
                <w:vertAlign w:val="baseline"/>
                <w:lang w:val="en-US" w:eastAsia="zh-CN" w:bidi="ar-SA"/>
              </w:rPr>
              <w:t>-20.34%</w:t>
            </w:r>
          </w:p>
        </w:tc>
      </w:tr>
    </w:tbl>
    <w:p>
      <w:pPr>
        <w:keepNext w:val="0"/>
        <w:keepLines w:val="0"/>
        <w:pageBreakBefore w:val="0"/>
        <w:widowControl/>
        <w:shd w:val="clear" w:color="auto" w:fill="FFFFFF"/>
        <w:kinsoku/>
        <w:wordWrap/>
        <w:overflowPunct/>
        <w:topLinePunct w:val="0"/>
        <w:autoSpaceDE/>
        <w:bidi w:val="0"/>
        <w:spacing w:line="560" w:lineRule="exact"/>
        <w:ind w:firstLine="0" w:firstLineChars="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eastAsia="zh-CN"/>
        </w:rPr>
        <w:t>备注：</w:t>
      </w:r>
      <w:r>
        <w:rPr>
          <w:rFonts w:hint="default" w:ascii="仿宋_GB2312" w:hAnsi="仿宋_GB2312" w:eastAsia="仿宋_GB2312" w:cs="仿宋_GB2312"/>
          <w:color w:val="auto"/>
          <w:sz w:val="21"/>
          <w:szCs w:val="21"/>
          <w:highlight w:val="none"/>
          <w:lang w:eastAsia="zh-CN"/>
        </w:rPr>
        <w:t>因公出国（境）费不单独编制年初预算，确需开展相关公务活动</w:t>
      </w:r>
      <w:r>
        <w:rPr>
          <w:rFonts w:hint="eastAsia" w:ascii="仿宋_GB2312" w:hAnsi="仿宋_GB2312" w:eastAsia="仿宋_GB2312" w:cs="仿宋_GB2312"/>
          <w:color w:val="auto"/>
          <w:sz w:val="21"/>
          <w:szCs w:val="21"/>
          <w:highlight w:val="none"/>
          <w:lang w:eastAsia="zh-CN"/>
        </w:rPr>
        <w:t>时，按照</w:t>
      </w:r>
      <w:r>
        <w:rPr>
          <w:rFonts w:hint="default" w:ascii="仿宋_GB2312" w:hAnsi="仿宋_GB2312" w:eastAsia="仿宋_GB2312" w:cs="仿宋_GB2312"/>
          <w:color w:val="auto"/>
          <w:sz w:val="21"/>
          <w:szCs w:val="21"/>
          <w:highlight w:val="none"/>
          <w:lang w:eastAsia="zh-CN"/>
        </w:rPr>
        <w:t>临时请款相关流程</w:t>
      </w:r>
      <w:r>
        <w:rPr>
          <w:rFonts w:hint="eastAsia" w:ascii="仿宋_GB2312" w:hAnsi="仿宋_GB2312" w:eastAsia="仿宋_GB2312" w:cs="仿宋_GB2312"/>
          <w:color w:val="auto"/>
          <w:sz w:val="21"/>
          <w:szCs w:val="21"/>
          <w:highlight w:val="none"/>
          <w:lang w:eastAsia="zh-CN"/>
        </w:rPr>
        <w:t>进行</w:t>
      </w:r>
      <w:r>
        <w:rPr>
          <w:rFonts w:hint="default" w:ascii="仿宋_GB2312" w:hAnsi="仿宋_GB2312" w:eastAsia="仿宋_GB2312" w:cs="仿宋_GB2312"/>
          <w:color w:val="auto"/>
          <w:sz w:val="21"/>
          <w:szCs w:val="21"/>
          <w:highlight w:val="none"/>
          <w:lang w:eastAsia="zh-CN"/>
        </w:rPr>
        <w:t>审批</w:t>
      </w:r>
      <w:r>
        <w:rPr>
          <w:rFonts w:hint="eastAsia" w:ascii="仿宋_GB2312" w:hAnsi="仿宋_GB2312" w:eastAsia="仿宋_GB2312" w:cs="仿宋_GB2312"/>
          <w:color w:val="auto"/>
          <w:sz w:val="21"/>
          <w:szCs w:val="21"/>
          <w:highlight w:val="none"/>
          <w:lang w:val="en-US" w:eastAsia="zh-CN"/>
        </w:rPr>
        <w:t>。</w:t>
      </w:r>
    </w:p>
    <w:p>
      <w:pPr>
        <w:keepNext w:val="0"/>
        <w:keepLines w:val="0"/>
        <w:pageBreakBefore w:val="0"/>
        <w:widowControl/>
        <w:shd w:val="clear" w:color="auto" w:fill="FFFFFF"/>
        <w:kinsoku/>
        <w:wordWrap/>
        <w:overflowPunct/>
        <w:topLinePunct w:val="0"/>
        <w:autoSpaceDE/>
        <w:bidi w:val="0"/>
        <w:adjustRightInd/>
        <w:spacing w:line="560" w:lineRule="exact"/>
        <w:ind w:firstLine="640" w:firstLineChars="200"/>
        <w:jc w:val="both"/>
        <w:textAlignment w:val="auto"/>
        <w:rPr>
          <w:rFonts w:ascii="黑体" w:hAnsi="黑体" w:eastAsia="黑体" w:cs="仿宋_GB2312"/>
          <w:sz w:val="32"/>
          <w:szCs w:val="32"/>
          <w:highlight w:val="none"/>
        </w:rPr>
      </w:pPr>
      <w:r>
        <w:rPr>
          <w:rFonts w:hint="eastAsia" w:ascii="黑体" w:hAnsi="黑体" w:eastAsia="黑体" w:cs="仿宋_GB2312"/>
          <w:sz w:val="32"/>
          <w:szCs w:val="32"/>
          <w:highlight w:val="none"/>
        </w:rPr>
        <w:t>二、政府性基金</w:t>
      </w:r>
      <w:r>
        <w:rPr>
          <w:rFonts w:hint="eastAsia" w:ascii="黑体" w:hAnsi="黑体" w:eastAsia="黑体" w:cs="仿宋_GB2312"/>
          <w:sz w:val="32"/>
          <w:szCs w:val="32"/>
          <w:highlight w:val="none"/>
          <w:lang w:eastAsia="zh-CN"/>
        </w:rPr>
        <w:t>预算</w:t>
      </w:r>
      <w:r>
        <w:rPr>
          <w:rFonts w:hint="eastAsia" w:ascii="黑体" w:hAnsi="黑体" w:eastAsia="黑体" w:cs="仿宋_GB2312"/>
          <w:sz w:val="32"/>
          <w:szCs w:val="32"/>
          <w:highlight w:val="none"/>
        </w:rPr>
        <w:t>收支决算情况</w:t>
      </w:r>
    </w:p>
    <w:p>
      <w:pPr>
        <w:keepNext w:val="0"/>
        <w:keepLines w:val="0"/>
        <w:pageBreakBefore w:val="0"/>
        <w:widowControl/>
        <w:shd w:val="clear" w:color="auto" w:fill="FFFFFF"/>
        <w:tabs>
          <w:tab w:val="left" w:pos="567"/>
          <w:tab w:val="left" w:pos="851"/>
        </w:tabs>
        <w:kinsoku/>
        <w:wordWrap/>
        <w:overflowPunct/>
        <w:topLinePunct w:val="0"/>
        <w:autoSpaceDE/>
        <w:bidi w:val="0"/>
        <w:adjustRightInd/>
        <w:spacing w:line="560" w:lineRule="exact"/>
        <w:ind w:firstLine="640" w:firstLineChars="200"/>
        <w:jc w:val="both"/>
        <w:textAlignment w:val="auto"/>
        <w:rPr>
          <w:rFonts w:hint="eastAsia" w:ascii="楷体_GB2312" w:hAnsi="仿宋_GB2312" w:eastAsia="楷体_GB2312" w:cs="仿宋_GB2312"/>
          <w:sz w:val="32"/>
          <w:szCs w:val="32"/>
          <w:highlight w:val="none"/>
        </w:rPr>
      </w:pPr>
      <w:r>
        <w:rPr>
          <w:rFonts w:hint="eastAsia" w:ascii="楷体_GB2312" w:hAnsi="仿宋_GB2312" w:eastAsia="楷体_GB2312" w:cs="仿宋_GB2312"/>
          <w:sz w:val="32"/>
          <w:szCs w:val="32"/>
          <w:highlight w:val="none"/>
        </w:rPr>
        <w:t>（一）收入决算情况</w:t>
      </w:r>
    </w:p>
    <w:p>
      <w:pPr>
        <w:keepNext w:val="0"/>
        <w:keepLines w:val="0"/>
        <w:pageBreakBefore w:val="0"/>
        <w:widowControl/>
        <w:shd w:val="clear" w:color="auto" w:fill="FFFFFF"/>
        <w:kinsoku/>
        <w:wordWrap/>
        <w:overflowPunct/>
        <w:topLinePunct w:val="0"/>
        <w:autoSpaceDE/>
        <w:bidi w:val="0"/>
        <w:adjustRightInd/>
        <w:spacing w:line="560" w:lineRule="exact"/>
        <w:ind w:firstLine="640" w:firstLineChars="200"/>
        <w:jc w:val="both"/>
        <w:textAlignment w:val="auto"/>
        <w:rPr>
          <w:rFonts w:hint="eastAsia" w:ascii="楷体_GB2312" w:hAnsi="仿宋_GB2312" w:eastAsia="楷体_GB2312" w:cs="仿宋_GB2312"/>
          <w:color w:val="auto"/>
          <w:sz w:val="32"/>
          <w:szCs w:val="32"/>
          <w:highlight w:val="none"/>
        </w:rPr>
      </w:pPr>
      <w:r>
        <w:rPr>
          <w:rFonts w:hint="eastAsia" w:ascii="仿宋_GB2312" w:hAnsi="仿宋_GB2312" w:eastAsia="仿宋_GB2312" w:cs="仿宋_GB2312"/>
          <w:sz w:val="32"/>
          <w:szCs w:val="32"/>
          <w:highlight w:val="none"/>
          <w:lang w:val="en-US" w:eastAsia="zh-CN"/>
        </w:rPr>
        <w:t>202</w:t>
      </w:r>
      <w:r>
        <w:rPr>
          <w:rFonts w:hint="default"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val="en-US" w:eastAsia="zh-CN"/>
        </w:rPr>
        <w:t>年，新区</w:t>
      </w:r>
      <w:r>
        <w:rPr>
          <w:rFonts w:hint="eastAsia" w:ascii="仿宋_GB2312" w:hAnsi="仿宋_GB2312" w:eastAsia="仿宋_GB2312" w:cs="仿宋_GB2312"/>
          <w:sz w:val="32"/>
          <w:szCs w:val="32"/>
          <w:highlight w:val="none"/>
        </w:rPr>
        <w:t>政府性基金收入</w:t>
      </w:r>
      <w:r>
        <w:rPr>
          <w:rFonts w:hint="eastAsia" w:ascii="仿宋_GB2312" w:hAnsi="仿宋_GB2312" w:eastAsia="仿宋_GB2312" w:cs="仿宋_GB2312"/>
          <w:sz w:val="32"/>
          <w:szCs w:val="32"/>
          <w:highlight w:val="none"/>
          <w:lang w:val="en-US" w:eastAsia="zh-CN"/>
        </w:rPr>
        <w:t>0.</w:t>
      </w:r>
      <w:r>
        <w:rPr>
          <w:rFonts w:hint="default"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亿元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加上转移支付收入</w:t>
      </w:r>
      <w:r>
        <w:rPr>
          <w:rFonts w:hint="default" w:ascii="仿宋_GB2312" w:hAnsi="仿宋_GB2312" w:eastAsia="仿宋_GB2312" w:cs="仿宋_GB2312"/>
          <w:sz w:val="32"/>
          <w:szCs w:val="32"/>
          <w:highlight w:val="none"/>
          <w:lang w:val="en-US" w:eastAsia="zh-CN"/>
        </w:rPr>
        <w:t>4.6</w:t>
      </w:r>
      <w:r>
        <w:rPr>
          <w:rFonts w:hint="eastAsia" w:ascii="仿宋_GB2312" w:hAnsi="仿宋_GB2312" w:eastAsia="仿宋_GB2312" w:cs="仿宋_GB2312"/>
          <w:sz w:val="32"/>
          <w:szCs w:val="32"/>
          <w:highlight w:val="none"/>
          <w:lang w:val="en-US" w:eastAsia="zh-CN"/>
        </w:rPr>
        <w:t>亿元、上年结余收入</w:t>
      </w:r>
      <w:r>
        <w:rPr>
          <w:rFonts w:hint="default" w:ascii="仿宋_GB2312" w:hAnsi="仿宋_GB2312" w:eastAsia="仿宋_GB2312" w:cs="仿宋_GB2312"/>
          <w:sz w:val="32"/>
          <w:szCs w:val="32"/>
          <w:highlight w:val="none"/>
          <w:lang w:val="en-US" w:eastAsia="zh-CN"/>
        </w:rPr>
        <w:t>4.2</w:t>
      </w:r>
      <w:r>
        <w:rPr>
          <w:rFonts w:hint="eastAsia" w:ascii="仿宋_GB2312" w:hAnsi="仿宋_GB2312" w:eastAsia="仿宋_GB2312" w:cs="仿宋_GB2312"/>
          <w:sz w:val="32"/>
          <w:szCs w:val="32"/>
          <w:highlight w:val="none"/>
          <w:lang w:val="en-US" w:eastAsia="zh-CN"/>
        </w:rPr>
        <w:t>亿元以及债务转贷收入</w:t>
      </w:r>
      <w:r>
        <w:rPr>
          <w:rFonts w:hint="default" w:ascii="仿宋_GB2312" w:hAnsi="仿宋_GB2312" w:eastAsia="仿宋_GB2312" w:cs="仿宋_GB2312"/>
          <w:sz w:val="32"/>
          <w:szCs w:val="32"/>
          <w:highlight w:val="none"/>
          <w:lang w:val="en-US" w:eastAsia="zh-CN"/>
        </w:rPr>
        <w:t>3.8</w:t>
      </w:r>
      <w:r>
        <w:rPr>
          <w:rFonts w:hint="eastAsia" w:ascii="仿宋_GB2312" w:hAnsi="仿宋_GB2312" w:eastAsia="仿宋_GB2312" w:cs="仿宋_GB2312"/>
          <w:sz w:val="32"/>
          <w:szCs w:val="32"/>
          <w:highlight w:val="none"/>
          <w:lang w:val="en-US" w:eastAsia="zh-CN"/>
        </w:rPr>
        <w:t>亿元，</w:t>
      </w:r>
      <w:r>
        <w:rPr>
          <w:rFonts w:hint="eastAsia" w:ascii="仿宋_GB2312" w:hAnsi="仿宋_GB2312" w:eastAsia="仿宋_GB2312" w:cs="仿宋_GB2312"/>
          <w:sz w:val="32"/>
          <w:szCs w:val="32"/>
          <w:highlight w:val="none"/>
        </w:rPr>
        <w:t>收入总计</w:t>
      </w:r>
      <w:r>
        <w:rPr>
          <w:rFonts w:hint="default" w:ascii="仿宋_GB2312" w:hAnsi="仿宋_GB2312" w:eastAsia="仿宋_GB2312" w:cs="仿宋_GB2312"/>
          <w:sz w:val="32"/>
          <w:szCs w:val="32"/>
          <w:highlight w:val="none"/>
          <w:lang w:val="en-US"/>
        </w:rPr>
        <w:t>13.0</w:t>
      </w:r>
      <w:r>
        <w:rPr>
          <w:rFonts w:hint="eastAsia" w:ascii="仿宋_GB2312" w:hAnsi="仿宋_GB2312" w:eastAsia="仿宋_GB2312" w:cs="仿宋_GB2312"/>
          <w:sz w:val="32"/>
          <w:szCs w:val="32"/>
          <w:highlight w:val="none"/>
        </w:rPr>
        <w:t>亿元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完成调整预算数</w:t>
      </w:r>
      <w:r>
        <w:rPr>
          <w:rFonts w:hint="eastAsia" w:ascii="仿宋_GB2312" w:hAnsi="仿宋_GB2312" w:eastAsia="仿宋_GB2312" w:cs="仿宋_GB2312"/>
          <w:sz w:val="32"/>
          <w:szCs w:val="32"/>
          <w:highlight w:val="none"/>
        </w:rPr>
        <w:t>的</w:t>
      </w:r>
      <w:r>
        <w:rPr>
          <w:rFonts w:hint="default" w:ascii="仿宋_GB2312" w:hAnsi="仿宋_GB2312" w:eastAsia="仿宋_GB2312" w:cs="仿宋_GB2312"/>
          <w:sz w:val="32"/>
          <w:szCs w:val="32"/>
          <w:highlight w:val="none"/>
          <w:lang w:val="en-US" w:eastAsia="zh-CN"/>
        </w:rPr>
        <w:t>45.6</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shd w:val="clear" w:color="auto" w:fill="FFFFFF"/>
        <w:tabs>
          <w:tab w:val="left" w:pos="567"/>
          <w:tab w:val="left" w:pos="1134"/>
        </w:tabs>
        <w:kinsoku/>
        <w:wordWrap/>
        <w:overflowPunct/>
        <w:topLinePunct w:val="0"/>
        <w:autoSpaceDE/>
        <w:bidi w:val="0"/>
        <w:adjustRightInd/>
        <w:spacing w:line="560" w:lineRule="exact"/>
        <w:ind w:firstLine="640" w:firstLineChars="200"/>
        <w:jc w:val="both"/>
        <w:textAlignment w:val="auto"/>
        <w:rPr>
          <w:rFonts w:hint="default" w:ascii="楷体_GB2312" w:hAnsi="仿宋_GB2312" w:eastAsia="楷体_GB2312" w:cs="仿宋_GB2312"/>
          <w:sz w:val="32"/>
          <w:szCs w:val="32"/>
          <w:highlight w:val="none"/>
          <w:lang w:val="en-US" w:eastAsia="zh-CN"/>
        </w:rPr>
      </w:pPr>
      <w:r>
        <w:rPr>
          <w:rFonts w:hint="eastAsia" w:ascii="楷体_GB2312" w:hAnsi="仿宋_GB2312" w:eastAsia="楷体_GB2312" w:cs="仿宋_GB2312"/>
          <w:sz w:val="32"/>
          <w:szCs w:val="32"/>
          <w:highlight w:val="none"/>
        </w:rPr>
        <w:t>（二）支出决算情况</w:t>
      </w:r>
    </w:p>
    <w:p>
      <w:pPr>
        <w:keepNext w:val="0"/>
        <w:keepLines w:val="0"/>
        <w:pageBreakBefore w:val="0"/>
        <w:widowControl/>
        <w:shd w:val="clear" w:color="auto" w:fill="FFFFFF"/>
        <w:kinsoku/>
        <w:wordWrap/>
        <w:overflowPunct/>
        <w:topLinePunct w:val="0"/>
        <w:autoSpaceDE/>
        <w:bidi w:val="0"/>
        <w:adjustRightInd/>
        <w:spacing w:line="560" w:lineRule="exact"/>
        <w:ind w:firstLine="640" w:firstLineChars="200"/>
        <w:jc w:val="both"/>
        <w:textAlignment w:val="auto"/>
        <w:rPr>
          <w:rFonts w:hint="eastAsia" w:ascii="黑体" w:hAnsi="黑体" w:eastAsia="黑体" w:cs="仿宋_GB2312"/>
          <w:sz w:val="32"/>
          <w:szCs w:val="32"/>
          <w:highlight w:val="none"/>
        </w:rPr>
      </w:pPr>
      <w:r>
        <w:rPr>
          <w:rFonts w:hint="eastAsia" w:ascii="仿宋_GB2312" w:hAnsi="仿宋_GB2312" w:eastAsia="仿宋_GB2312" w:cs="仿宋_GB2312"/>
          <w:sz w:val="32"/>
          <w:szCs w:val="32"/>
          <w:highlight w:val="none"/>
          <w:lang w:val="en-US" w:eastAsia="zh-CN"/>
        </w:rPr>
        <w:t>202</w:t>
      </w:r>
      <w:r>
        <w:rPr>
          <w:rFonts w:hint="default"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val="en-US" w:eastAsia="zh-CN"/>
        </w:rPr>
        <w:t>年，新区</w:t>
      </w:r>
      <w:r>
        <w:rPr>
          <w:rFonts w:hint="eastAsia" w:ascii="仿宋_GB2312" w:hAnsi="仿宋_GB2312" w:eastAsia="仿宋_GB2312" w:cs="仿宋_GB2312"/>
          <w:sz w:val="32"/>
          <w:szCs w:val="32"/>
          <w:highlight w:val="none"/>
        </w:rPr>
        <w:t>政府性基金支出</w:t>
      </w:r>
      <w:r>
        <w:rPr>
          <w:rFonts w:hint="eastAsia" w:ascii="仿宋_GB2312" w:hAnsi="仿宋_GB2312" w:eastAsia="仿宋_GB2312" w:cs="仿宋_GB2312"/>
          <w:sz w:val="32"/>
          <w:szCs w:val="32"/>
          <w:highlight w:val="none"/>
          <w:lang w:val="en-US" w:eastAsia="zh-CN"/>
        </w:rPr>
        <w:t>12.5</w:t>
      </w:r>
      <w:r>
        <w:rPr>
          <w:rFonts w:hint="eastAsia" w:ascii="仿宋_GB2312" w:hAnsi="仿宋_GB2312" w:eastAsia="仿宋_GB2312" w:cs="仿宋_GB2312"/>
          <w:sz w:val="32"/>
          <w:szCs w:val="32"/>
          <w:highlight w:val="none"/>
        </w:rPr>
        <w:t>亿元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加上上解支出0.3亿元、年终结余0.2亿元以及债务还本支出300万元，支出总计13.0亿元，完成调整预算数的45.6%。</w:t>
      </w:r>
    </w:p>
    <w:p>
      <w:pPr>
        <w:keepNext w:val="0"/>
        <w:keepLines w:val="0"/>
        <w:pageBreakBefore w:val="0"/>
        <w:widowControl/>
        <w:shd w:val="clear" w:color="auto" w:fill="FFFFFF"/>
        <w:kinsoku/>
        <w:wordWrap/>
        <w:overflowPunct/>
        <w:topLinePunct w:val="0"/>
        <w:autoSpaceDE/>
        <w:bidi w:val="0"/>
        <w:adjustRightInd/>
        <w:spacing w:line="560" w:lineRule="exact"/>
        <w:ind w:firstLine="640" w:firstLineChars="200"/>
        <w:jc w:val="both"/>
        <w:textAlignment w:val="auto"/>
        <w:rPr>
          <w:rFonts w:ascii="黑体" w:hAnsi="黑体" w:eastAsia="黑体" w:cs="仿宋_GB2312"/>
          <w:sz w:val="32"/>
          <w:szCs w:val="32"/>
          <w:highlight w:val="none"/>
        </w:rPr>
      </w:pPr>
      <w:r>
        <w:rPr>
          <w:rFonts w:hint="eastAsia" w:ascii="黑体" w:hAnsi="黑体" w:eastAsia="黑体" w:cs="仿宋_GB2312"/>
          <w:sz w:val="32"/>
          <w:szCs w:val="32"/>
          <w:highlight w:val="none"/>
        </w:rPr>
        <w:t>三、国有资本经营</w:t>
      </w:r>
      <w:r>
        <w:rPr>
          <w:rFonts w:hint="eastAsia" w:ascii="黑体" w:hAnsi="黑体" w:eastAsia="黑体" w:cs="仿宋_GB2312"/>
          <w:sz w:val="32"/>
          <w:szCs w:val="32"/>
          <w:highlight w:val="none"/>
          <w:lang w:eastAsia="zh-CN"/>
        </w:rPr>
        <w:t>预算</w:t>
      </w:r>
      <w:r>
        <w:rPr>
          <w:rFonts w:hint="eastAsia" w:ascii="黑体" w:hAnsi="黑体" w:eastAsia="黑体" w:cs="仿宋_GB2312"/>
          <w:sz w:val="32"/>
          <w:szCs w:val="32"/>
          <w:highlight w:val="none"/>
        </w:rPr>
        <w:t>收支决算情况</w:t>
      </w:r>
    </w:p>
    <w:p>
      <w:pPr>
        <w:keepNext w:val="0"/>
        <w:keepLines w:val="0"/>
        <w:pageBreakBefore w:val="0"/>
        <w:widowControl/>
        <w:shd w:val="clear" w:color="auto" w:fill="FFFFFF"/>
        <w:kinsoku/>
        <w:wordWrap/>
        <w:overflowPunct/>
        <w:topLinePunct w:val="0"/>
        <w:autoSpaceDE/>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w:t>
      </w:r>
      <w:r>
        <w:rPr>
          <w:rFonts w:hint="default"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年，新区国有资本经营预算</w:t>
      </w:r>
      <w:r>
        <w:rPr>
          <w:rFonts w:hint="eastAsia" w:ascii="仿宋_GB2312" w:hAnsi="仿宋_GB2312" w:eastAsia="仿宋_GB2312" w:cs="仿宋_GB2312"/>
          <w:sz w:val="32"/>
          <w:szCs w:val="32"/>
          <w:highlight w:val="none"/>
          <w:lang w:val="en-US" w:eastAsia="zh-CN"/>
        </w:rPr>
        <w:t>转移支付</w:t>
      </w:r>
      <w:r>
        <w:rPr>
          <w:rFonts w:hint="eastAsia" w:ascii="仿宋_GB2312" w:hAnsi="仿宋_GB2312" w:eastAsia="仿宋_GB2312" w:cs="仿宋_GB2312"/>
          <w:sz w:val="32"/>
          <w:szCs w:val="32"/>
          <w:highlight w:val="none"/>
        </w:rPr>
        <w:t>收</w:t>
      </w:r>
      <w:bookmarkStart w:id="0" w:name="_GoBack"/>
      <w:bookmarkEnd w:id="0"/>
      <w:r>
        <w:rPr>
          <w:rFonts w:hint="eastAsia" w:ascii="仿宋_GB2312" w:hAnsi="仿宋_GB2312" w:eastAsia="仿宋_GB2312" w:cs="仿宋_GB2312"/>
          <w:sz w:val="32"/>
          <w:szCs w:val="32"/>
          <w:highlight w:val="none"/>
        </w:rPr>
        <w:t>入</w:t>
      </w:r>
      <w:r>
        <w:rPr>
          <w:rFonts w:hint="default" w:ascii="仿宋_GB2312" w:hAnsi="仿宋_GB2312" w:eastAsia="仿宋_GB2312" w:cs="仿宋_GB2312"/>
          <w:sz w:val="32"/>
          <w:szCs w:val="32"/>
          <w:highlight w:val="none"/>
          <w:lang w:eastAsia="zh-CN"/>
        </w:rPr>
        <w:t>2</w:t>
      </w:r>
      <w:r>
        <w:rPr>
          <w:rFonts w:hint="eastAsia" w:ascii="仿宋_GB2312" w:hAnsi="仿宋_GB2312" w:eastAsia="仿宋_GB2312" w:cs="仿宋_GB2312"/>
          <w:sz w:val="32"/>
          <w:szCs w:val="32"/>
          <w:highlight w:val="none"/>
        </w:rPr>
        <w:t>万元，</w:t>
      </w:r>
      <w:r>
        <w:rPr>
          <w:rFonts w:hint="default" w:ascii="仿宋_GB2312" w:hAnsi="仿宋_GB2312" w:eastAsia="仿宋_GB2312" w:cs="仿宋_GB2312"/>
          <w:sz w:val="32"/>
          <w:szCs w:val="32"/>
          <w:highlight w:val="none"/>
        </w:rPr>
        <w:t>上年结</w:t>
      </w:r>
      <w:r>
        <w:rPr>
          <w:rFonts w:hint="eastAsia" w:ascii="仿宋_GB2312" w:hAnsi="仿宋_GB2312" w:eastAsia="仿宋_GB2312" w:cs="仿宋_GB2312"/>
          <w:sz w:val="32"/>
          <w:szCs w:val="32"/>
          <w:highlight w:val="none"/>
          <w:lang w:val="en-US" w:eastAsia="zh-CN"/>
        </w:rPr>
        <w:t>余1万</w:t>
      </w:r>
      <w:r>
        <w:rPr>
          <w:rFonts w:hint="default" w:ascii="仿宋_GB2312" w:hAnsi="仿宋_GB2312" w:eastAsia="仿宋_GB2312" w:cs="仿宋_GB2312"/>
          <w:sz w:val="32"/>
          <w:szCs w:val="32"/>
          <w:highlight w:val="none"/>
        </w:rPr>
        <w:t>元，收入总计</w:t>
      </w:r>
      <w:r>
        <w:rPr>
          <w:rFonts w:hint="default" w:ascii="仿宋_GB2312" w:hAnsi="仿宋_GB2312" w:eastAsia="仿宋_GB2312" w:cs="仿宋_GB2312"/>
          <w:sz w:val="32"/>
          <w:szCs w:val="32"/>
          <w:highlight w:val="none"/>
          <w:lang w:eastAsia="zh-CN"/>
        </w:rPr>
        <w:t>3</w:t>
      </w:r>
      <w:r>
        <w:rPr>
          <w:rFonts w:hint="default"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国有资本经营预算支出</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万元。收支相抵</w:t>
      </w:r>
      <w:r>
        <w:rPr>
          <w:rFonts w:hint="eastAsia" w:ascii="仿宋_GB2312" w:hAnsi="仿宋_GB2312" w:eastAsia="仿宋_GB2312" w:cs="仿宋_GB2312"/>
          <w:sz w:val="32"/>
          <w:szCs w:val="32"/>
          <w:highlight w:val="none"/>
          <w:lang w:eastAsia="zh-CN"/>
        </w:rPr>
        <w:t>后结余为</w:t>
      </w:r>
      <w:r>
        <w:rPr>
          <w:rFonts w:hint="eastAsia" w:ascii="仿宋_GB2312" w:hAnsi="仿宋_GB2312" w:eastAsia="仿宋_GB2312" w:cs="仿宋_GB2312"/>
          <w:sz w:val="32"/>
          <w:szCs w:val="32"/>
          <w:highlight w:val="none"/>
          <w:lang w:val="en-US" w:eastAsia="zh-CN"/>
        </w:rPr>
        <w:t>0万元</w:t>
      </w:r>
      <w:r>
        <w:rPr>
          <w:rFonts w:hint="eastAsia" w:ascii="仿宋_GB2312" w:hAnsi="仿宋_GB2312" w:eastAsia="仿宋_GB2312" w:cs="仿宋_GB2312"/>
          <w:sz w:val="32"/>
          <w:szCs w:val="32"/>
          <w:highlight w:val="none"/>
        </w:rPr>
        <w:t>。</w:t>
      </w:r>
    </w:p>
    <w:p>
      <w:pPr>
        <w:keepNext w:val="0"/>
        <w:keepLines w:val="0"/>
        <w:pageBreakBefore w:val="0"/>
        <w:widowControl w:val="0"/>
        <w:shd w:val="clear" w:color="auto" w:fill="FFFFFF"/>
        <w:kinsoku/>
        <w:wordWrap/>
        <w:overflowPunct/>
        <w:topLinePunct w:val="0"/>
        <w:autoSpaceDE/>
        <w:autoSpaceDN/>
        <w:bidi w:val="0"/>
        <w:adjustRightInd/>
        <w:spacing w:line="560" w:lineRule="exact"/>
        <w:ind w:firstLine="640" w:firstLineChars="200"/>
        <w:jc w:val="both"/>
        <w:textAlignment w:val="auto"/>
        <w:rPr>
          <w:rFonts w:ascii="黑体" w:hAnsi="黑体" w:eastAsia="黑体" w:cs="仿宋_GB2312"/>
          <w:sz w:val="32"/>
          <w:szCs w:val="32"/>
          <w:highlight w:val="none"/>
        </w:rPr>
      </w:pPr>
      <w:r>
        <w:rPr>
          <w:rFonts w:hint="eastAsia" w:ascii="黑体" w:hAnsi="黑体" w:eastAsia="黑体" w:cs="仿宋_GB2312"/>
          <w:sz w:val="32"/>
          <w:szCs w:val="32"/>
          <w:highlight w:val="none"/>
        </w:rPr>
        <w:t>四、社保基金</w:t>
      </w:r>
      <w:r>
        <w:rPr>
          <w:rFonts w:hint="eastAsia" w:ascii="黑体" w:hAnsi="黑体" w:eastAsia="黑体" w:cs="仿宋_GB2312"/>
          <w:sz w:val="32"/>
          <w:szCs w:val="32"/>
          <w:highlight w:val="none"/>
          <w:lang w:eastAsia="zh-CN"/>
        </w:rPr>
        <w:t>预算</w:t>
      </w:r>
      <w:r>
        <w:rPr>
          <w:rFonts w:hint="eastAsia" w:ascii="黑体" w:hAnsi="黑体" w:eastAsia="黑体" w:cs="仿宋_GB2312"/>
          <w:sz w:val="32"/>
          <w:szCs w:val="32"/>
          <w:highlight w:val="none"/>
        </w:rPr>
        <w:t>收支决算情况</w:t>
      </w:r>
    </w:p>
    <w:p>
      <w:pPr>
        <w:keepNext w:val="0"/>
        <w:keepLines w:val="0"/>
        <w:pageBreakBefore w:val="0"/>
        <w:widowControl w:val="0"/>
        <w:shd w:val="clear" w:color="auto" w:fill="FFFFFF"/>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社保基金决算由市财政局统一编制，按规定新区不需另行编制社保基金决算。</w:t>
      </w:r>
    </w:p>
    <w:p>
      <w:pPr>
        <w:keepNext w:val="0"/>
        <w:keepLines w:val="0"/>
        <w:pageBreakBefore w:val="0"/>
        <w:widowControl w:val="0"/>
        <w:suppressLineNumbers w:val="0"/>
        <w:kinsoku/>
        <w:wordWrap/>
        <w:overflowPunct/>
        <w:topLinePunct w:val="0"/>
        <w:autoSpaceDE/>
        <w:autoSpaceDN/>
        <w:bidi w:val="0"/>
        <w:adjustRightInd/>
        <w:spacing w:line="560" w:lineRule="exact"/>
        <w:ind w:firstLine="640" w:firstLineChars="200"/>
        <w:jc w:val="both"/>
        <w:textAlignment w:val="auto"/>
        <w:rPr>
          <w:rFonts w:hint="eastAsia" w:ascii="黑体" w:hAnsi="黑体" w:eastAsia="黑体" w:cs="仿宋_GB2312"/>
          <w:sz w:val="32"/>
          <w:szCs w:val="32"/>
          <w:highlight w:val="none"/>
        </w:rPr>
      </w:pPr>
      <w:r>
        <w:rPr>
          <w:rFonts w:hint="eastAsia" w:ascii="黑体" w:hAnsi="黑体" w:eastAsia="黑体" w:cs="仿宋_GB2312"/>
          <w:color w:val="000000"/>
          <w:kern w:val="2"/>
          <w:sz w:val="32"/>
          <w:szCs w:val="32"/>
          <w:highlight w:val="none"/>
          <w:lang w:val="en-US" w:eastAsia="zh-CN" w:bidi="ar"/>
        </w:rPr>
        <w:t>五、部门决算情况</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2024年，新区部门决算收入70.8亿元，比2023年减少25.0%，部门决算支出71.3亿元，比2023年减少23.7%，动用上年结转结余0.5亿元，主要为新区公立医院及住建部门使用的非财政拨款结转结余。</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 w:eastAsia="仿宋_GB2312" w:cs="Times New Roman"/>
          <w:color w:val="000000"/>
          <w:kern w:val="2"/>
          <w:sz w:val="32"/>
          <w:szCs w:val="32"/>
          <w:highlight w:val="none"/>
          <w:lang w:val="en-US" w:eastAsia="zh-CN" w:bidi="ar-SA"/>
        </w:rPr>
      </w:pPr>
      <w:r>
        <w:rPr>
          <w:rFonts w:hint="eastAsia" w:ascii="仿宋_GB2312" w:hAnsi="仿宋_GB2312" w:eastAsia="仿宋_GB2312" w:cs="仿宋_GB2312"/>
          <w:sz w:val="32"/>
          <w:szCs w:val="32"/>
          <w:highlight w:val="none"/>
          <w:lang w:val="en-US" w:eastAsia="zh-CN"/>
        </w:rPr>
        <w:t>2024年部门决算编制的变化和特点：</w:t>
      </w:r>
      <w:r>
        <w:rPr>
          <w:rFonts w:hint="eastAsia" w:ascii="仿宋_GB2312" w:hAnsi="仿宋_GB2312" w:eastAsia="仿宋_GB2312" w:cs="仿宋_GB2312"/>
          <w:b/>
          <w:bCs/>
          <w:sz w:val="32"/>
          <w:szCs w:val="32"/>
          <w:highlight w:val="none"/>
          <w:lang w:val="en-US" w:eastAsia="zh-CN"/>
        </w:rPr>
        <w:t>一是加强决算试编报指导。</w:t>
      </w:r>
      <w:r>
        <w:rPr>
          <w:rFonts w:hint="eastAsia" w:ascii="仿宋_GB2312" w:hAnsi="仿宋_GB2312" w:eastAsia="仿宋_GB2312" w:cs="仿宋_GB2312"/>
          <w:sz w:val="32"/>
          <w:szCs w:val="32"/>
          <w:highlight w:val="none"/>
          <w:lang w:val="en-US" w:eastAsia="zh-CN"/>
        </w:rPr>
        <w:t>新区通过智慧财政预算管理一体化系统开展2024年度部门决算编报工作。一方面，积极下发相关操作指南，督促各预算单位对基础库进行信息维护，另一方面，通过预编2024年决算数据，熟悉智慧财政部门决算管理系统流程，为正式部门决算编报奠定坚实基础。</w:t>
      </w:r>
      <w:r>
        <w:rPr>
          <w:rFonts w:hint="eastAsia" w:ascii="仿宋_GB2312" w:hAnsi="仿宋_GB2312" w:eastAsia="仿宋_GB2312" w:cs="仿宋_GB2312"/>
          <w:b/>
          <w:bCs/>
          <w:sz w:val="32"/>
          <w:szCs w:val="32"/>
          <w:highlight w:val="none"/>
          <w:lang w:val="en-US" w:eastAsia="zh-CN"/>
        </w:rPr>
        <w:t>二是重视决算编报培训。</w:t>
      </w:r>
      <w:r>
        <w:rPr>
          <w:rFonts w:hint="eastAsia" w:ascii="仿宋_GB2312" w:hAnsi="仿宋_GB2312" w:eastAsia="仿宋_GB2312" w:cs="仿宋_GB2312"/>
          <w:sz w:val="32"/>
          <w:szCs w:val="32"/>
          <w:highlight w:val="none"/>
          <w:lang w:val="en-US" w:eastAsia="zh-CN"/>
        </w:rPr>
        <w:t>新区财政部门通过举办部门决算工作布置会方式积极开展决算培训工作，结合《深圳市财政局关于2024年度部门决算工作的通知》（深财库函〔2025〕2号）要求，邀请工程师详细讲解部门决算编报口径、重点难点内容及系统操作流程，重点培训部门决算系统操作注意事项、变动内容、往年审核中常见问题，确保决算编报人员准确掌握编报口径，熟练运用决算系统。</w:t>
      </w:r>
      <w:r>
        <w:rPr>
          <w:rFonts w:hint="eastAsia" w:ascii="仿宋_GB2312" w:hAnsi="仿宋_GB2312" w:eastAsia="仿宋_GB2312" w:cs="仿宋_GB2312"/>
          <w:b/>
          <w:bCs/>
          <w:sz w:val="32"/>
          <w:szCs w:val="32"/>
          <w:highlight w:val="none"/>
          <w:lang w:val="en-US" w:eastAsia="zh-CN"/>
        </w:rPr>
        <w:t>三是狠抓决算数据核对。</w:t>
      </w:r>
      <w:r>
        <w:rPr>
          <w:rFonts w:hint="eastAsia" w:ascii="仿宋_GB2312" w:hAnsi="仿宋_GB2312" w:eastAsia="仿宋_GB2312" w:cs="仿宋_GB2312"/>
          <w:sz w:val="32"/>
          <w:szCs w:val="32"/>
          <w:highlight w:val="none"/>
          <w:lang w:val="en-US" w:eastAsia="zh-CN"/>
        </w:rPr>
        <w:t>通过开展账表一致性核查,对各预算单位部门决算报表的数据真实性、准确性严格把关，做到账账相符、账表一致。</w:t>
      </w:r>
    </w:p>
    <w:p>
      <w:pPr>
        <w:keepNext w:val="0"/>
        <w:keepLines w:val="0"/>
        <w:pageBreakBefore w:val="0"/>
        <w:widowControl w:val="0"/>
        <w:suppressLineNumbers w:val="0"/>
        <w:kinsoku/>
        <w:wordWrap/>
        <w:overflowPunct/>
        <w:topLinePunct w:val="0"/>
        <w:autoSpaceDE/>
        <w:bidi w:val="0"/>
        <w:adjustRightInd/>
        <w:spacing w:line="560" w:lineRule="exact"/>
        <w:ind w:firstLine="640" w:firstLineChars="200"/>
        <w:jc w:val="both"/>
        <w:textAlignment w:val="auto"/>
        <w:rPr>
          <w:rFonts w:ascii="Times New Roman" w:hAnsi="Times New Roman" w:eastAsia="宋体" w:cs="Times New Roman"/>
          <w:sz w:val="32"/>
          <w:szCs w:val="32"/>
          <w:highlight w:val="none"/>
        </w:rPr>
      </w:pPr>
      <w:r>
        <w:rPr>
          <w:rFonts w:hint="eastAsia" w:ascii="黑体" w:hAnsi="黑体" w:eastAsia="黑体" w:cs="仿宋_GB2312"/>
          <w:sz w:val="32"/>
          <w:szCs w:val="32"/>
          <w:highlight w:val="none"/>
          <w:lang w:val="en-US" w:eastAsia="zh-CN"/>
        </w:rPr>
        <w:t>六、</w:t>
      </w:r>
      <w:r>
        <w:rPr>
          <w:rFonts w:ascii="黑体" w:hAnsi="宋体" w:eastAsia="黑体" w:cs="黑体"/>
          <w:color w:val="000000"/>
          <w:kern w:val="0"/>
          <w:sz w:val="32"/>
          <w:szCs w:val="32"/>
          <w:highlight w:val="none"/>
          <w:lang w:val="en-US" w:eastAsia="zh-CN" w:bidi="ar"/>
        </w:rPr>
        <w:t>预算调整情况</w:t>
      </w:r>
    </w:p>
    <w:p>
      <w:pPr>
        <w:keepNext w:val="0"/>
        <w:keepLines w:val="0"/>
        <w:pageBreakBefore w:val="0"/>
        <w:widowControl w:val="0"/>
        <w:suppressLineNumbers w:val="0"/>
        <w:kinsoku/>
        <w:wordWrap/>
        <w:overflowPunct/>
        <w:topLinePunct w:val="0"/>
        <w:autoSpaceDE/>
        <w:bidi w:val="0"/>
        <w:adjustRightInd/>
        <w:snapToGrid/>
        <w:spacing w:line="560" w:lineRule="exact"/>
        <w:ind w:firstLine="640" w:firstLineChars="200"/>
        <w:jc w:val="both"/>
        <w:textAlignment w:val="auto"/>
        <w:rPr>
          <w:rFonts w:ascii="仿宋_GB2312" w:hAnsi="宋体" w:eastAsia="仿宋_GB2312" w:cs="仿宋_GB2312"/>
          <w:color w:val="000000"/>
          <w:kern w:val="0"/>
          <w:sz w:val="32"/>
          <w:szCs w:val="32"/>
          <w:highlight w:val="none"/>
          <w:lang w:val="en-US" w:eastAsia="zh-CN" w:bidi="ar"/>
        </w:rPr>
      </w:pPr>
      <w:r>
        <w:rPr>
          <w:rFonts w:ascii="仿宋_GB2312" w:hAnsi="宋体" w:eastAsia="仿宋_GB2312" w:cs="仿宋_GB2312"/>
          <w:color w:val="000000"/>
          <w:kern w:val="0"/>
          <w:sz w:val="32"/>
          <w:szCs w:val="32"/>
          <w:highlight w:val="none"/>
          <w:lang w:val="en-US" w:eastAsia="zh-CN" w:bidi="ar"/>
        </w:rPr>
        <w:t>202</w:t>
      </w:r>
      <w:r>
        <w:rPr>
          <w:rFonts w:hint="eastAsia" w:ascii="仿宋_GB2312" w:hAnsi="宋体" w:eastAsia="仿宋_GB2312" w:cs="仿宋_GB2312"/>
          <w:color w:val="000000"/>
          <w:kern w:val="0"/>
          <w:sz w:val="32"/>
          <w:szCs w:val="32"/>
          <w:highlight w:val="none"/>
          <w:lang w:val="en-US" w:eastAsia="zh-CN" w:bidi="ar"/>
        </w:rPr>
        <w:t>4</w:t>
      </w:r>
      <w:r>
        <w:rPr>
          <w:rFonts w:ascii="仿宋_GB2312" w:hAnsi="宋体" w:eastAsia="仿宋_GB2312" w:cs="仿宋_GB2312"/>
          <w:color w:val="000000"/>
          <w:kern w:val="0"/>
          <w:sz w:val="32"/>
          <w:szCs w:val="32"/>
          <w:highlight w:val="none"/>
          <w:lang w:val="en-US" w:eastAsia="zh-CN" w:bidi="ar"/>
        </w:rPr>
        <w:t>年，</w:t>
      </w:r>
      <w:r>
        <w:rPr>
          <w:rFonts w:hint="eastAsia" w:ascii="仿宋_GB2312" w:hAnsi="宋体" w:eastAsia="仿宋_GB2312" w:cs="仿宋_GB2312"/>
          <w:color w:val="000000"/>
          <w:kern w:val="0"/>
          <w:sz w:val="32"/>
          <w:szCs w:val="32"/>
          <w:highlight w:val="none"/>
          <w:lang w:val="en-US" w:eastAsia="zh-CN" w:bidi="ar"/>
        </w:rPr>
        <w:t>新区</w:t>
      </w:r>
      <w:r>
        <w:rPr>
          <w:rFonts w:ascii="仿宋_GB2312" w:hAnsi="宋体" w:eastAsia="仿宋_GB2312" w:cs="仿宋_GB2312"/>
          <w:color w:val="000000"/>
          <w:kern w:val="0"/>
          <w:sz w:val="32"/>
          <w:szCs w:val="32"/>
          <w:highlight w:val="none"/>
          <w:lang w:val="en-US" w:eastAsia="zh-CN" w:bidi="ar"/>
        </w:rPr>
        <w:t>财政进行了</w:t>
      </w:r>
      <w:r>
        <w:rPr>
          <w:rFonts w:hint="default" w:ascii="仿宋_GB2312" w:hAnsi="宋体" w:eastAsia="仿宋_GB2312" w:cs="仿宋_GB2312"/>
          <w:color w:val="000000"/>
          <w:kern w:val="0"/>
          <w:sz w:val="32"/>
          <w:szCs w:val="32"/>
          <w:highlight w:val="none"/>
          <w:lang w:eastAsia="zh-CN" w:bidi="ar"/>
        </w:rPr>
        <w:t>一</w:t>
      </w:r>
      <w:r>
        <w:rPr>
          <w:rFonts w:ascii="仿宋_GB2312" w:hAnsi="宋体" w:eastAsia="仿宋_GB2312" w:cs="仿宋_GB2312"/>
          <w:color w:val="000000"/>
          <w:kern w:val="0"/>
          <w:sz w:val="32"/>
          <w:szCs w:val="32"/>
          <w:highlight w:val="none"/>
          <w:lang w:val="en-US" w:eastAsia="zh-CN" w:bidi="ar"/>
        </w:rPr>
        <w:t>次预算调整，具体调整如下：</w:t>
      </w:r>
    </w:p>
    <w:p>
      <w:pPr>
        <w:keepNext w:val="0"/>
        <w:keepLines w:val="0"/>
        <w:pageBreakBefore w:val="0"/>
        <w:widowControl/>
        <w:kinsoku/>
        <w:wordWrap/>
        <w:overflowPunct/>
        <w:topLinePunct w:val="0"/>
        <w:autoSpaceDE/>
        <w:bidi w:val="0"/>
        <w:adjustRightInd/>
        <w:snapToGrid/>
        <w:spacing w:line="560" w:lineRule="exact"/>
        <w:ind w:firstLine="640" w:firstLineChars="200"/>
        <w:jc w:val="both"/>
        <w:textAlignment w:val="auto"/>
        <w:rPr>
          <w:rFonts w:hint="default" w:ascii="仿宋_GB2312" w:hAnsi="宋体" w:eastAsia="仿宋_GB2312" w:cs="仿宋_GB2312"/>
          <w:color w:val="auto"/>
          <w:kern w:val="0"/>
          <w:sz w:val="32"/>
          <w:szCs w:val="32"/>
          <w:highlight w:val="none"/>
          <w:lang w:val="en-US" w:eastAsia="zh-CN" w:bidi="ar"/>
        </w:rPr>
      </w:pPr>
      <w:r>
        <w:rPr>
          <w:rFonts w:hint="eastAsia" w:ascii="仿宋_GB2312" w:hAnsi="宋体" w:eastAsia="仿宋_GB2312" w:cs="仿宋_GB2312"/>
          <w:color w:val="auto"/>
          <w:kern w:val="0"/>
          <w:sz w:val="32"/>
          <w:szCs w:val="32"/>
          <w:highlight w:val="none"/>
          <w:lang w:val="en-US" w:eastAsia="zh-CN" w:bidi="ar"/>
        </w:rPr>
        <w:t>经深圳市第七届人民代表大会常务委员会第三十三次会议</w:t>
      </w:r>
      <w:r>
        <w:rPr>
          <w:rFonts w:hint="default" w:ascii="仿宋_GB2312" w:hAnsi="宋体" w:eastAsia="仿宋_GB2312" w:cs="仿宋_GB2312"/>
          <w:color w:val="auto"/>
          <w:kern w:val="0"/>
          <w:sz w:val="32"/>
          <w:szCs w:val="32"/>
          <w:highlight w:val="none"/>
          <w:lang w:val="en-US" w:eastAsia="zh-CN" w:bidi="ar"/>
        </w:rPr>
        <w:t>审查批准，根据新区202</w:t>
      </w:r>
      <w:r>
        <w:rPr>
          <w:rFonts w:hint="eastAsia" w:ascii="仿宋_GB2312" w:hAnsi="宋体" w:eastAsia="仿宋_GB2312" w:cs="仿宋_GB2312"/>
          <w:color w:val="auto"/>
          <w:kern w:val="0"/>
          <w:sz w:val="32"/>
          <w:szCs w:val="32"/>
          <w:highlight w:val="none"/>
          <w:lang w:val="en-US" w:eastAsia="zh-CN" w:bidi="ar"/>
        </w:rPr>
        <w:t>4</w:t>
      </w:r>
      <w:r>
        <w:rPr>
          <w:rFonts w:hint="default" w:ascii="仿宋_GB2312" w:hAnsi="宋体" w:eastAsia="仿宋_GB2312" w:cs="仿宋_GB2312"/>
          <w:color w:val="auto"/>
          <w:kern w:val="0"/>
          <w:sz w:val="32"/>
          <w:szCs w:val="32"/>
          <w:highlight w:val="none"/>
          <w:lang w:val="en-US" w:eastAsia="zh-CN" w:bidi="ar"/>
        </w:rPr>
        <w:t>年</w:t>
      </w:r>
      <w:r>
        <w:rPr>
          <w:rFonts w:hint="eastAsia" w:ascii="仿宋_GB2312" w:hAnsi="宋体" w:eastAsia="仿宋_GB2312" w:cs="仿宋_GB2312"/>
          <w:color w:val="auto"/>
          <w:kern w:val="0"/>
          <w:sz w:val="32"/>
          <w:szCs w:val="32"/>
          <w:highlight w:val="none"/>
          <w:lang w:val="en-US" w:eastAsia="zh-CN" w:bidi="ar"/>
        </w:rPr>
        <w:t>新增</w:t>
      </w:r>
      <w:r>
        <w:rPr>
          <w:rFonts w:hint="default" w:ascii="仿宋_GB2312" w:hAnsi="宋体" w:eastAsia="仿宋_GB2312" w:cs="仿宋_GB2312"/>
          <w:color w:val="auto"/>
          <w:kern w:val="0"/>
          <w:sz w:val="32"/>
          <w:szCs w:val="32"/>
          <w:highlight w:val="none"/>
          <w:lang w:val="en-US" w:eastAsia="zh-CN" w:bidi="ar"/>
        </w:rPr>
        <w:t>地方政府</w:t>
      </w:r>
      <w:r>
        <w:rPr>
          <w:rFonts w:hint="eastAsia" w:ascii="仿宋_GB2312" w:hAnsi="宋体" w:eastAsia="仿宋_GB2312" w:cs="仿宋_GB2312"/>
          <w:color w:val="auto"/>
          <w:kern w:val="0"/>
          <w:sz w:val="32"/>
          <w:szCs w:val="32"/>
          <w:highlight w:val="none"/>
          <w:lang w:val="en-US" w:eastAsia="zh-CN" w:bidi="ar"/>
        </w:rPr>
        <w:t>专项</w:t>
      </w:r>
      <w:r>
        <w:rPr>
          <w:rFonts w:hint="default" w:ascii="仿宋_GB2312" w:hAnsi="宋体" w:eastAsia="仿宋_GB2312" w:cs="仿宋_GB2312"/>
          <w:color w:val="auto"/>
          <w:kern w:val="0"/>
          <w:sz w:val="32"/>
          <w:szCs w:val="32"/>
          <w:highlight w:val="none"/>
          <w:lang w:val="en-US" w:eastAsia="zh-CN" w:bidi="ar"/>
        </w:rPr>
        <w:t>债券发行</w:t>
      </w:r>
      <w:r>
        <w:rPr>
          <w:rFonts w:hint="eastAsia" w:ascii="仿宋_GB2312" w:hAnsi="宋体" w:eastAsia="仿宋_GB2312" w:cs="仿宋_GB2312"/>
          <w:color w:val="auto"/>
          <w:kern w:val="0"/>
          <w:sz w:val="32"/>
          <w:szCs w:val="32"/>
          <w:highlight w:val="none"/>
          <w:lang w:val="en-US" w:eastAsia="zh-CN" w:bidi="ar"/>
        </w:rPr>
        <w:t>情况</w:t>
      </w:r>
      <w:r>
        <w:rPr>
          <w:rFonts w:hint="default" w:ascii="仿宋_GB2312" w:hAnsi="宋体" w:eastAsia="仿宋_GB2312" w:cs="仿宋_GB2312"/>
          <w:color w:val="auto"/>
          <w:kern w:val="0"/>
          <w:sz w:val="32"/>
          <w:szCs w:val="32"/>
          <w:highlight w:val="none"/>
          <w:lang w:val="en-US" w:eastAsia="zh-CN" w:bidi="ar"/>
        </w:rPr>
        <w:t>，</w:t>
      </w:r>
      <w:r>
        <w:rPr>
          <w:rFonts w:hint="eastAsia" w:ascii="仿宋_GB2312" w:hAnsi="宋体" w:eastAsia="仿宋_GB2312" w:cs="仿宋_GB2312"/>
          <w:color w:val="auto"/>
          <w:kern w:val="0"/>
          <w:sz w:val="32"/>
          <w:szCs w:val="32"/>
          <w:highlight w:val="none"/>
          <w:lang w:val="en-US" w:eastAsia="zh-CN" w:bidi="ar"/>
        </w:rPr>
        <w:t>将政府性基金预算总收入由26.2亿元调增至28.5亿元，其中：地方政府专项债务转贷收入由1.</w:t>
      </w:r>
      <w:r>
        <w:rPr>
          <w:rFonts w:hint="default" w:ascii="仿宋_GB2312" w:hAnsi="宋体" w:eastAsia="仿宋_GB2312" w:cs="仿宋_GB2312"/>
          <w:color w:val="auto"/>
          <w:kern w:val="0"/>
          <w:sz w:val="32"/>
          <w:szCs w:val="32"/>
          <w:highlight w:val="none"/>
          <w:lang w:val="en-US" w:eastAsia="zh-CN" w:bidi="ar"/>
        </w:rPr>
        <w:t>5</w:t>
      </w:r>
      <w:r>
        <w:rPr>
          <w:rFonts w:hint="eastAsia" w:ascii="仿宋_GB2312" w:hAnsi="宋体" w:eastAsia="仿宋_GB2312" w:cs="仿宋_GB2312"/>
          <w:color w:val="auto"/>
          <w:kern w:val="0"/>
          <w:sz w:val="32"/>
          <w:szCs w:val="32"/>
          <w:highlight w:val="none"/>
          <w:lang w:val="en-US" w:eastAsia="zh-CN" w:bidi="ar"/>
        </w:rPr>
        <w:t>亿元调增至3.</w:t>
      </w:r>
      <w:r>
        <w:rPr>
          <w:rFonts w:hint="default" w:ascii="仿宋_GB2312" w:hAnsi="宋体" w:eastAsia="仿宋_GB2312" w:cs="仿宋_GB2312"/>
          <w:color w:val="auto"/>
          <w:kern w:val="0"/>
          <w:sz w:val="32"/>
          <w:szCs w:val="32"/>
          <w:highlight w:val="none"/>
          <w:lang w:val="en-US" w:eastAsia="zh-CN" w:bidi="ar"/>
        </w:rPr>
        <w:t>8</w:t>
      </w:r>
      <w:r>
        <w:rPr>
          <w:rFonts w:hint="eastAsia" w:ascii="仿宋_GB2312" w:hAnsi="宋体" w:eastAsia="仿宋_GB2312" w:cs="仿宋_GB2312"/>
          <w:color w:val="auto"/>
          <w:kern w:val="0"/>
          <w:sz w:val="32"/>
          <w:szCs w:val="32"/>
          <w:highlight w:val="none"/>
          <w:lang w:val="en-US" w:eastAsia="zh-CN" w:bidi="ar"/>
        </w:rPr>
        <w:t>亿元，其他收入保持不变</w:t>
      </w:r>
      <w:r>
        <w:rPr>
          <w:rFonts w:hint="default" w:ascii="仿宋_GB2312" w:hAnsi="宋体" w:eastAsia="仿宋_GB2312" w:cs="仿宋_GB2312"/>
          <w:color w:val="auto"/>
          <w:kern w:val="0"/>
          <w:sz w:val="32"/>
          <w:szCs w:val="32"/>
          <w:highlight w:val="none"/>
          <w:lang w:val="en-US" w:eastAsia="zh-CN" w:bidi="ar"/>
        </w:rPr>
        <w:t>。根据收支平衡原则，</w:t>
      </w:r>
      <w:r>
        <w:rPr>
          <w:rFonts w:hint="eastAsia" w:ascii="仿宋_GB2312" w:hAnsi="宋体" w:eastAsia="仿宋_GB2312" w:cs="仿宋_GB2312"/>
          <w:color w:val="auto"/>
          <w:kern w:val="0"/>
          <w:sz w:val="32"/>
          <w:szCs w:val="32"/>
          <w:highlight w:val="none"/>
          <w:lang w:val="en-US" w:eastAsia="zh-CN" w:bidi="ar"/>
        </w:rPr>
        <w:t>政府性基金预算总</w:t>
      </w:r>
      <w:r>
        <w:rPr>
          <w:rFonts w:hint="default" w:ascii="仿宋_GB2312" w:hAnsi="宋体" w:eastAsia="仿宋_GB2312" w:cs="仿宋_GB2312"/>
          <w:color w:val="auto"/>
          <w:kern w:val="0"/>
          <w:sz w:val="32"/>
          <w:szCs w:val="32"/>
          <w:highlight w:val="none"/>
          <w:lang w:val="en-US" w:eastAsia="zh-CN" w:bidi="ar"/>
        </w:rPr>
        <w:t>支出</w:t>
      </w:r>
      <w:r>
        <w:rPr>
          <w:rFonts w:hint="eastAsia" w:ascii="仿宋_GB2312" w:hAnsi="宋体" w:eastAsia="仿宋_GB2312" w:cs="仿宋_GB2312"/>
          <w:color w:val="auto"/>
          <w:kern w:val="0"/>
          <w:sz w:val="32"/>
          <w:szCs w:val="32"/>
          <w:highlight w:val="none"/>
          <w:lang w:val="en-US" w:eastAsia="zh-CN" w:bidi="ar"/>
        </w:rPr>
        <w:t>由26.2亿元调增至28.5亿元</w:t>
      </w:r>
      <w:r>
        <w:rPr>
          <w:rFonts w:hint="default" w:ascii="仿宋_GB2312" w:hAnsi="宋体" w:eastAsia="仿宋_GB2312" w:cs="仿宋_GB2312"/>
          <w:color w:val="auto"/>
          <w:kern w:val="0"/>
          <w:sz w:val="32"/>
          <w:szCs w:val="32"/>
          <w:highlight w:val="none"/>
          <w:lang w:val="en-US" w:eastAsia="zh-CN" w:bidi="ar"/>
        </w:rPr>
        <w:t>，</w:t>
      </w:r>
      <w:r>
        <w:rPr>
          <w:rFonts w:hint="eastAsia" w:ascii="仿宋_GB2312" w:hAnsi="宋体" w:eastAsia="仿宋_GB2312" w:cs="仿宋_GB2312"/>
          <w:color w:val="auto"/>
          <w:kern w:val="0"/>
          <w:sz w:val="32"/>
          <w:szCs w:val="32"/>
          <w:highlight w:val="none"/>
          <w:lang w:val="en-US" w:eastAsia="zh-CN" w:bidi="ar"/>
        </w:rPr>
        <w:t>其中：其他地方自行试点项目收益专项债券收入安排的支出由3.</w:t>
      </w:r>
      <w:r>
        <w:rPr>
          <w:rFonts w:hint="default" w:ascii="仿宋_GB2312" w:hAnsi="宋体" w:eastAsia="仿宋_GB2312" w:cs="仿宋_GB2312"/>
          <w:color w:val="auto"/>
          <w:kern w:val="0"/>
          <w:sz w:val="32"/>
          <w:szCs w:val="32"/>
          <w:highlight w:val="none"/>
          <w:lang w:val="en-US" w:eastAsia="zh-CN" w:bidi="ar"/>
        </w:rPr>
        <w:t>1</w:t>
      </w:r>
      <w:r>
        <w:rPr>
          <w:rFonts w:hint="eastAsia" w:ascii="仿宋_GB2312" w:hAnsi="宋体" w:eastAsia="仿宋_GB2312" w:cs="仿宋_GB2312"/>
          <w:color w:val="auto"/>
          <w:kern w:val="0"/>
          <w:sz w:val="32"/>
          <w:szCs w:val="32"/>
          <w:highlight w:val="none"/>
          <w:lang w:val="en-US" w:eastAsia="zh-CN" w:bidi="ar"/>
        </w:rPr>
        <w:t>亿元调增至5.</w:t>
      </w:r>
      <w:r>
        <w:rPr>
          <w:rFonts w:hint="default" w:ascii="仿宋_GB2312" w:hAnsi="宋体" w:eastAsia="仿宋_GB2312" w:cs="仿宋_GB2312"/>
          <w:color w:val="auto"/>
          <w:kern w:val="0"/>
          <w:sz w:val="32"/>
          <w:szCs w:val="32"/>
          <w:highlight w:val="none"/>
          <w:lang w:val="en-US" w:eastAsia="zh-CN" w:bidi="ar"/>
        </w:rPr>
        <w:t>4</w:t>
      </w:r>
      <w:r>
        <w:rPr>
          <w:rFonts w:hint="eastAsia" w:ascii="仿宋_GB2312" w:hAnsi="宋体" w:eastAsia="仿宋_GB2312" w:cs="仿宋_GB2312"/>
          <w:color w:val="auto"/>
          <w:kern w:val="0"/>
          <w:sz w:val="32"/>
          <w:szCs w:val="32"/>
          <w:highlight w:val="none"/>
          <w:lang w:val="en-US" w:eastAsia="zh-CN" w:bidi="ar"/>
        </w:rPr>
        <w:t>亿元，</w:t>
      </w:r>
      <w:r>
        <w:rPr>
          <w:rFonts w:hint="default" w:ascii="仿宋_GB2312" w:hAnsi="宋体" w:eastAsia="仿宋_GB2312" w:cs="仿宋_GB2312"/>
          <w:color w:val="auto"/>
          <w:kern w:val="0"/>
          <w:sz w:val="32"/>
          <w:szCs w:val="32"/>
          <w:highlight w:val="none"/>
          <w:lang w:val="en-US" w:eastAsia="zh-CN" w:bidi="ar"/>
        </w:rPr>
        <w:t>主要</w:t>
      </w:r>
      <w:r>
        <w:rPr>
          <w:rFonts w:hint="eastAsia" w:ascii="仿宋_GB2312" w:hAnsi="宋体" w:eastAsia="仿宋_GB2312" w:cs="仿宋_GB2312"/>
          <w:color w:val="auto"/>
          <w:kern w:val="0"/>
          <w:sz w:val="32"/>
          <w:szCs w:val="32"/>
          <w:highlight w:val="none"/>
          <w:lang w:val="en-US" w:eastAsia="zh-CN" w:bidi="ar"/>
        </w:rPr>
        <w:t>用于新大客运枢纽</w:t>
      </w:r>
      <w:r>
        <w:rPr>
          <w:rFonts w:hint="default" w:ascii="仿宋_GB2312" w:hAnsi="宋体" w:eastAsia="仿宋_GB2312" w:cs="仿宋_GB2312"/>
          <w:color w:val="auto"/>
          <w:kern w:val="0"/>
          <w:sz w:val="32"/>
          <w:szCs w:val="32"/>
          <w:highlight w:val="none"/>
          <w:lang w:val="en-US" w:eastAsia="zh-CN" w:bidi="ar"/>
        </w:rPr>
        <w:t>、</w:t>
      </w:r>
      <w:r>
        <w:rPr>
          <w:rFonts w:hint="eastAsia" w:ascii="仿宋_GB2312" w:hAnsi="宋体" w:eastAsia="仿宋_GB2312" w:cs="仿宋_GB2312"/>
          <w:color w:val="auto"/>
          <w:kern w:val="0"/>
          <w:sz w:val="32"/>
          <w:szCs w:val="32"/>
          <w:highlight w:val="none"/>
          <w:lang w:val="en-US" w:eastAsia="zh-CN" w:bidi="ar"/>
        </w:rPr>
        <w:t>医疗卫生</w:t>
      </w:r>
      <w:r>
        <w:rPr>
          <w:rFonts w:hint="default" w:ascii="仿宋_GB2312" w:hAnsi="宋体" w:eastAsia="仿宋_GB2312" w:cs="仿宋_GB2312"/>
          <w:color w:val="auto"/>
          <w:kern w:val="0"/>
          <w:sz w:val="32"/>
          <w:szCs w:val="32"/>
          <w:highlight w:val="none"/>
          <w:lang w:val="en-US" w:eastAsia="zh-CN" w:bidi="ar"/>
        </w:rPr>
        <w:t>、</w:t>
      </w:r>
      <w:r>
        <w:rPr>
          <w:rFonts w:hint="eastAsia" w:ascii="仿宋_GB2312" w:hAnsi="宋体" w:eastAsia="仿宋_GB2312" w:cs="仿宋_GB2312"/>
          <w:color w:val="auto"/>
          <w:kern w:val="0"/>
          <w:sz w:val="32"/>
          <w:szCs w:val="32"/>
          <w:highlight w:val="none"/>
          <w:lang w:val="en-US" w:eastAsia="zh-CN" w:bidi="ar"/>
        </w:rPr>
        <w:t>城中村综合整治提升</w:t>
      </w:r>
      <w:r>
        <w:rPr>
          <w:rFonts w:hint="default" w:ascii="仿宋_GB2312" w:hAnsi="宋体" w:eastAsia="仿宋_GB2312" w:cs="仿宋_GB2312"/>
          <w:color w:val="auto"/>
          <w:kern w:val="0"/>
          <w:sz w:val="32"/>
          <w:szCs w:val="32"/>
          <w:highlight w:val="none"/>
          <w:lang w:val="en-US" w:eastAsia="zh-CN" w:bidi="ar"/>
        </w:rPr>
        <w:t>等</w:t>
      </w:r>
      <w:r>
        <w:rPr>
          <w:rFonts w:hint="eastAsia" w:ascii="仿宋_GB2312" w:hAnsi="宋体" w:eastAsia="仿宋_GB2312" w:cs="仿宋_GB2312"/>
          <w:color w:val="auto"/>
          <w:kern w:val="0"/>
          <w:sz w:val="32"/>
          <w:szCs w:val="32"/>
          <w:highlight w:val="none"/>
          <w:lang w:val="en-US" w:eastAsia="zh-CN" w:bidi="ar"/>
        </w:rPr>
        <w:t>“双通过”</w:t>
      </w:r>
      <w:r>
        <w:rPr>
          <w:rFonts w:hint="default" w:ascii="仿宋_GB2312" w:hAnsi="宋体" w:eastAsia="仿宋_GB2312" w:cs="仿宋_GB2312"/>
          <w:color w:val="auto"/>
          <w:kern w:val="0"/>
          <w:sz w:val="32"/>
          <w:szCs w:val="32"/>
          <w:highlight w:val="none"/>
          <w:lang w:val="en-US" w:eastAsia="zh-CN" w:bidi="ar"/>
        </w:rPr>
        <w:t>项目</w:t>
      </w:r>
      <w:r>
        <w:rPr>
          <w:rFonts w:hint="eastAsia" w:ascii="仿宋_GB2312" w:hAnsi="宋体" w:eastAsia="仿宋_GB2312" w:cs="仿宋_GB2312"/>
          <w:color w:val="auto"/>
          <w:kern w:val="0"/>
          <w:sz w:val="32"/>
          <w:szCs w:val="32"/>
          <w:highlight w:val="none"/>
          <w:lang w:val="en-US" w:eastAsia="zh-CN" w:bidi="ar"/>
        </w:rPr>
        <w:t>，其他支出保持不变</w:t>
      </w:r>
      <w:r>
        <w:rPr>
          <w:rFonts w:hint="default" w:ascii="仿宋_GB2312" w:hAnsi="宋体" w:eastAsia="仿宋_GB2312" w:cs="仿宋_GB2312"/>
          <w:color w:val="auto"/>
          <w:kern w:val="0"/>
          <w:sz w:val="32"/>
          <w:szCs w:val="32"/>
          <w:highlight w:val="none"/>
          <w:lang w:val="en-US" w:eastAsia="zh-CN" w:bidi="ar"/>
        </w:rPr>
        <w:t>。</w:t>
      </w:r>
    </w:p>
    <w:p>
      <w:pPr>
        <w:keepNext w:val="0"/>
        <w:keepLines w:val="0"/>
        <w:pageBreakBefore w:val="0"/>
        <w:widowControl/>
        <w:numPr>
          <w:ilvl w:val="0"/>
          <w:numId w:val="0"/>
        </w:numPr>
        <w:suppressLineNumbers w:val="0"/>
        <w:kinsoku/>
        <w:wordWrap/>
        <w:overflowPunct/>
        <w:topLinePunct w:val="0"/>
        <w:autoSpaceDE/>
        <w:bidi w:val="0"/>
        <w:adjustRightInd/>
        <w:snapToGrid/>
        <w:spacing w:line="560" w:lineRule="exact"/>
        <w:ind w:left="0" w:firstLine="640" w:firstLineChars="200"/>
        <w:jc w:val="both"/>
        <w:textAlignment w:val="auto"/>
        <w:rPr>
          <w:rFonts w:hint="eastAsia" w:ascii="黑体" w:hAnsi="黑体" w:eastAsia="黑体" w:cs="仿宋_GB2312"/>
          <w:color w:val="000000"/>
          <w:kern w:val="2"/>
          <w:sz w:val="32"/>
          <w:szCs w:val="32"/>
          <w:highlight w:val="none"/>
          <w:lang w:val="en-US" w:eastAsia="zh-CN" w:bidi="ar"/>
        </w:rPr>
      </w:pPr>
      <w:r>
        <w:rPr>
          <w:rFonts w:hint="eastAsia" w:ascii="黑体" w:hAnsi="黑体" w:eastAsia="黑体" w:cs="仿宋_GB2312"/>
          <w:kern w:val="2"/>
          <w:sz w:val="32"/>
          <w:szCs w:val="32"/>
          <w:highlight w:val="none"/>
          <w:lang w:val="en-US" w:eastAsia="zh-CN" w:bidi="ar"/>
        </w:rPr>
        <w:t>七</w:t>
      </w:r>
      <w:r>
        <w:rPr>
          <w:rFonts w:hint="eastAsia" w:ascii="黑体" w:hAnsi="黑体" w:eastAsia="黑体" w:cs="仿宋_GB2312"/>
          <w:color w:val="000000"/>
          <w:kern w:val="2"/>
          <w:sz w:val="32"/>
          <w:szCs w:val="32"/>
          <w:highlight w:val="none"/>
          <w:lang w:val="en-US" w:eastAsia="zh-CN" w:bidi="ar"/>
        </w:rPr>
        <w:t>、地方政府债务情况</w:t>
      </w:r>
    </w:p>
    <w:p>
      <w:pPr>
        <w:keepNext w:val="0"/>
        <w:keepLines w:val="0"/>
        <w:pageBreakBefore w:val="0"/>
        <w:widowControl/>
        <w:numPr>
          <w:ilvl w:val="0"/>
          <w:numId w:val="0"/>
        </w:numPr>
        <w:suppressLineNumbers w:val="0"/>
        <w:tabs>
          <w:tab w:val="left" w:pos="312"/>
        </w:tabs>
        <w:kinsoku/>
        <w:wordWrap/>
        <w:overflowPunct/>
        <w:topLinePunct w:val="0"/>
        <w:autoSpaceDE/>
        <w:autoSpaceDN/>
        <w:bidi w:val="0"/>
        <w:adjustRightInd/>
        <w:snapToGrid/>
        <w:spacing w:line="560" w:lineRule="exact"/>
        <w:ind w:left="0" w:firstLine="640" w:firstLineChars="200"/>
        <w:jc w:val="both"/>
        <w:textAlignment w:val="auto"/>
        <w:rPr>
          <w:rFonts w:hint="default" w:ascii="楷体_GB2312" w:hAnsi="楷体_GB2312" w:eastAsia="楷体_GB2312" w:cs="楷体_GB2312"/>
          <w:color w:val="000000"/>
          <w:kern w:val="0"/>
          <w:sz w:val="32"/>
          <w:szCs w:val="32"/>
          <w:highlight w:val="none"/>
          <w:lang w:val="en-US" w:eastAsia="zh-CN" w:bidi="ar"/>
        </w:rPr>
      </w:pPr>
      <w:r>
        <w:rPr>
          <w:rFonts w:hint="eastAsia" w:ascii="楷体_GB2312" w:hAnsi="楷体_GB2312" w:eastAsia="楷体_GB2312" w:cs="楷体_GB2312"/>
          <w:color w:val="000000"/>
          <w:kern w:val="0"/>
          <w:sz w:val="32"/>
          <w:szCs w:val="32"/>
          <w:highlight w:val="none"/>
          <w:lang w:val="en-US" w:eastAsia="zh-CN" w:bidi="ar"/>
        </w:rPr>
        <w:t>（一）</w:t>
      </w:r>
      <w:r>
        <w:rPr>
          <w:rFonts w:hint="default" w:ascii="楷体_GB2312" w:hAnsi="楷体_GB2312" w:eastAsia="楷体_GB2312" w:cs="楷体_GB2312"/>
          <w:color w:val="000000"/>
          <w:kern w:val="0"/>
          <w:sz w:val="32"/>
          <w:szCs w:val="32"/>
          <w:highlight w:val="none"/>
          <w:lang w:val="en-US" w:eastAsia="zh-CN" w:bidi="ar"/>
        </w:rPr>
        <w:t>地方政府债务限额和余额情况</w:t>
      </w:r>
    </w:p>
    <w:p>
      <w:pPr>
        <w:keepNext w:val="0"/>
        <w:keepLines w:val="0"/>
        <w:pageBreakBefore w:val="0"/>
        <w:widowControl/>
        <w:suppressLineNumbers w:val="0"/>
        <w:kinsoku/>
        <w:wordWrap/>
        <w:overflowPunct/>
        <w:topLinePunct w:val="0"/>
        <w:autoSpaceDE/>
        <w:bidi w:val="0"/>
        <w:adjustRightInd/>
        <w:snapToGrid/>
        <w:spacing w:line="560" w:lineRule="exact"/>
        <w:ind w:firstLine="640" w:firstLineChars="200"/>
        <w:jc w:val="both"/>
        <w:textAlignment w:val="auto"/>
        <w:rPr>
          <w:rFonts w:hint="eastAsia" w:ascii="仿宋_GB2312" w:hAnsi="宋体" w:eastAsia="仿宋_GB2312" w:cs="仿宋_GB2312"/>
          <w:color w:val="auto"/>
          <w:kern w:val="0"/>
          <w:sz w:val="32"/>
          <w:szCs w:val="32"/>
          <w:highlight w:val="none"/>
          <w:lang w:val="en-US" w:eastAsia="zh-CN" w:bidi="ar"/>
        </w:rPr>
      </w:pPr>
      <w:r>
        <w:rPr>
          <w:rFonts w:hint="eastAsia" w:ascii="仿宋_GB2312" w:hAnsi="宋体" w:eastAsia="仿宋_GB2312" w:cs="仿宋_GB2312"/>
          <w:color w:val="auto"/>
          <w:kern w:val="0"/>
          <w:sz w:val="32"/>
          <w:szCs w:val="32"/>
          <w:highlight w:val="none"/>
          <w:lang w:val="en-US" w:eastAsia="zh-CN" w:bidi="ar"/>
        </w:rPr>
        <w:t>截至2024年底，新区地方政府债务限额34.18亿元，其中一般债务限额2.4亿元、专项债务限额31.78亿元。</w:t>
      </w:r>
    </w:p>
    <w:p>
      <w:pPr>
        <w:keepNext w:val="0"/>
        <w:keepLines w:val="0"/>
        <w:pageBreakBefore w:val="0"/>
        <w:widowControl/>
        <w:numPr>
          <w:ilvl w:val="0"/>
          <w:numId w:val="0"/>
        </w:numPr>
        <w:suppressLineNumbers w:val="0"/>
        <w:tabs>
          <w:tab w:val="left" w:pos="312"/>
        </w:tabs>
        <w:kinsoku/>
        <w:wordWrap/>
        <w:overflowPunct/>
        <w:topLinePunct w:val="0"/>
        <w:autoSpaceDE/>
        <w:bidi w:val="0"/>
        <w:adjustRightInd/>
        <w:snapToGrid/>
        <w:spacing w:line="560" w:lineRule="exact"/>
        <w:ind w:left="0" w:firstLine="640" w:firstLineChars="200"/>
        <w:jc w:val="both"/>
        <w:textAlignment w:val="auto"/>
        <w:rPr>
          <w:rFonts w:hint="default" w:ascii="楷体_GB2312" w:hAnsi="楷体_GB2312" w:eastAsia="楷体_GB2312" w:cs="楷体_GB2312"/>
          <w:color w:val="000000"/>
          <w:kern w:val="0"/>
          <w:sz w:val="32"/>
          <w:szCs w:val="32"/>
          <w:highlight w:val="cyan"/>
          <w:lang w:val="en-US" w:eastAsia="zh-CN" w:bidi="ar"/>
        </w:rPr>
      </w:pPr>
      <w:r>
        <w:rPr>
          <w:rFonts w:hint="eastAsia" w:ascii="仿宋_GB2312" w:hAnsi="宋体" w:eastAsia="仿宋_GB2312" w:cs="仿宋_GB2312"/>
          <w:color w:val="auto"/>
          <w:kern w:val="0"/>
          <w:sz w:val="32"/>
          <w:szCs w:val="32"/>
          <w:highlight w:val="none"/>
          <w:lang w:val="en-US" w:eastAsia="zh-CN" w:bidi="ar"/>
        </w:rPr>
        <w:t>2024年新区地方政府债务余额为33.28亿元，控制在债务限额以内。按照债务类型划分，一般债务余额1.5亿元，专项债务余额31.</w:t>
      </w:r>
      <w:r>
        <w:rPr>
          <w:rFonts w:hint="default" w:ascii="仿宋_GB2312" w:hAnsi="宋体" w:eastAsia="仿宋_GB2312" w:cs="仿宋_GB2312"/>
          <w:color w:val="auto"/>
          <w:kern w:val="0"/>
          <w:sz w:val="32"/>
          <w:szCs w:val="32"/>
          <w:highlight w:val="none"/>
          <w:lang w:val="en-US" w:eastAsia="zh-CN" w:bidi="ar"/>
        </w:rPr>
        <w:t>78</w:t>
      </w:r>
      <w:r>
        <w:rPr>
          <w:rFonts w:hint="eastAsia" w:ascii="仿宋_GB2312" w:hAnsi="宋体" w:eastAsia="仿宋_GB2312" w:cs="仿宋_GB2312"/>
          <w:color w:val="auto"/>
          <w:kern w:val="0"/>
          <w:sz w:val="32"/>
          <w:szCs w:val="32"/>
          <w:highlight w:val="none"/>
          <w:lang w:val="en-US" w:eastAsia="zh-CN" w:bidi="ar"/>
        </w:rPr>
        <w:t>亿元。</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left="0" w:firstLine="640" w:firstLineChars="200"/>
        <w:jc w:val="both"/>
        <w:textAlignment w:val="auto"/>
        <w:rPr>
          <w:rFonts w:hint="default" w:ascii="楷体_GB2312" w:hAnsi="楷体_GB2312" w:eastAsia="楷体_GB2312" w:cs="楷体_GB2312"/>
          <w:color w:val="000000"/>
          <w:kern w:val="0"/>
          <w:sz w:val="32"/>
          <w:szCs w:val="32"/>
          <w:highlight w:val="none"/>
          <w:lang w:val="en-US" w:eastAsia="zh-CN" w:bidi="ar"/>
        </w:rPr>
      </w:pPr>
      <w:r>
        <w:rPr>
          <w:rFonts w:hint="eastAsia" w:ascii="楷体_GB2312" w:hAnsi="楷体_GB2312" w:eastAsia="楷体_GB2312" w:cs="楷体_GB2312"/>
          <w:color w:val="000000"/>
          <w:kern w:val="0"/>
          <w:sz w:val="32"/>
          <w:szCs w:val="32"/>
          <w:highlight w:val="none"/>
          <w:lang w:val="en-US" w:eastAsia="zh-CN" w:bidi="ar"/>
        </w:rPr>
        <w:t>（二）</w:t>
      </w:r>
      <w:r>
        <w:rPr>
          <w:rFonts w:hint="default" w:ascii="楷体_GB2312" w:hAnsi="楷体_GB2312" w:eastAsia="楷体_GB2312" w:cs="楷体_GB2312"/>
          <w:color w:val="000000"/>
          <w:kern w:val="0"/>
          <w:sz w:val="32"/>
          <w:szCs w:val="32"/>
          <w:highlight w:val="none"/>
          <w:lang w:val="en-US" w:eastAsia="zh-CN" w:bidi="ar"/>
        </w:rPr>
        <w:t>地方政府债券发行和偿还情况</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宋体" w:eastAsia="仿宋_GB2312" w:cs="仿宋_GB2312"/>
          <w:color w:val="auto"/>
          <w:kern w:val="0"/>
          <w:sz w:val="32"/>
          <w:szCs w:val="32"/>
          <w:highlight w:val="none"/>
          <w:lang w:val="en-US" w:eastAsia="zh-CN" w:bidi="ar"/>
        </w:rPr>
      </w:pPr>
      <w:r>
        <w:rPr>
          <w:rFonts w:hint="eastAsia" w:ascii="仿宋_GB2312" w:hAnsi="宋体" w:eastAsia="仿宋_GB2312" w:cs="仿宋_GB2312"/>
          <w:color w:val="auto"/>
          <w:kern w:val="0"/>
          <w:sz w:val="32"/>
          <w:szCs w:val="32"/>
          <w:highlight w:val="none"/>
          <w:lang w:val="en-US" w:eastAsia="zh-CN" w:bidi="ar"/>
        </w:rPr>
        <w:t>1.2024年新区发行地方政府债券4.</w:t>
      </w:r>
      <w:r>
        <w:rPr>
          <w:rFonts w:hint="default" w:ascii="仿宋_GB2312" w:hAnsi="宋体" w:eastAsia="仿宋_GB2312" w:cs="仿宋_GB2312"/>
          <w:color w:val="auto"/>
          <w:kern w:val="0"/>
          <w:sz w:val="32"/>
          <w:szCs w:val="32"/>
          <w:highlight w:val="none"/>
          <w:lang w:val="en-US" w:eastAsia="zh-CN" w:bidi="ar"/>
        </w:rPr>
        <w:t>3</w:t>
      </w:r>
      <w:r>
        <w:rPr>
          <w:rFonts w:hint="eastAsia" w:ascii="仿宋_GB2312" w:hAnsi="宋体" w:eastAsia="仿宋_GB2312" w:cs="仿宋_GB2312"/>
          <w:color w:val="auto"/>
          <w:kern w:val="0"/>
          <w:sz w:val="32"/>
          <w:szCs w:val="32"/>
          <w:highlight w:val="none"/>
          <w:lang w:val="en-US" w:eastAsia="zh-CN" w:bidi="ar"/>
        </w:rPr>
        <w:t>亿元，其中一般债券0.5亿元，专项债券3.</w:t>
      </w:r>
      <w:r>
        <w:rPr>
          <w:rFonts w:hint="default" w:ascii="仿宋_GB2312" w:hAnsi="宋体" w:eastAsia="仿宋_GB2312" w:cs="仿宋_GB2312"/>
          <w:color w:val="auto"/>
          <w:kern w:val="0"/>
          <w:sz w:val="32"/>
          <w:szCs w:val="32"/>
          <w:highlight w:val="none"/>
          <w:lang w:val="en-US" w:eastAsia="zh-CN" w:bidi="ar"/>
        </w:rPr>
        <w:t>8</w:t>
      </w:r>
      <w:r>
        <w:rPr>
          <w:rFonts w:hint="eastAsia" w:ascii="仿宋_GB2312" w:hAnsi="宋体" w:eastAsia="仿宋_GB2312" w:cs="仿宋_GB2312"/>
          <w:color w:val="auto"/>
          <w:kern w:val="0"/>
          <w:sz w:val="32"/>
          <w:szCs w:val="32"/>
          <w:highlight w:val="none"/>
          <w:lang w:val="en-US" w:eastAsia="zh-CN" w:bidi="ar"/>
        </w:rPr>
        <w:t>亿元。专项债券主要用于交通、养老院、城中村综合整治提升等方面。</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left="0" w:firstLine="640" w:firstLineChars="200"/>
        <w:jc w:val="both"/>
        <w:textAlignment w:val="auto"/>
        <w:rPr>
          <w:rFonts w:hint="default" w:ascii="仿宋_GB2312" w:hAnsi="宋体" w:eastAsia="仿宋_GB2312" w:cs="仿宋_GB2312"/>
          <w:color w:val="auto"/>
          <w:kern w:val="0"/>
          <w:sz w:val="32"/>
          <w:szCs w:val="32"/>
          <w:highlight w:val="none"/>
          <w:lang w:val="en-US" w:eastAsia="zh-CN" w:bidi="ar"/>
        </w:rPr>
      </w:pPr>
      <w:r>
        <w:rPr>
          <w:rFonts w:hint="eastAsia" w:ascii="仿宋_GB2312" w:hAnsi="宋体" w:eastAsia="仿宋_GB2312" w:cs="仿宋_GB2312"/>
          <w:color w:val="auto"/>
          <w:kern w:val="0"/>
          <w:sz w:val="32"/>
          <w:szCs w:val="32"/>
          <w:highlight w:val="none"/>
          <w:lang w:val="en-US" w:eastAsia="zh-CN" w:bidi="ar"/>
        </w:rPr>
        <w:t>2.由于新区近年发行的专项债券未到还本时间，2024年偿还地方政府债务本金0元，支付地方政府债券利息0.94亿元，其中一般债券利息0.02亿元，专项债券利息0.92亿元。</w:t>
      </w:r>
    </w:p>
    <w:p>
      <w:pPr>
        <w:keepNext w:val="0"/>
        <w:keepLines w:val="0"/>
        <w:pageBreakBefore w:val="0"/>
        <w:widowControl/>
        <w:shd w:val="clear" w:color="auto" w:fill="FFFFFF"/>
        <w:kinsoku/>
        <w:wordWrap/>
        <w:overflowPunct/>
        <w:topLinePunct w:val="0"/>
        <w:autoSpaceDE/>
        <w:bidi w:val="0"/>
        <w:adjustRightInd/>
        <w:snapToGrid/>
        <w:spacing w:line="560" w:lineRule="exact"/>
        <w:ind w:firstLine="640" w:firstLineChars="200"/>
        <w:jc w:val="both"/>
        <w:textAlignment w:val="auto"/>
        <w:rPr>
          <w:rFonts w:ascii="黑体" w:hAnsi="黑体" w:eastAsia="黑体" w:cs="仿宋_GB2312"/>
          <w:sz w:val="32"/>
          <w:szCs w:val="32"/>
          <w:highlight w:val="none"/>
        </w:rPr>
      </w:pPr>
      <w:r>
        <w:rPr>
          <w:rFonts w:hint="eastAsia" w:ascii="黑体" w:hAnsi="黑体" w:eastAsia="黑体" w:cs="仿宋_GB2312"/>
          <w:sz w:val="32"/>
          <w:szCs w:val="32"/>
          <w:highlight w:val="none"/>
          <w:lang w:val="en-US" w:eastAsia="zh-CN"/>
        </w:rPr>
        <w:t>八</w:t>
      </w:r>
      <w:r>
        <w:rPr>
          <w:rFonts w:hint="eastAsia" w:ascii="黑体" w:hAnsi="黑体" w:eastAsia="黑体" w:cs="仿宋_GB2312"/>
          <w:sz w:val="32"/>
          <w:szCs w:val="32"/>
          <w:highlight w:val="none"/>
        </w:rPr>
        <w:t>、落实市人大决议和预算执行效果情况</w:t>
      </w:r>
    </w:p>
    <w:p>
      <w:pPr>
        <w:keepNext w:val="0"/>
        <w:keepLines w:val="0"/>
        <w:pageBreakBefore w:val="0"/>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新区严格落实深圳市第七届人民代表大会第五次会议审查批准的年初预算以及深圳市第七届人民代表大会常务委员会第三十三次会议批准的调整预算，财政支出实行支出管控，制定月度支付计划</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切实做到“以收定支”，严格控制支付规模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确保年度收支平衡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整体预算执行情况</w:t>
      </w:r>
      <w:r>
        <w:rPr>
          <w:rFonts w:hint="eastAsia" w:ascii="仿宋_GB2312" w:hAnsi="仿宋_GB2312" w:eastAsia="仿宋_GB2312" w:cs="仿宋_GB2312"/>
          <w:color w:val="auto"/>
          <w:sz w:val="32"/>
          <w:szCs w:val="32"/>
          <w:highlight w:val="none"/>
          <w:lang w:eastAsia="zh-CN"/>
        </w:rPr>
        <w:t>较为</w:t>
      </w:r>
      <w:r>
        <w:rPr>
          <w:rFonts w:hint="eastAsia" w:ascii="仿宋_GB2312" w:hAnsi="仿宋_GB2312" w:eastAsia="仿宋_GB2312" w:cs="仿宋_GB2312"/>
          <w:color w:val="auto"/>
          <w:sz w:val="32"/>
          <w:szCs w:val="32"/>
          <w:highlight w:val="none"/>
        </w:rPr>
        <w:t>良好。</w:t>
      </w:r>
    </w:p>
    <w:p>
      <w:pPr>
        <w:keepNext w:val="0"/>
        <w:keepLines w:val="0"/>
        <w:pageBreakBefore w:val="0"/>
        <w:kinsoku/>
        <w:wordWrap/>
        <w:overflowPunct/>
        <w:topLinePunct w:val="0"/>
        <w:autoSpaceDE/>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九、绩效管理工作情况</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w:t>
      </w:r>
      <w:r>
        <w:rPr>
          <w:rFonts w:hint="eastAsia" w:ascii="楷体_GB2312" w:hAnsi="楷体_GB2312" w:eastAsia="楷体_GB2312" w:cs="楷体_GB2312"/>
          <w:b w:val="0"/>
          <w:bCs w:val="0"/>
          <w:sz w:val="32"/>
          <w:szCs w:val="32"/>
          <w:lang w:val="en-US" w:eastAsia="zh-CN"/>
        </w:rPr>
        <w:t>基于零基预算的事前绩效管理创新应用</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以部门整体事前绩效评估作为零基预算改革创新的重点应用场景，在开展新增项目、部门整体事前绩效评估的同时，将延续性项目纳入事前绩效评估范围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围绕履职职能、财政事权等要点，将各项目支出按照分类保障的思路重新梳理并排序，优化预算安排方式。</w:t>
      </w:r>
      <w:r>
        <w:rPr>
          <w:rFonts w:hint="eastAsia" w:ascii="仿宋_GB2312" w:hAnsi="仿宋_GB2312" w:eastAsia="仿宋_GB2312" w:cs="仿宋_GB2312"/>
          <w:sz w:val="32"/>
          <w:szCs w:val="32"/>
          <w:lang w:eastAsia="zh-CN"/>
        </w:rPr>
        <w:t>通过</w:t>
      </w:r>
      <w:r>
        <w:rPr>
          <w:rFonts w:hint="eastAsia" w:ascii="仿宋_GB2312" w:hAnsi="仿宋_GB2312" w:eastAsia="仿宋_GB2312" w:cs="仿宋_GB2312"/>
          <w:sz w:val="32"/>
          <w:szCs w:val="32"/>
        </w:rPr>
        <w:t>强化事前绩效评估功能应用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落实应用成本效益分析方法</w:t>
      </w:r>
      <w:r>
        <w:rPr>
          <w:rFonts w:hint="eastAsia" w:ascii="仿宋_GB2312" w:hAnsi="仿宋_GB2312" w:eastAsia="仿宋_GB2312" w:cs="仿宋_GB2312"/>
          <w:sz w:val="32"/>
          <w:szCs w:val="32"/>
          <w:lang w:eastAsia="zh-CN"/>
        </w:rPr>
        <w:t>、强化事前绩效评估结果应用等手段，进行区内</w:t>
      </w:r>
      <w:r>
        <w:rPr>
          <w:rFonts w:hint="eastAsia" w:ascii="仿宋_GB2312" w:hAnsi="仿宋_GB2312" w:eastAsia="仿宋_GB2312" w:cs="仿宋_GB2312"/>
          <w:sz w:val="32"/>
          <w:szCs w:val="32"/>
        </w:rPr>
        <w:t>推广应用</w:t>
      </w:r>
      <w:r>
        <w:rPr>
          <w:rFonts w:hint="eastAsia" w:ascii="仿宋_GB2312" w:hAnsi="仿宋_GB2312" w:eastAsia="仿宋_GB2312" w:cs="仿宋_GB2312"/>
          <w:sz w:val="32"/>
          <w:szCs w:val="32"/>
          <w:lang w:eastAsia="zh-CN"/>
        </w:rPr>
        <w:t>，成效显著：</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大鹏新区零基预算绩效管理改革得到多方认可，被财政部主管的中央级媒体、全国百强社科期刊《中国财政》报道。</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通过将所有预算支出以零点为基数，按照部门职责、计划目标、各级政府重大决策部署进行排序。</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形成“事前绩效评估＋预算评审”相融合的预算绩效管理模式</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各预算单位2025年事前绩效评估申报预算4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eastAsia="zh-CN"/>
        </w:rPr>
        <w:t>亿</w:t>
      </w:r>
      <w:r>
        <w:rPr>
          <w:rFonts w:hint="eastAsia" w:ascii="仿宋_GB2312" w:hAnsi="仿宋_GB2312" w:eastAsia="仿宋_GB2312" w:cs="仿宋_GB2312"/>
          <w:sz w:val="32"/>
          <w:szCs w:val="32"/>
        </w:rPr>
        <w:t>元，自行核减预算资金核减率1.6%。</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w:t>
      </w:r>
      <w:r>
        <w:rPr>
          <w:rFonts w:hint="eastAsia" w:ascii="楷体_GB2312" w:hAnsi="楷体_GB2312" w:eastAsia="楷体_GB2312" w:cs="楷体_GB2312"/>
          <w:b w:val="0"/>
          <w:bCs w:val="0"/>
          <w:sz w:val="32"/>
          <w:szCs w:val="32"/>
          <w:lang w:val="en-US" w:eastAsia="zh-CN"/>
        </w:rPr>
        <w:t>探索新区事中绩效监控改革应用</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建立分类分级监控管理机制，采取多频次监控的方式，在2024年5月、8月对新区预算单位资金较大、涉及民生的项目开展重点监控。同时完善“自主监控+财政重点监控+及时调整”模式。组织各预算单位对于部门整体支出和二级项目支出监控全覆盖的基础上，聚焦和服务重点工作，对预算资金100万元以上的项目开展财政重点监控。对于监控期间未形成支付以及工作目标节点低于预期目标的项目，要求各预算单位说明项目当前形象进度，并督促预算单位采取有效措施加以整改。通过对监控节点前移或者向后延伸，探索形成动态跟踪监控模式。2024年，新区各预算单位通过绩效监控，累计核减当年度预算资金1</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3亿元，其中：常规监控单位自行核减预算0.5亿元，重点监控项目合计涉及资金48.8亿元，监控后累计核减资金0.8亿元。</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（三）</w:t>
      </w:r>
      <w:r>
        <w:rPr>
          <w:rFonts w:hint="eastAsia" w:ascii="楷体_GB2312" w:hAnsi="楷体_GB2312" w:eastAsia="楷体_GB2312" w:cs="楷体_GB2312"/>
          <w:b w:val="0"/>
          <w:bCs w:val="0"/>
          <w:sz w:val="32"/>
          <w:szCs w:val="32"/>
          <w:lang w:val="en-US" w:eastAsia="zh-CN"/>
        </w:rPr>
        <w:t>强化预算绩效管理推动提质增效</w:t>
      </w:r>
    </w:p>
    <w:p>
      <w:pPr>
        <w:spacing w:line="560" w:lineRule="exact"/>
        <w:ind w:firstLine="642" w:firstLineChars="200"/>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要求各预算单位在部门整体绩效自评时聚焦预算编制前端审核过程内容，真实反映预算单位预算编制情况。</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形成财政部门和预算单位联动模式，在绩效自评考核指标中引入财政复核结果，作为预算编制参考依据。</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实行动态监督整改，强化全链条管理绩效结果应用。评价考核单个项目累计调剂金额占比，设定扣分机制。落实全链条销号机制，形成全过程闭环管理。及时更新绩效评价问题台账，对已完成整改的事项进行逐项销号，将新发现的问题编入问题台账，强化监督管理。</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完善工作制度。陆续印发《深圳市大鹏新区事前绩效评估工作指引（试行）》《深圳市大鹏新区绩效监控工作指引（试行）》，并将相关工作指引应用于年度绩效管理工作。</w:t>
      </w:r>
    </w:p>
    <w:p>
      <w:pPr>
        <w:rPr>
          <w:rFonts w:hint="eastAsia"/>
          <w:lang w:val="en-US" w:eastAsia="zh-CN"/>
        </w:rPr>
      </w:pPr>
    </w:p>
    <w:sectPr>
      <w:footerReference r:id="rId4" w:type="default"/>
      <w:pgSz w:w="11906" w:h="16838"/>
      <w:pgMar w:top="2098" w:right="1474" w:bottom="1985" w:left="1588" w:header="851" w:footer="454" w:gutter="0"/>
      <w:pgNumType w:fmt="numberInDash"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2"/>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方正书宋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DejaVu Sans">
    <w:panose1 w:val="020B0603030804020204"/>
    <w:charset w:val="00"/>
    <w:family w:val="auto"/>
    <w:pitch w:val="default"/>
    <w:sig w:usb0="E7006EFF" w:usb1="D200FDFF" w:usb2="0A246029" w:usb3="0400200C" w:csb0="600001FF" w:csb1="DFFF0000"/>
  </w:font>
  <w:font w:name="微软雅黑">
    <w:altName w:val="方正黑体_GBK"/>
    <w:panose1 w:val="020B0503020204020204"/>
    <w:charset w:val="86"/>
    <w:family w:val="auto"/>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eastAsia="宋体" w:cs="Times New Roman"/>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jc w:val="right"/>
                          </w:pPr>
                          <w:r>
                            <w:rPr>
                              <w:rFonts w:ascii="宋体" w:hAnsi="宋体" w:eastAsia="宋体" w:cs="Times New Roman"/>
                              <w:sz w:val="28"/>
                            </w:rPr>
                            <w:fldChar w:fldCharType="begin"/>
                          </w:r>
                          <w:r>
                            <w:rPr>
                              <w:rFonts w:ascii="宋体" w:hAnsi="宋体" w:eastAsia="宋体" w:cs="Times New Roman"/>
                              <w:sz w:val="28"/>
                            </w:rPr>
                            <w:instrText xml:space="preserve">PAGE   \* MERGEFORMAT</w:instrText>
                          </w:r>
                          <w:r>
                            <w:rPr>
                              <w:rFonts w:ascii="宋体" w:hAnsi="宋体" w:eastAsia="宋体" w:cs="Times New Roman"/>
                              <w:sz w:val="28"/>
                            </w:rPr>
                            <w:fldChar w:fldCharType="separate"/>
                          </w:r>
                          <w:r>
                            <w:rPr>
                              <w:rFonts w:ascii="宋体" w:hAnsi="宋体" w:eastAsia="宋体" w:cs="Times New Roman"/>
                              <w:sz w:val="28"/>
                              <w:lang w:val="zh-CN" w:eastAsia="zh-CN"/>
                            </w:rPr>
                            <w:t>-</w:t>
                          </w:r>
                          <w:r>
                            <w:rPr>
                              <w:rFonts w:ascii="宋体" w:hAnsi="宋体" w:eastAsia="宋体" w:cs="Times New Roman"/>
                              <w:sz w:val="28"/>
                            </w:rPr>
                            <w:t xml:space="preserve"> 9 -</w:t>
                          </w:r>
                          <w:r>
                            <w:rPr>
                              <w:rFonts w:ascii="宋体" w:hAnsi="宋体" w:eastAsia="宋体" w:cs="Times New Roman"/>
                              <w:sz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">
              <v:fill on="f" focussize="0,0"/>
              <v:stroke on="f"/>
              <v:imagedata o:title=""/>
              <o:lock v:ext="edit" aspectratio="f"/>
              <v:textbox inset="0mm,0mm,0mm,0mm" style="mso-fit-shape-to-text:t;">
                <w:txbxContent>
                  <w:p>
                    <w:pPr>
                      <w:pStyle w:val="2"/>
                      <w:jc w:val="right"/>
                    </w:pPr>
                    <w:r>
                      <w:rPr>
                        <w:rFonts w:ascii="宋体" w:hAnsi="宋体" w:eastAsia="宋体" w:cs="Times New Roman"/>
                        <w:sz w:val="28"/>
                      </w:rPr>
                      <w:fldChar w:fldCharType="begin"/>
                    </w:r>
                    <w:r>
                      <w:rPr>
                        <w:rFonts w:ascii="宋体" w:hAnsi="宋体" w:eastAsia="宋体" w:cs="Times New Roman"/>
                        <w:sz w:val="28"/>
                      </w:rPr>
                      <w:instrText xml:space="preserve">PAGE   \* MERGEFORMAT</w:instrText>
                    </w:r>
                    <w:r>
                      <w:rPr>
                        <w:rFonts w:ascii="宋体" w:hAnsi="宋体" w:eastAsia="宋体" w:cs="Times New Roman"/>
                        <w:sz w:val="28"/>
                      </w:rPr>
                      <w:fldChar w:fldCharType="separate"/>
                    </w:r>
                    <w:r>
                      <w:rPr>
                        <w:rFonts w:ascii="宋体" w:hAnsi="宋体" w:eastAsia="宋体" w:cs="Times New Roman"/>
                        <w:sz w:val="28"/>
                        <w:lang w:val="zh-CN" w:eastAsia="zh-CN"/>
                      </w:rPr>
                      <w:t>-</w:t>
                    </w:r>
                    <w:r>
                      <w:rPr>
                        <w:rFonts w:ascii="宋体" w:hAnsi="宋体" w:eastAsia="宋体" w:cs="Times New Roman"/>
                        <w:sz w:val="28"/>
                      </w:rPr>
                      <w:t xml:space="preserve"> 9 -</w:t>
                    </w:r>
                    <w:r>
                      <w:rPr>
                        <w:rFonts w:ascii="宋体" w:hAnsi="宋体" w:eastAsia="宋体" w:cs="Times New Roman"/>
                        <w:sz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3"/>
        <w:snapToGrid w:val="0"/>
        <w:rPr>
          <w:rFonts w:ascii="Times New Roman" w:hAnsi="Times New Roman" w:eastAsia="宋体" w:cs="Times New Roman"/>
        </w:rPr>
      </w:pPr>
      <w:r>
        <w:rPr>
          <w:rStyle w:val="9"/>
          <w:rFonts w:ascii="Times New Roman" w:hAnsi="Times New Roman" w:eastAsia="宋体" w:cs="Times New Roman"/>
          <w:sz w:val="21"/>
        </w:rPr>
        <w:footnoteRef/>
      </w:r>
      <w:r>
        <w:rPr>
          <w:rFonts w:ascii="Times New Roman" w:hAnsi="Times New Roman" w:eastAsia="宋体" w:cs="Times New Roman"/>
        </w:rPr>
        <w:t xml:space="preserve"> </w:t>
      </w:r>
      <w:r>
        <w:rPr>
          <w:rFonts w:hint="eastAsia" w:ascii="Times New Roman" w:hAnsi="Times New Roman" w:eastAsia="宋体" w:cs="Times New Roman"/>
        </w:rPr>
        <w:t>因小数点四舍五入影响</w:t>
      </w:r>
      <w:r>
        <w:rPr>
          <w:rFonts w:hint="eastAsia" w:ascii="Times New Roman" w:hAnsi="Times New Roman" w:eastAsia="宋体" w:cs="Times New Roman"/>
          <w:lang w:eastAsia="zh-CN"/>
        </w:rPr>
        <w:t>，</w:t>
      </w:r>
      <w:r>
        <w:rPr>
          <w:rFonts w:hint="eastAsia" w:ascii="Times New Roman" w:hAnsi="Times New Roman" w:eastAsia="宋体" w:cs="Times New Roman"/>
        </w:rPr>
        <w:t>分类加总数与总数略微有差异</w:t>
      </w:r>
      <w:r>
        <w:rPr>
          <w:rFonts w:hint="eastAsia" w:ascii="Times New Roman" w:hAnsi="Times New Roman" w:eastAsia="宋体" w:cs="Times New Roman"/>
          <w:lang w:eastAsia="zh-CN"/>
        </w:rPr>
        <w:t>，</w:t>
      </w:r>
      <w:r>
        <w:rPr>
          <w:rFonts w:hint="eastAsia" w:ascii="Times New Roman" w:hAnsi="Times New Roman" w:eastAsia="宋体" w:cs="Times New Roman"/>
        </w:rPr>
        <w:t>下同。</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19"/>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2"/>
    <w:footnote w:id="3"/>
  </w:foot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FF51B8"/>
    <w:rsid w:val="1FFF4D0C"/>
    <w:rsid w:val="27FF7118"/>
    <w:rsid w:val="2ACE5EFD"/>
    <w:rsid w:val="2BF799D5"/>
    <w:rsid w:val="2E7FF210"/>
    <w:rsid w:val="37B5AB2B"/>
    <w:rsid w:val="37F79B7D"/>
    <w:rsid w:val="37FDB1F7"/>
    <w:rsid w:val="37FF7D53"/>
    <w:rsid w:val="3A7F5AF8"/>
    <w:rsid w:val="3BBF1CB0"/>
    <w:rsid w:val="3BFCE2E9"/>
    <w:rsid w:val="3C8D9730"/>
    <w:rsid w:val="3D4F6835"/>
    <w:rsid w:val="3D7793F5"/>
    <w:rsid w:val="3DFDB731"/>
    <w:rsid w:val="3F6B963F"/>
    <w:rsid w:val="3FBFD549"/>
    <w:rsid w:val="3FE99985"/>
    <w:rsid w:val="4A792101"/>
    <w:rsid w:val="4B7F53FC"/>
    <w:rsid w:val="4C7E3FE7"/>
    <w:rsid w:val="4D575BED"/>
    <w:rsid w:val="4E390B88"/>
    <w:rsid w:val="4F07CC69"/>
    <w:rsid w:val="4F794476"/>
    <w:rsid w:val="4FAAD8D6"/>
    <w:rsid w:val="4FF4964D"/>
    <w:rsid w:val="50F77942"/>
    <w:rsid w:val="53F79638"/>
    <w:rsid w:val="5535E539"/>
    <w:rsid w:val="56F663FC"/>
    <w:rsid w:val="575ED7CE"/>
    <w:rsid w:val="57F58A4B"/>
    <w:rsid w:val="5AD68283"/>
    <w:rsid w:val="5BBFB44A"/>
    <w:rsid w:val="5D6CE268"/>
    <w:rsid w:val="5F7E446F"/>
    <w:rsid w:val="5FD5CBFF"/>
    <w:rsid w:val="5FD79388"/>
    <w:rsid w:val="5FFF1E94"/>
    <w:rsid w:val="605F7596"/>
    <w:rsid w:val="63FFE1E5"/>
    <w:rsid w:val="66EF1C8F"/>
    <w:rsid w:val="67BFF263"/>
    <w:rsid w:val="6BCD3169"/>
    <w:rsid w:val="6DBFB7BA"/>
    <w:rsid w:val="6F32456C"/>
    <w:rsid w:val="6F6D39AE"/>
    <w:rsid w:val="71FFEF10"/>
    <w:rsid w:val="72DF3BA7"/>
    <w:rsid w:val="73CFA622"/>
    <w:rsid w:val="73FF48BC"/>
    <w:rsid w:val="76CEF786"/>
    <w:rsid w:val="76DB542E"/>
    <w:rsid w:val="77D5D3FB"/>
    <w:rsid w:val="7AE7523F"/>
    <w:rsid w:val="7B35A4A1"/>
    <w:rsid w:val="7BFF9F1F"/>
    <w:rsid w:val="7CBF6F87"/>
    <w:rsid w:val="7CDE6697"/>
    <w:rsid w:val="7CF3DA12"/>
    <w:rsid w:val="7D7F25D5"/>
    <w:rsid w:val="7D8F97C9"/>
    <w:rsid w:val="7DD36288"/>
    <w:rsid w:val="7DF60536"/>
    <w:rsid w:val="7EDF6241"/>
    <w:rsid w:val="7EFFD4C5"/>
    <w:rsid w:val="7FDE4627"/>
    <w:rsid w:val="7FEAE14A"/>
    <w:rsid w:val="7FEDD4B4"/>
    <w:rsid w:val="7FFE041F"/>
    <w:rsid w:val="7FFF1205"/>
    <w:rsid w:val="8BD420F2"/>
    <w:rsid w:val="9A87769A"/>
    <w:rsid w:val="9B9FAD17"/>
    <w:rsid w:val="9CFF8A62"/>
    <w:rsid w:val="9DFF081B"/>
    <w:rsid w:val="9EDFCCC9"/>
    <w:rsid w:val="9EF60FE1"/>
    <w:rsid w:val="9F372BF2"/>
    <w:rsid w:val="A6E333F9"/>
    <w:rsid w:val="AE0B6D23"/>
    <w:rsid w:val="AE856858"/>
    <w:rsid w:val="AFBF0203"/>
    <w:rsid w:val="AFDC100D"/>
    <w:rsid w:val="AFEE2552"/>
    <w:rsid w:val="B9FE619F"/>
    <w:rsid w:val="BE7E1EAB"/>
    <w:rsid w:val="BEEF8F98"/>
    <w:rsid w:val="BF4B4F0F"/>
    <w:rsid w:val="BF538A14"/>
    <w:rsid w:val="BFCD12D5"/>
    <w:rsid w:val="BFED5DB4"/>
    <w:rsid w:val="BFEF126D"/>
    <w:rsid w:val="BFFF51B8"/>
    <w:rsid w:val="CD774E95"/>
    <w:rsid w:val="CFE74174"/>
    <w:rsid w:val="CFF7B960"/>
    <w:rsid w:val="CFF7CDD7"/>
    <w:rsid w:val="D1FE3B1F"/>
    <w:rsid w:val="D1FF4675"/>
    <w:rsid w:val="D223A19D"/>
    <w:rsid w:val="D3761B92"/>
    <w:rsid w:val="DBCFA630"/>
    <w:rsid w:val="DDF9B996"/>
    <w:rsid w:val="DF1FFE87"/>
    <w:rsid w:val="DF2DDDC6"/>
    <w:rsid w:val="DFEF5213"/>
    <w:rsid w:val="DFFF8EDF"/>
    <w:rsid w:val="E6F74638"/>
    <w:rsid w:val="E9EE49CA"/>
    <w:rsid w:val="ED7F30B4"/>
    <w:rsid w:val="EDBE6586"/>
    <w:rsid w:val="EEA997F1"/>
    <w:rsid w:val="EF7FECF3"/>
    <w:rsid w:val="EFAB5AC8"/>
    <w:rsid w:val="EFCFCB35"/>
    <w:rsid w:val="EFF7F42D"/>
    <w:rsid w:val="EFF93DEB"/>
    <w:rsid w:val="EFFEBB80"/>
    <w:rsid w:val="F1FDF1BC"/>
    <w:rsid w:val="F2CF9658"/>
    <w:rsid w:val="F3FCF173"/>
    <w:rsid w:val="F5BF4E41"/>
    <w:rsid w:val="F5BFBF97"/>
    <w:rsid w:val="F5E36407"/>
    <w:rsid w:val="F5E45601"/>
    <w:rsid w:val="F75F0FD8"/>
    <w:rsid w:val="F77E3513"/>
    <w:rsid w:val="F7BFD13C"/>
    <w:rsid w:val="F7F7FBC6"/>
    <w:rsid w:val="F9B520ED"/>
    <w:rsid w:val="FAF22409"/>
    <w:rsid w:val="FAF39C15"/>
    <w:rsid w:val="FBDE24DE"/>
    <w:rsid w:val="FBF3E50A"/>
    <w:rsid w:val="FBFD2067"/>
    <w:rsid w:val="FDBE640D"/>
    <w:rsid w:val="FE3B3FFD"/>
    <w:rsid w:val="FE79C9D8"/>
    <w:rsid w:val="FEDFE8B8"/>
    <w:rsid w:val="FEFF0698"/>
    <w:rsid w:val="FF0330C3"/>
    <w:rsid w:val="FF2F2233"/>
    <w:rsid w:val="FF5D9844"/>
    <w:rsid w:val="FFC35678"/>
    <w:rsid w:val="FFD762E2"/>
    <w:rsid w:val="FFF1EE72"/>
    <w:rsid w:val="FFF554DD"/>
    <w:rsid w:val="FFFF72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footnote text"/>
    <w:unhideWhenUsed/>
    <w:qFormat/>
    <w:uiPriority w:val="99"/>
    <w:pPr>
      <w:widowControl w:val="0"/>
      <w:snapToGrid w:val="0"/>
      <w:jc w:val="left"/>
    </w:pPr>
    <w:rPr>
      <w:rFonts w:ascii="Times New Roman" w:hAnsi="Times New Roman" w:eastAsia="宋体" w:cs="Times New Roman"/>
      <w:kern w:val="2"/>
      <w:sz w:val="18"/>
      <w:szCs w:val="22"/>
      <w:lang w:val="en-US" w:eastAsia="zh-CN" w:bidi="ar-SA"/>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5">
    <w:name w:val="Body Text First Indent"/>
    <w:qFormat/>
    <w:uiPriority w:val="0"/>
    <w:pPr>
      <w:widowControl/>
      <w:adjustRightInd w:val="0"/>
      <w:snapToGrid w:val="0"/>
      <w:spacing w:after="120"/>
      <w:ind w:firstLine="420" w:firstLineChars="100"/>
      <w:jc w:val="left"/>
    </w:pPr>
    <w:rPr>
      <w:rFonts w:ascii="Tahoma" w:hAnsi="Tahoma" w:eastAsia="微软雅黑" w:cs="Times New Roman"/>
      <w:kern w:val="0"/>
      <w:sz w:val="22"/>
      <w:szCs w:val="22"/>
      <w:lang w:val="en-US" w:eastAsia="zh-CN" w:bidi="ar-SA"/>
    </w:rPr>
  </w:style>
  <w:style w:type="table" w:styleId="7">
    <w:name w:val="Table Gri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otnote reference"/>
    <w:unhideWhenUsed/>
    <w:qFormat/>
    <w:uiPriority w:val="99"/>
    <w:rPr>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2025-07-17T00:42:00Z</dcterms:created>
  <dc:creator>高静姗</dc:creator>
  <cp:lastModifiedBy>曾媛</cp:lastModifiedBy>
  <cp:lastPrinted>2025-07-20T08:45:00Z</cp:lastPrinted>
  <dcterms:modified xsi:type="dcterms:W3CDTF">2025-09-17T10:01:48Z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033F75B97EABD32D8C16CA68A9799A7A</vt:lpwstr>
  </property>
</Properties>
</file>