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eastAsia" w:ascii="黑体" w:hAnsi="宋体" w:eastAsia="黑体" w:cs="仿宋_GB2312"/>
          <w:sz w:val="32"/>
          <w:szCs w:val="32"/>
          <w:lang w:val="en-US" w:eastAsia="zh-CN"/>
        </w:rPr>
      </w:pPr>
      <w:r>
        <w:rPr>
          <w:rFonts w:hint="eastAsia" w:ascii="黑体" w:hAnsi="宋体" w:eastAsia="黑体" w:cs="仿宋_GB2312"/>
          <w:sz w:val="32"/>
          <w:szCs w:val="32"/>
        </w:rPr>
        <w:t>附件</w:t>
      </w:r>
      <w:r>
        <w:rPr>
          <w:rFonts w:hint="eastAsia" w:ascii="黑体" w:hAnsi="宋体" w:eastAsia="黑体" w:cs="仿宋_GB2312"/>
          <w:sz w:val="32"/>
          <w:szCs w:val="32"/>
          <w:lang w:val="en-US" w:eastAsia="zh-CN"/>
        </w:rPr>
        <w:t>1</w:t>
      </w:r>
    </w:p>
    <w:p>
      <w:pPr>
        <w:adjustRightInd w:val="0"/>
        <w:snapToGrid w:val="0"/>
        <w:jc w:val="center"/>
        <w:rPr>
          <w:rFonts w:hint="eastAsia" w:ascii="方正小标宋简体" w:hAnsi="宋体" w:eastAsia="方正小标宋简体" w:cs="仿宋_GB2312"/>
          <w:kern w:val="0"/>
          <w:sz w:val="44"/>
          <w:szCs w:val="44"/>
        </w:rPr>
      </w:pPr>
      <w:r>
        <w:rPr>
          <w:rFonts w:hint="eastAsia" w:ascii="方正小标宋简体" w:hAnsi="宋体" w:eastAsia="方正小标宋简体" w:cs="仿宋_GB2312"/>
          <w:kern w:val="0"/>
          <w:sz w:val="44"/>
          <w:szCs w:val="44"/>
        </w:rPr>
        <w:t>政府购买社会工作服务项目采购需求文件</w:t>
      </w:r>
    </w:p>
    <w:p>
      <w:pPr>
        <w:adjustRightInd w:val="0"/>
        <w:snapToGrid w:val="0"/>
        <w:spacing w:line="400" w:lineRule="exact"/>
        <w:jc w:val="center"/>
        <w:rPr>
          <w:rFonts w:hint="eastAsia" w:ascii="楷体_GB2312" w:hAnsi="宋体" w:eastAsia="楷体_GB2312" w:cs="宋体"/>
          <w:kern w:val="0"/>
          <w:sz w:val="44"/>
          <w:szCs w:val="44"/>
        </w:rPr>
      </w:pPr>
    </w:p>
    <w:tbl>
      <w:tblPr>
        <w:tblStyle w:val="4"/>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960"/>
        <w:gridCol w:w="1848"/>
        <w:gridCol w:w="987"/>
        <w:gridCol w:w="1009"/>
        <w:gridCol w:w="1560"/>
        <w:gridCol w:w="1872"/>
        <w:gridCol w:w="119"/>
        <w:gridCol w:w="184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项目名称</w:t>
            </w:r>
          </w:p>
        </w:tc>
        <w:tc>
          <w:tcPr>
            <w:tcW w:w="47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rPr>
              <w:t>大鹏新区统战和社会建设局其他领域购买社会工作服务项目（退役军人社工服务项目）采购需求</w:t>
            </w:r>
          </w:p>
        </w:tc>
        <w:tc>
          <w:tcPr>
            <w:tcW w:w="44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社会工作服务项目库编码</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采购类型</w:t>
            </w:r>
          </w:p>
        </w:tc>
        <w:tc>
          <w:tcPr>
            <w:tcW w:w="47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社会工作服务类</w:t>
            </w:r>
            <w:r>
              <w:rPr>
                <w:rFonts w:hint="eastAsia" w:ascii="仿宋_GB2312" w:hAnsi="仿宋_GB2312" w:eastAsia="仿宋_GB2312" w:cs="仿宋_GB2312"/>
                <w:kern w:val="0"/>
                <w:sz w:val="24"/>
                <w:szCs w:val="24"/>
              </w:rPr>
              <w:t>☑</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社会工作服务支持类</w:t>
            </w:r>
            <w:r>
              <w:rPr>
                <w:rFonts w:hint="eastAsia" w:ascii="仿宋_GB2312" w:hAnsi="仿宋_GB2312" w:eastAsia="仿宋_GB2312" w:cs="仿宋_GB2312"/>
                <w:kern w:val="0"/>
                <w:sz w:val="24"/>
                <w:szCs w:val="24"/>
              </w:rPr>
              <w:t>□</w:t>
            </w:r>
          </w:p>
        </w:tc>
        <w:tc>
          <w:tcPr>
            <w:tcW w:w="44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采购方式</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ascii="仿宋_GB2312" w:hAnsi="仿宋_GB2312" w:eastAsia="仿宋_GB2312" w:cs="仿宋_GB2312"/>
                <w:szCs w:val="21"/>
              </w:rPr>
              <w:t>自行</w:t>
            </w:r>
            <w:r>
              <w:rPr>
                <w:rFonts w:hint="eastAsia" w:ascii="仿宋_GB2312" w:hAnsi="仿宋_GB2312" w:eastAsia="仿宋_GB2312" w:cs="仿宋_GB2312"/>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b/>
                <w:szCs w:val="21"/>
              </w:rPr>
            </w:pPr>
            <w:r>
              <w:rPr>
                <w:rFonts w:hint="eastAsia" w:ascii="仿宋_GB2312" w:hAnsi="仿宋_GB2312" w:eastAsia="仿宋_GB2312" w:cs="仿宋_GB2312"/>
                <w:b/>
                <w:bCs/>
                <w:szCs w:val="21"/>
              </w:rPr>
              <w:t>采购单位名称</w:t>
            </w:r>
          </w:p>
        </w:tc>
        <w:tc>
          <w:tcPr>
            <w:tcW w:w="47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ascii="仿宋_GB2312" w:hAnsi="仿宋_GB2312" w:eastAsia="仿宋_GB2312" w:cs="仿宋_GB2312"/>
                <w:szCs w:val="21"/>
              </w:rPr>
              <w:t>深圳市</w:t>
            </w:r>
            <w:r>
              <w:rPr>
                <w:rFonts w:hint="eastAsia" w:ascii="仿宋_GB2312" w:hAnsi="仿宋_GB2312" w:eastAsia="仿宋_GB2312" w:cs="仿宋_GB2312"/>
                <w:szCs w:val="21"/>
              </w:rPr>
              <w:t>大鹏新区统战和社会建设局</w:t>
            </w:r>
          </w:p>
        </w:tc>
        <w:tc>
          <w:tcPr>
            <w:tcW w:w="444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b/>
                <w:szCs w:val="21"/>
              </w:rPr>
              <w:t>财政预算限额（元）</w:t>
            </w:r>
          </w:p>
        </w:tc>
        <w:tc>
          <w:tcPr>
            <w:tcW w:w="425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831300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服务领域</w:t>
            </w:r>
          </w:p>
        </w:tc>
        <w:tc>
          <w:tcPr>
            <w:tcW w:w="1349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社会福利</w:t>
            </w:r>
            <w:r>
              <w:rPr>
                <w:rFonts w:hint="eastAsia" w:ascii="仿宋_GB2312" w:hAnsi="仿宋_GB2312" w:eastAsia="仿宋_GB2312" w:cs="仿宋_GB2312"/>
                <w:kern w:val="0"/>
                <w:sz w:val="24"/>
                <w:szCs w:val="24"/>
              </w:rPr>
              <w:t>□</w:t>
            </w:r>
            <w:r>
              <w:rPr>
                <w:rFonts w:hint="eastAsia" w:ascii="仿宋_GB2312" w:hAnsi="仿宋_GB2312" w:eastAsia="仿宋_GB2312" w:cs="仿宋_GB2312"/>
                <w:szCs w:val="21"/>
              </w:rPr>
              <w:t xml:space="preserve">  社会救助</w:t>
            </w:r>
            <w:r>
              <w:rPr>
                <w:rFonts w:hint="eastAsia" w:ascii="仿宋_GB2312" w:hAnsi="仿宋_GB2312" w:eastAsia="仿宋_GB2312" w:cs="仿宋_GB2312"/>
                <w:kern w:val="0"/>
                <w:sz w:val="24"/>
                <w:szCs w:val="24"/>
              </w:rPr>
              <w:t>□</w:t>
            </w:r>
            <w:r>
              <w:rPr>
                <w:rFonts w:hint="eastAsia" w:ascii="仿宋_GB2312" w:hAnsi="仿宋_GB2312" w:eastAsia="仿宋_GB2312" w:cs="仿宋_GB2312"/>
                <w:szCs w:val="21"/>
              </w:rPr>
              <w:t xml:space="preserve"> 慈善事业</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社区建设</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婚姻家庭</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精神卫生</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残障康复</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教育辅导</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w:t>
            </w:r>
          </w:p>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就业援助</w:t>
            </w:r>
            <w:r>
              <w:rPr>
                <w:rFonts w:hint="eastAsia" w:ascii="仿宋_GB2312" w:hAnsi="仿宋_GB2312" w:eastAsia="仿宋_GB2312" w:cs="仿宋_GB2312"/>
                <w:kern w:val="0"/>
                <w:sz w:val="24"/>
                <w:szCs w:val="24"/>
              </w:rPr>
              <w:t>□</w:t>
            </w:r>
            <w:r>
              <w:rPr>
                <w:rFonts w:hint="eastAsia" w:ascii="仿宋_GB2312" w:hAnsi="仿宋_GB2312" w:eastAsia="仿宋_GB2312" w:cs="仿宋_GB2312"/>
                <w:szCs w:val="21"/>
              </w:rPr>
              <w:t xml:space="preserve">  职工帮扶</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犯罪预防</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禁毒戒毒</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矫治帮教</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卫生健康</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纠纷调解</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应急处置</w:t>
            </w:r>
            <w:r>
              <w:rPr>
                <w:rFonts w:ascii="仿宋_GB2312" w:hAnsi="仿宋_GB2312" w:eastAsia="仿宋_GB2312" w:cs="仿宋_GB2312"/>
                <w:kern w:val="0"/>
                <w:sz w:val="24"/>
                <w:szCs w:val="24"/>
              </w:rPr>
              <w:t>□</w:t>
            </w:r>
            <w:r>
              <w:rPr>
                <w:rFonts w:hint="eastAsia" w:ascii="仿宋_GB2312" w:hAnsi="仿宋_GB2312" w:eastAsia="仿宋_GB2312" w:cs="仿宋_GB2312"/>
                <w:szCs w:val="21"/>
              </w:rPr>
              <w:t xml:space="preserve">  </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其他领域</w:t>
            </w:r>
            <w:r>
              <w:rPr>
                <w:rFonts w:hint="eastAsia" w:ascii="仿宋_GB2312" w:hAnsi="仿宋_GB2312" w:eastAsia="仿宋_GB2312" w:cs="仿宋_GB2312"/>
                <w:kern w:val="0"/>
                <w:sz w:val="24"/>
                <w:szCs w:val="24"/>
              </w:rPr>
              <w:t>☑</w:t>
            </w:r>
            <w:r>
              <w:rPr>
                <w:rFonts w:hint="eastAsia" w:ascii="仿宋_GB2312" w:hAnsi="仿宋_GB2312" w:eastAsia="仿宋_GB2312" w:cs="仿宋_GB2312"/>
                <w:szCs w:val="21"/>
              </w:rPr>
              <w:t>（街道反邪教服务、现退役军人服务、社会工作支持性服务、法律法规规定的、其他主管部门认定的其他属于社会工作服务的领域）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项目背景</w:t>
            </w:r>
          </w:p>
        </w:tc>
        <w:tc>
          <w:tcPr>
            <w:tcW w:w="1349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szCs w:val="21"/>
                <w:lang w:val="en"/>
              </w:rPr>
              <w:t>根据《中共广东省委办公厅广东省人民政府办公厅印发关于建立和完善我省复退军人服务体系的意见的通知》</w:t>
            </w:r>
            <w:r>
              <w:rPr>
                <w:rFonts w:hint="eastAsia" w:ascii="仿宋_GB2312" w:hAnsi="仿宋_GB2312" w:eastAsia="仿宋_GB2312" w:cs="仿宋_GB2312"/>
                <w:szCs w:val="21"/>
                <w:lang w:val="en" w:eastAsia="zh-CN"/>
              </w:rPr>
              <w:t>（</w:t>
            </w:r>
            <w:r>
              <w:rPr>
                <w:rFonts w:hint="eastAsia" w:ascii="仿宋_GB2312" w:hAnsi="仿宋_GB2312" w:eastAsia="仿宋_GB2312" w:cs="仿宋_GB2312"/>
                <w:szCs w:val="21"/>
                <w:lang w:val="en"/>
              </w:rPr>
              <w:t>粤委办〔2017〕2号</w:t>
            </w:r>
            <w:r>
              <w:rPr>
                <w:rFonts w:hint="eastAsia" w:ascii="仿宋_GB2312" w:hAnsi="仿宋_GB2312" w:eastAsia="仿宋_GB2312" w:cs="仿宋_GB2312"/>
                <w:szCs w:val="21"/>
                <w:lang w:val="en" w:eastAsia="zh-CN"/>
              </w:rPr>
              <w:t>）</w:t>
            </w:r>
            <w:r>
              <w:rPr>
                <w:rFonts w:hint="eastAsia" w:ascii="仿宋_GB2312" w:hAnsi="仿宋_GB2312" w:eastAsia="仿宋_GB2312" w:cs="仿宋_GB2312"/>
                <w:szCs w:val="21"/>
                <w:lang w:val="en"/>
              </w:rPr>
              <w:t>《中共广东省委办公厅广东省人民政府办公厅印发</w:t>
            </w:r>
            <w:r>
              <w:rPr>
                <w:rFonts w:hint="eastAsia" w:ascii="仿宋_GB2312" w:hAnsi="仿宋_GB2312" w:eastAsia="仿宋_GB2312" w:cs="仿宋_GB2312"/>
                <w:szCs w:val="21"/>
              </w:rPr>
              <w:t>&lt;</w:t>
            </w:r>
            <w:r>
              <w:rPr>
                <w:rFonts w:hint="eastAsia" w:ascii="仿宋_GB2312" w:hAnsi="仿宋_GB2312" w:eastAsia="仿宋_GB2312" w:cs="仿宋_GB2312"/>
                <w:szCs w:val="21"/>
                <w:lang w:val="en"/>
              </w:rPr>
              <w:t>关于建立和完善我省复退军人服务体系的意见</w:t>
            </w:r>
            <w:r>
              <w:rPr>
                <w:rFonts w:hint="eastAsia" w:ascii="仿宋_GB2312" w:hAnsi="仿宋_GB2312" w:eastAsia="仿宋_GB2312" w:cs="仿宋_GB2312"/>
                <w:szCs w:val="21"/>
              </w:rPr>
              <w:t>&gt;</w:t>
            </w:r>
            <w:r>
              <w:rPr>
                <w:rFonts w:hint="eastAsia" w:ascii="仿宋_GB2312" w:hAnsi="仿宋_GB2312" w:eastAsia="仿宋_GB2312" w:cs="仿宋_GB2312"/>
                <w:szCs w:val="21"/>
                <w:lang w:val="en"/>
              </w:rPr>
              <w:t>的通知》《广东省民政厅</w:t>
            </w:r>
            <w:r>
              <w:rPr>
                <w:rFonts w:hint="eastAsia" w:ascii="仿宋_GB2312" w:hAnsi="仿宋_GB2312" w:eastAsia="仿宋_GB2312" w:cs="仿宋_GB2312"/>
                <w:szCs w:val="21"/>
              </w:rPr>
              <w:t xml:space="preserve"> 广东省信访局印发&lt;关于贯彻落实</w:t>
            </w:r>
            <w:r>
              <w:rPr>
                <w:rFonts w:hint="eastAsia" w:ascii="仿宋_GB2312" w:hAnsi="仿宋_GB2312" w:eastAsia="仿宋_GB2312" w:cs="仿宋_GB2312"/>
                <w:szCs w:val="21"/>
                <w:lang w:val="en"/>
              </w:rPr>
              <w:t>粤委办〔2017〕2号文的指导意见</w:t>
            </w:r>
            <w:r>
              <w:rPr>
                <w:rFonts w:hint="eastAsia" w:ascii="仿宋_GB2312" w:hAnsi="仿宋_GB2312" w:eastAsia="仿宋_GB2312" w:cs="仿宋_GB2312"/>
                <w:szCs w:val="21"/>
              </w:rPr>
              <w:t>&gt;的通知</w:t>
            </w:r>
            <w:r>
              <w:rPr>
                <w:rFonts w:hint="eastAsia" w:ascii="仿宋_GB2312" w:hAnsi="仿宋_GB2312" w:eastAsia="仿宋_GB2312" w:cs="仿宋_GB2312"/>
                <w:szCs w:val="21"/>
                <w:lang w:val="en"/>
              </w:rPr>
              <w:t>》《深圳市民政局</w:t>
            </w:r>
            <w:r>
              <w:rPr>
                <w:rFonts w:hint="eastAsia" w:ascii="仿宋_GB2312" w:hAnsi="仿宋_GB2312" w:eastAsia="仿宋_GB2312" w:cs="仿宋_GB2312"/>
                <w:szCs w:val="21"/>
              </w:rPr>
              <w:t xml:space="preserve"> 深圳市信访局关于印发&lt;关于建立和完善深圳市复退军人服务体系的实施方案&gt;的通知</w:t>
            </w:r>
            <w:r>
              <w:rPr>
                <w:rFonts w:hint="eastAsia" w:ascii="仿宋_GB2312" w:hAnsi="仿宋_GB2312" w:eastAsia="仿宋_GB2312" w:cs="仿宋_GB2312"/>
                <w:szCs w:val="21"/>
                <w:lang w:val="en"/>
              </w:rPr>
              <w:t>》和《大鹏新区建立和完善复退军人服务体系工作方案》文件精神和要求，结合新区实际情况，通过政府购买社会服务等方式，开展退役军人和其他优抚对象社会工作服务。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b/>
                <w:kern w:val="0"/>
                <w:szCs w:val="21"/>
              </w:rPr>
              <w:t>投标人资质要求</w:t>
            </w:r>
          </w:p>
        </w:tc>
        <w:tc>
          <w:tcPr>
            <w:tcW w:w="1349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left"/>
              <w:rPr>
                <w:rFonts w:hint="eastAsia" w:ascii="仿宋_GB2312" w:hAnsi="仿宋_GB2312" w:eastAsia="仿宋_GB2312" w:cs="仿宋_GB2312"/>
                <w:kern w:val="0"/>
                <w:sz w:val="20"/>
                <w:szCs w:val="21"/>
              </w:rPr>
            </w:pPr>
            <w:r>
              <w:rPr>
                <w:rFonts w:ascii="仿宋_GB2312" w:hAnsi="仿宋_GB2312" w:eastAsia="仿宋_GB2312" w:cs="仿宋_GB2312"/>
                <w:bCs/>
                <w:kern w:val="0"/>
                <w:szCs w:val="21"/>
              </w:rPr>
              <w:t>投标人主要为依法在民政部门登记成立的社会组织，具备相应能力和条件的企事业单位也可作为承接主体，并具备以下基本条件：1.在中华人民共和国境内注册，具有独立法人资格或具有独立承担民事责任能力的其它组织（提供营业执照、事业单位法人证、社会组织登记证等法人证明扫描件，原件备查）以及具有良好的商业信誉和健全的财务会计制度；具有履行合同所必需的设备和专业技术能力；有依法缴纳税收和社会保障资金的良好记录。2.投标人必须具有深圳市政府采购注册承接主体资格（在深圳市政府采购承接主体库中显示有效）。3.参与本项目投标前三年内，在经营活动中没有重大违法记录（由承接主体做出承诺）。4.参与本项目政府采购活动时不存在被有关部门禁止参与政府采购活动且在有效期内的情况（由承接主体做出承诺）。5.参与政府采购项目投标的承接主体未被列入失信被执行人、重大税收违法案件当事人名单、政府采购严重违法失信行为记录名单（由承接主体做出承诺）。6.投标人不得将本项目招标内容以任何方式进行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4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b/>
                <w:szCs w:val="21"/>
              </w:rPr>
              <w:t>项目清单</w:t>
            </w:r>
          </w:p>
        </w:tc>
        <w:tc>
          <w:tcPr>
            <w:tcW w:w="1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8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采购计划编号</w:t>
            </w:r>
          </w:p>
        </w:tc>
        <w:tc>
          <w:tcPr>
            <w:tcW w:w="19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需求内容</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w:t>
            </w:r>
          </w:p>
        </w:tc>
        <w:tc>
          <w:tcPr>
            <w:tcW w:w="22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4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Calibri"/>
                <w:sz w:val="20"/>
                <w:szCs w:val="20"/>
              </w:rPr>
            </w:pPr>
          </w:p>
        </w:tc>
        <w:tc>
          <w:tcPr>
            <w:tcW w:w="19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8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
              </w:rPr>
              <w:t>大鹏新区统战和社会建设局其他领域购买社会工作服务项目（退役军人社工服务项目）</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ascii="仿宋_GB2312" w:hAnsi="仿宋_GB2312" w:eastAsia="仿宋_GB2312" w:cs="仿宋_GB2312"/>
                <w:szCs w:val="21"/>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ascii="仿宋_GB2312" w:hAnsi="仿宋_GB2312" w:eastAsia="仿宋_GB2312" w:cs="仿宋_GB2312"/>
                <w:szCs w:val="21"/>
              </w:rPr>
              <w:t>深圳市</w:t>
            </w:r>
            <w:r>
              <w:rPr>
                <w:rFonts w:hint="eastAsia" w:ascii="仿宋_GB2312" w:hAnsi="仿宋_GB2312" w:eastAsia="仿宋_GB2312" w:cs="仿宋_GB2312"/>
                <w:szCs w:val="21"/>
              </w:rPr>
              <w:t>大鹏新区统战和社会建设局</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ascii="仿宋_GB2312" w:hAnsi="仿宋_GB2312" w:eastAsia="仿宋_GB2312" w:cs="仿宋_GB2312"/>
                <w:szCs w:val="21"/>
              </w:rPr>
              <w:t>配备</w:t>
            </w:r>
            <w:r>
              <w:rPr>
                <w:rFonts w:hint="eastAsia" w:ascii="仿宋_GB2312" w:hAnsi="仿宋_GB2312" w:eastAsia="仿宋_GB2312" w:cs="仿宋_GB2312"/>
                <w:szCs w:val="21"/>
              </w:rPr>
              <w:t>6</w:t>
            </w:r>
            <w:r>
              <w:rPr>
                <w:rFonts w:ascii="仿宋_GB2312" w:hAnsi="仿宋_GB2312" w:eastAsia="仿宋_GB2312" w:cs="仿宋_GB2312"/>
                <w:szCs w:val="21"/>
              </w:rPr>
              <w:t>名社工服务</w:t>
            </w:r>
          </w:p>
        </w:tc>
        <w:tc>
          <w:tcPr>
            <w:tcW w:w="22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831300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具体技术要求</w:t>
            </w:r>
          </w:p>
        </w:tc>
        <w:tc>
          <w:tcPr>
            <w:tcW w:w="13491"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1.项目目标</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通过购买社会工作服务提供个案管理服务，为有需要的</w:t>
            </w:r>
            <w:r>
              <w:rPr>
                <w:rFonts w:hint="eastAsia" w:ascii="仿宋_GB2312" w:hAnsi="仿宋_GB2312" w:eastAsia="仿宋_GB2312" w:cs="仿宋_GB2312"/>
                <w:bCs/>
                <w:kern w:val="0"/>
                <w:szCs w:val="21"/>
                <w:lang w:eastAsia="zh-CN"/>
              </w:rPr>
              <w:t>现役</w:t>
            </w:r>
            <w:r>
              <w:rPr>
                <w:rFonts w:hint="eastAsia" w:ascii="仿宋_GB2312" w:hAnsi="仿宋_GB2312" w:eastAsia="仿宋_GB2312" w:cs="仿宋_GB2312"/>
                <w:bCs/>
                <w:kern w:val="0"/>
                <w:szCs w:val="21"/>
              </w:rPr>
              <w:t>、退役军人、优抚对象及其家庭在生活、医疗、教育、就业、创业、心理、健康等方面提供个别化服务。</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2.项目内容</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（1）营造拥军优属、拥政爱民的良好社会氛围，提升服务对象的荣誉感、幸福感和获得感，把党和政府对优抚对象、退役军人、现役军人家属的关心关爱落到实处；</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（2）通过系列专业服务活动，促进其融入社会、参与社会治理，彰显军人本色，推动退役军人工作社会化、专业化发展；</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（3）依托区级退役军人服务阵地，打造暖心的“战友之家”，确保在专业社会工作的理论和实务指导下，让服务对象生活得更加安心、舒心、放心；</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（4）做好退役军人建档工作，确保档案数据的严谨真实，能够准确</w:t>
            </w:r>
            <w:r>
              <w:rPr>
                <w:rFonts w:hint="eastAsia" w:ascii="仿宋_GB2312" w:hAnsi="仿宋_GB2312" w:eastAsia="仿宋_GB2312" w:cs="仿宋_GB2312"/>
                <w:bCs/>
                <w:kern w:val="0"/>
                <w:szCs w:val="21"/>
                <w:lang w:eastAsia="zh-CN"/>
              </w:rPr>
              <w:t>反映</w:t>
            </w:r>
            <w:r>
              <w:rPr>
                <w:rFonts w:hint="eastAsia" w:ascii="仿宋_GB2312" w:hAnsi="仿宋_GB2312" w:eastAsia="仿宋_GB2312" w:cs="仿宋_GB2312"/>
                <w:bCs/>
                <w:kern w:val="0"/>
                <w:szCs w:val="21"/>
              </w:rPr>
              <w:t>退役军人情况，以便为用人单位提供数据参考；</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（5）提供个案管理服务，为有需要的</w:t>
            </w:r>
            <w:r>
              <w:rPr>
                <w:rFonts w:hint="eastAsia" w:ascii="仿宋_GB2312" w:hAnsi="仿宋_GB2312" w:eastAsia="仿宋_GB2312" w:cs="仿宋_GB2312"/>
                <w:bCs/>
                <w:kern w:val="0"/>
                <w:szCs w:val="21"/>
                <w:lang w:eastAsia="zh-CN"/>
              </w:rPr>
              <w:t>现役</w:t>
            </w:r>
            <w:r>
              <w:rPr>
                <w:rFonts w:hint="eastAsia" w:ascii="仿宋_GB2312" w:hAnsi="仿宋_GB2312" w:eastAsia="仿宋_GB2312" w:cs="仿宋_GB2312"/>
                <w:bCs/>
                <w:kern w:val="0"/>
                <w:szCs w:val="21"/>
              </w:rPr>
              <w:t>、退役军人、优抚对象及其家庭在生活、医疗、教育、就业、创业、心理、健康等方面提供个别化服务。</w:t>
            </w:r>
            <w:r>
              <w:rPr>
                <w:rFonts w:hint="eastAsia" w:ascii="仿宋_GB2312" w:hAnsi="仿宋_GB2312" w:eastAsia="仿宋_GB2312" w:cs="仿宋_GB2312"/>
                <w:bCs/>
                <w:kern w:val="0"/>
                <w:szCs w:val="21"/>
              </w:rPr>
              <w:br w:type="textWrapping"/>
            </w:r>
            <w:r>
              <w:rPr>
                <w:rFonts w:hint="eastAsia" w:ascii="仿宋_GB2312" w:hAnsi="仿宋_GB2312" w:eastAsia="仿宋_GB2312" w:cs="仿宋_GB2312"/>
                <w:bCs/>
                <w:kern w:val="0"/>
                <w:szCs w:val="21"/>
                <w:lang w:val="en-US" w:eastAsia="zh-CN"/>
              </w:rPr>
              <w:t xml:space="preserve">    </w:t>
            </w:r>
            <w:bookmarkStart w:id="0" w:name="_GoBack"/>
            <w:bookmarkEnd w:id="0"/>
            <w:r>
              <w:rPr>
                <w:rFonts w:hint="eastAsia" w:ascii="仿宋_GB2312" w:hAnsi="仿宋_GB2312" w:eastAsia="仿宋_GB2312" w:cs="仿宋_GB2312"/>
                <w:bCs/>
                <w:kern w:val="0"/>
                <w:szCs w:val="21"/>
              </w:rPr>
              <w:t>3.项目考核及评估标准</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（1）购买主体考核：项目配备的人员符合本项目规定的专业资质要求，提供服务的时间、服务内容、服务指标量达到合同约定的条件；</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（2）服务对象评估：服务对象满意度问卷调查或个案抽查回访；服务对象收获及对现状的改变提升等。</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（3）其他考核评估：新区民政部门对社会工作领域服务项目开展的专门性考核评估。</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4.项目需达到的效果</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通过专业社会工作者的服务，进一步推进退役军人服务保障体系建设，强化宗旨意识、强化业务学习、强化管理服务，全面提升退役军人服务保障水平，用心用情做好退役军人工作，全力维护政治社会大局稳定，奋力开创新区退役军人工作新局面，不断增强该群体的认同感及获得感。</w:t>
            </w:r>
            <w:r>
              <w:rPr>
                <w:rFonts w:hint="eastAsia" w:ascii="仿宋_GB2312" w:hAnsi="仿宋_GB2312" w:eastAsia="仿宋_GB2312" w:cs="仿宋_GB2312"/>
                <w:bCs/>
                <w:kern w:val="0"/>
                <w:szCs w:val="21"/>
              </w:rPr>
              <w:br w:type="textWrapping"/>
            </w:r>
            <w:r>
              <w:rPr>
                <w:rFonts w:hint="eastAsia" w:ascii="仿宋_GB2312" w:hAnsi="仿宋_GB2312" w:eastAsia="仿宋_GB2312" w:cs="仿宋_GB2312"/>
                <w:bCs/>
                <w:kern w:val="0"/>
                <w:szCs w:val="21"/>
              </w:rPr>
              <w:t xml:space="preserve">     5.项目人员配置要求</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（1）由中标供应商为项目购买单位配备6名社工</w:t>
            </w:r>
            <w:r>
              <w:rPr>
                <w:rFonts w:hint="eastAsia" w:ascii="仿宋_GB2312" w:hAnsi="仿宋_GB2312" w:eastAsia="仿宋_GB2312" w:cs="仿宋_GB2312"/>
                <w:bCs/>
                <w:kern w:val="0"/>
                <w:szCs w:val="21"/>
                <w:lang w:eastAsia="zh-CN"/>
              </w:rPr>
              <w:t>（</w:t>
            </w:r>
            <w:r>
              <w:rPr>
                <w:rFonts w:hint="eastAsia" w:ascii="仿宋_GB2312" w:hAnsi="仿宋_GB2312" w:eastAsia="仿宋_GB2312" w:cs="仿宋_GB2312"/>
                <w:bCs/>
                <w:kern w:val="0"/>
                <w:szCs w:val="21"/>
              </w:rPr>
              <w:t>专职人员</w:t>
            </w:r>
            <w:r>
              <w:rPr>
                <w:rFonts w:hint="eastAsia" w:ascii="仿宋_GB2312" w:hAnsi="仿宋_GB2312" w:eastAsia="仿宋_GB2312" w:cs="仿宋_GB2312"/>
                <w:bCs/>
                <w:kern w:val="0"/>
                <w:szCs w:val="21"/>
                <w:lang w:eastAsia="zh-CN"/>
              </w:rPr>
              <w:t>）</w:t>
            </w:r>
            <w:r>
              <w:rPr>
                <w:rFonts w:hint="eastAsia" w:ascii="仿宋_GB2312" w:hAnsi="仿宋_GB2312" w:eastAsia="仿宋_GB2312" w:cs="仿宋_GB2312"/>
                <w:bCs/>
                <w:kern w:val="0"/>
                <w:szCs w:val="21"/>
              </w:rPr>
              <w:t>从事退役军人社会服务工作，项目配备人员需具备大专以上学历，持助理社会工作师以上职业水平证书，或者退出现役、有2年</w:t>
            </w:r>
            <w:r>
              <w:rPr>
                <w:rFonts w:hint="eastAsia" w:ascii="仿宋_GB2312" w:hAnsi="仿宋_GB2312" w:eastAsia="仿宋_GB2312" w:cs="仿宋_GB2312"/>
                <w:bCs/>
                <w:kern w:val="0"/>
                <w:szCs w:val="21"/>
                <w:lang w:eastAsia="zh-CN"/>
              </w:rPr>
              <w:t>（含）</w:t>
            </w:r>
            <w:r>
              <w:rPr>
                <w:rFonts w:hint="eastAsia" w:ascii="仿宋_GB2312" w:hAnsi="仿宋_GB2312" w:eastAsia="仿宋_GB2312" w:cs="仿宋_GB2312"/>
                <w:bCs/>
                <w:kern w:val="0"/>
                <w:szCs w:val="21"/>
              </w:rPr>
              <w:t>以上相关社会工作经验的退役军人</w:t>
            </w:r>
            <w:r>
              <w:rPr>
                <w:rFonts w:hint="eastAsia" w:ascii="仿宋_GB2312" w:hAnsi="仿宋_GB2312" w:eastAsia="仿宋_GB2312" w:cs="仿宋_GB2312"/>
                <w:bCs/>
                <w:kern w:val="0"/>
                <w:szCs w:val="21"/>
                <w:lang w:eastAsia="zh-CN"/>
              </w:rPr>
              <w:t>（学历条件可适当放宽）</w:t>
            </w:r>
            <w:r>
              <w:rPr>
                <w:rFonts w:hint="eastAsia" w:ascii="仿宋_GB2312" w:hAnsi="仿宋_GB2312" w:eastAsia="仿宋_GB2312" w:cs="仿宋_GB2312"/>
                <w:bCs/>
                <w:kern w:val="0"/>
                <w:szCs w:val="21"/>
              </w:rPr>
              <w:t>，且须通过采购单位面试合格； （2）具有良好的人际沟通能力、语言表达能力及公文写作能力；</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（3）能运用专业方法和技巧，充分发掘服务对象潜能，为其解决实际问题，为相关工作出谋划策；</w:t>
            </w:r>
          </w:p>
          <w:p>
            <w:pPr>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（4）热爱社会工作，具有社会责任感和敬业精神，遵守职业操守及管理制度。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商务需求</w:t>
            </w:r>
          </w:p>
        </w:tc>
        <w:tc>
          <w:tcPr>
            <w:tcW w:w="13491" w:type="dxa"/>
            <w:gridSpan w:val="9"/>
            <w:tcBorders>
              <w:top w:val="single" w:color="auto" w:sz="4" w:space="0"/>
              <w:left w:val="single" w:color="auto" w:sz="4" w:space="0"/>
              <w:bottom w:val="single" w:color="auto" w:sz="4" w:space="0"/>
              <w:right w:val="single" w:color="auto" w:sz="4" w:space="0"/>
            </w:tcBorders>
            <w:vAlign w:val="center"/>
          </w:tcPr>
          <w:p>
            <w:pPr>
              <w:shd w:val="clear" w:fill="FFFFFF" w:themeFill="background1"/>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一）项目期限：本项目周期原则上为一年，合同执行完成后须由采购方对项目进行验收，中标人须提交项目总结报告等技术报告及服务过程资料。采购人可根据项目需要和中标供应商的履约情况确定合同期限是否延长，合同一年一签，但最长不超过三十六个月，如采购人对履约情况不满意，采购人有权不再续约。如政策调整或变动，可依据政策进行调整。</w:t>
            </w:r>
          </w:p>
          <w:p>
            <w:pPr>
              <w:shd w:val="clear" w:fill="FFFFFF" w:themeFill="background1"/>
              <w:adjustRightInd w:val="0"/>
              <w:snapToGrid w:val="0"/>
              <w:ind w:firstLine="420" w:firstLineChars="200"/>
              <w:jc w:val="left"/>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（二）经费使用：中标供应商需根据《</w:t>
            </w:r>
            <w:r>
              <w:rPr>
                <w:rFonts w:hint="eastAsia" w:ascii="仿宋_GB2312" w:hAnsi="仿宋_GB2312" w:eastAsia="仿宋_GB2312" w:cs="仿宋_GB2312"/>
                <w:bCs/>
                <w:kern w:val="0"/>
                <w:szCs w:val="21"/>
                <w:lang w:eastAsia="zh-CN"/>
              </w:rPr>
              <w:t>深圳市</w:t>
            </w:r>
            <w:r>
              <w:rPr>
                <w:rFonts w:hint="eastAsia" w:ascii="仿宋_GB2312" w:hAnsi="仿宋_GB2312" w:eastAsia="仿宋_GB2312" w:cs="仿宋_GB2312"/>
                <w:bCs/>
                <w:kern w:val="0"/>
                <w:szCs w:val="21"/>
              </w:rPr>
              <w:t>关于提升社会工作服务水平的若干措施》相关经费使用要求的原标准（16.3万元/人/年）的85%，为13.855万元/人/年。其中项目人力成本不少于项目经费的85%。项目其他经费不高于项目经费的15%，包括督导经费（不得低于350元/月/人）、业务活动费、服务险、人员培训费、管理费、税费等。</w:t>
            </w:r>
            <w:r>
              <w:rPr>
                <w:rFonts w:hint="eastAsia" w:ascii="仿宋_GB2312" w:hAnsi="仿宋_GB2312" w:eastAsia="仿宋_GB2312" w:cs="仿宋_GB2312"/>
                <w:bCs/>
                <w:kern w:val="0"/>
                <w:szCs w:val="21"/>
              </w:rPr>
              <w:br w:type="textWrapping"/>
            </w:r>
            <w:r>
              <w:rPr>
                <w:rFonts w:hint="eastAsia" w:ascii="仿宋_GB2312" w:hAnsi="仿宋_GB2312" w:eastAsia="仿宋_GB2312" w:cs="仿宋_GB2312"/>
                <w:bCs/>
                <w:kern w:val="0"/>
                <w:szCs w:val="21"/>
                <w:lang w:val="en-US" w:eastAsia="zh-CN"/>
              </w:rPr>
              <w:t xml:space="preserve">    </w:t>
            </w:r>
            <w:r>
              <w:rPr>
                <w:rFonts w:hint="eastAsia" w:ascii="仿宋_GB2312" w:hAnsi="仿宋_GB2312" w:eastAsia="仿宋_GB2312" w:cs="仿宋_GB2312"/>
                <w:bCs/>
                <w:kern w:val="0"/>
                <w:szCs w:val="21"/>
              </w:rPr>
              <w:t>（三）付款方式：本项目经费分四期拨付，额度分别为项目经费总额的5%、40%、40%、5%，首期款拨付时间为合同签</w:t>
            </w:r>
            <w:r>
              <w:rPr>
                <w:rFonts w:hint="eastAsia" w:ascii="仿宋_GB2312" w:hAnsi="仿宋_GB2312" w:eastAsia="仿宋_GB2312" w:cs="仿宋_GB2312"/>
                <w:bCs/>
                <w:kern w:val="0"/>
                <w:szCs w:val="21"/>
                <w:lang w:eastAsia="zh-CN"/>
              </w:rPr>
              <w:t>订</w:t>
            </w:r>
            <w:r>
              <w:rPr>
                <w:rFonts w:hint="eastAsia" w:ascii="仿宋_GB2312" w:hAnsi="仿宋_GB2312" w:eastAsia="仿宋_GB2312" w:cs="仿宋_GB2312"/>
                <w:bCs/>
                <w:kern w:val="0"/>
                <w:szCs w:val="21"/>
              </w:rPr>
              <w:t>后30日内，二期款拨付时间为项目执行3个月后，三期款拨付时间为项目执行6个月后，尾款拨付时间为项目执行期结束且经甲方考核验收合格后30日内，各期经费拨付时间均以采购单位收到中标供应商提供的合法票据之日起计算，因采购单位内部付款审批流程所需时间不计算在付款期限内（即因甲方付款审批流程导致未及时支付的不视为甲方违约）。</w:t>
            </w:r>
          </w:p>
          <w:p>
            <w:pPr>
              <w:adjustRightInd w:val="0"/>
              <w:snapToGrid w:val="0"/>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bCs/>
                <w:kern w:val="0"/>
                <w:szCs w:val="21"/>
              </w:rPr>
              <w:t>（四）履约评价：采购单位建立以服务合同为基础的履约评价制度，通过开展随机抽查、投诉核查、服务对象跟踪等监察手段对项目执行情况进行事中、事后监督管理，对中标单位的项目人员配备数量及资质、经费使用、项目人员薪酬福利、服务标准及质量等开展社会工作服务项目合同履约评价。履约评价结果分为优、良、合格、不合格四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240" w:type="dxa"/>
            <w:gridSpan w:val="10"/>
            <w:tcBorders>
              <w:top w:val="single" w:color="auto" w:sz="4" w:space="0"/>
              <w:left w:val="single" w:color="auto" w:sz="4" w:space="0"/>
              <w:bottom w:val="single" w:color="auto" w:sz="4" w:space="0"/>
              <w:right w:val="single" w:color="auto" w:sz="4" w:space="0"/>
            </w:tcBorders>
            <w:vAlign w:val="center"/>
          </w:tcPr>
          <w:tbl>
            <w:tblPr>
              <w:tblStyle w:val="4"/>
              <w:tblW w:w="16044"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45"/>
              <w:gridCol w:w="657"/>
              <w:gridCol w:w="1294"/>
              <w:gridCol w:w="1385"/>
              <w:gridCol w:w="709"/>
              <w:gridCol w:w="9194"/>
              <w:gridCol w:w="283"/>
              <w:gridCol w:w="284"/>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Pr>
              <w:tc>
                <w:tcPr>
                  <w:tcW w:w="1064" w:type="dxa"/>
                  <w:vMerge w:val="restart"/>
                  <w:vAlign w:val="center"/>
                </w:tcPr>
                <w:p>
                  <w:pPr>
                    <w:adjustRightInd w:val="0"/>
                    <w:snapToGrid w:val="0"/>
                    <w:ind w:left="-603" w:leftChars="-287" w:firstLine="602" w:firstLineChars="286"/>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w:t>
                  </w:r>
                </w:p>
                <w:p>
                  <w:pPr>
                    <w:adjustRightInd w:val="0"/>
                    <w:snapToGrid w:val="0"/>
                    <w:ind w:left="-603" w:leftChars="-287" w:firstLine="602" w:firstLineChars="286"/>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标</w:t>
                  </w:r>
                </w:p>
                <w:p>
                  <w:pPr>
                    <w:adjustRightInd w:val="0"/>
                    <w:snapToGrid w:val="0"/>
                    <w:ind w:left="-603" w:leftChars="-287" w:firstLine="602" w:firstLineChars="286"/>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信</w:t>
                  </w:r>
                </w:p>
                <w:p>
                  <w:pPr>
                    <w:adjustRightInd w:val="0"/>
                    <w:snapToGrid w:val="0"/>
                    <w:ind w:left="-603" w:leftChars="-287" w:firstLine="602" w:firstLineChars="286"/>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息</w:t>
                  </w:r>
                </w:p>
              </w:tc>
              <w:tc>
                <w:tcPr>
                  <w:tcW w:w="645" w:type="dxa"/>
                  <w:vAlign w:val="center"/>
                </w:tcPr>
                <w:p>
                  <w:pPr>
                    <w:adjustRightInd w:val="0"/>
                    <w:snapToGrid w:val="0"/>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4045" w:type="dxa"/>
                  <w:gridSpan w:val="4"/>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评分项</w:t>
                  </w:r>
                </w:p>
              </w:tc>
              <w:tc>
                <w:tcPr>
                  <w:tcW w:w="9194"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19" w:hRule="atLeast"/>
              </w:trPr>
              <w:tc>
                <w:tcPr>
                  <w:tcW w:w="1064" w:type="dxa"/>
                  <w:vMerge w:val="continue"/>
                </w:tcPr>
                <w:p>
                  <w:pPr>
                    <w:adjustRightInd w:val="0"/>
                    <w:snapToGrid w:val="0"/>
                    <w:jc w:val="center"/>
                    <w:rPr>
                      <w:rFonts w:hint="eastAsia" w:ascii="仿宋_GB2312" w:hAnsi="仿宋_GB2312" w:eastAsia="仿宋_GB2312" w:cs="仿宋_GB2312"/>
                      <w:b/>
                      <w:szCs w:val="21"/>
                    </w:rPr>
                  </w:pPr>
                </w:p>
              </w:tc>
              <w:tc>
                <w:tcPr>
                  <w:tcW w:w="645" w:type="dxa"/>
                  <w:vMerge w:val="restart"/>
                  <w:vAlign w:val="center"/>
                </w:tcPr>
                <w:p>
                  <w:pPr>
                    <w:adjustRightInd w:val="0"/>
                    <w:snapToGrid w:val="0"/>
                    <w:jc w:val="center"/>
                    <w:rPr>
                      <w:rFonts w:hint="eastAsia" w:ascii="仿宋_GB2312" w:hAnsi="仿宋_GB2312" w:eastAsia="仿宋_GB2312" w:cs="仿宋_GB2312"/>
                      <w:b/>
                      <w:szCs w:val="21"/>
                    </w:rPr>
                  </w:pPr>
                  <w:r>
                    <w:rPr>
                      <w:rFonts w:ascii="仿宋_GB2312" w:hAnsi="仿宋_GB2312" w:eastAsia="仿宋_GB2312" w:cs="仿宋_GB2312"/>
                      <w:b/>
                      <w:szCs w:val="21"/>
                    </w:rPr>
                    <w:t>1</w:t>
                  </w:r>
                </w:p>
              </w:tc>
              <w:tc>
                <w:tcPr>
                  <w:tcW w:w="4045" w:type="dxa"/>
                  <w:gridSpan w:val="4"/>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价格</w:t>
                  </w:r>
                </w:p>
              </w:tc>
              <w:tc>
                <w:tcPr>
                  <w:tcW w:w="9194" w:type="dxa"/>
                  <w:vAlign w:val="center"/>
                </w:tcPr>
                <w:p>
                  <w:pPr>
                    <w:adjustRightInd w:val="0"/>
                    <w:snapToGrid w:val="0"/>
                    <w:jc w:val="center"/>
                    <w:rPr>
                      <w:rFonts w:hint="eastAsia" w:ascii="仿宋_GB2312" w:hAnsi="仿宋_GB2312" w:eastAsia="仿宋_GB2312" w:cs="仿宋_GB2312"/>
                      <w:b/>
                      <w:szCs w:val="21"/>
                    </w:rPr>
                  </w:pPr>
                  <w:r>
                    <w:rPr>
                      <w:rFonts w:ascii="仿宋_GB2312" w:hAnsi="仿宋_GB2312" w:eastAsia="仿宋_GB2312" w:cs="仿宋_GB2312"/>
                      <w:b/>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19" w:hRule="atLeast"/>
              </w:trPr>
              <w:tc>
                <w:tcPr>
                  <w:tcW w:w="1064" w:type="dxa"/>
                  <w:vMerge w:val="continue"/>
                </w:tcPr>
                <w:p>
                  <w:pPr>
                    <w:adjustRightInd w:val="0"/>
                    <w:snapToGrid w:val="0"/>
                    <w:jc w:val="center"/>
                    <w:rPr>
                      <w:rFonts w:hint="eastAsia" w:ascii="仿宋_GB2312" w:hAnsi="仿宋_GB2312" w:eastAsia="仿宋_GB2312" w:cs="仿宋_GB2312"/>
                      <w:b/>
                      <w:szCs w:val="21"/>
                    </w:rPr>
                  </w:pPr>
                </w:p>
              </w:tc>
              <w:tc>
                <w:tcPr>
                  <w:tcW w:w="645" w:type="dxa"/>
                  <w:vMerge w:val="continue"/>
                  <w:vAlign w:val="center"/>
                </w:tcPr>
                <w:p>
                  <w:pPr>
                    <w:adjustRightInd w:val="0"/>
                    <w:snapToGrid w:val="0"/>
                    <w:jc w:val="center"/>
                    <w:rPr>
                      <w:rFonts w:hint="eastAsia" w:ascii="仿宋_GB2312" w:hAnsi="仿宋_GB2312" w:eastAsia="仿宋_GB2312" w:cs="仿宋_GB2312"/>
                      <w:b/>
                      <w:szCs w:val="21"/>
                    </w:rPr>
                  </w:pPr>
                </w:p>
              </w:tc>
              <w:tc>
                <w:tcPr>
                  <w:tcW w:w="657"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kern w:val="0"/>
                      <w:szCs w:val="21"/>
                    </w:rPr>
                    <w:t>序号</w:t>
                  </w:r>
                </w:p>
              </w:tc>
              <w:tc>
                <w:tcPr>
                  <w:tcW w:w="1294"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kern w:val="0"/>
                      <w:szCs w:val="21"/>
                    </w:rPr>
                    <w:t>评分因素</w:t>
                  </w:r>
                </w:p>
              </w:tc>
              <w:tc>
                <w:tcPr>
                  <w:tcW w:w="1385"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kern w:val="0"/>
                      <w:szCs w:val="21"/>
                    </w:rPr>
                    <w:t>权重</w:t>
                  </w:r>
                </w:p>
              </w:tc>
              <w:tc>
                <w:tcPr>
                  <w:tcW w:w="709" w:type="dxa"/>
                  <w:vAlign w:val="center"/>
                </w:tcPr>
                <w:p>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kern w:val="0"/>
                      <w:szCs w:val="21"/>
                    </w:rPr>
                    <w:t>评分方式</w:t>
                  </w:r>
                </w:p>
              </w:tc>
              <w:tc>
                <w:tcPr>
                  <w:tcW w:w="9194" w:type="dxa"/>
                  <w:vAlign w:val="center"/>
                </w:tcPr>
                <w:p>
                  <w:pPr>
                    <w:adjustRightInd w:val="0"/>
                    <w:snapToGrid w:val="0"/>
                    <w:jc w:val="center"/>
                    <w:rPr>
                      <w:rFonts w:hint="eastAsia" w:ascii="仿宋_GB2312" w:hAnsi="仿宋_GB2312" w:eastAsia="仿宋_GB2312" w:cs="仿宋_GB2312"/>
                      <w:b/>
                      <w:szCs w:val="21"/>
                    </w:rPr>
                  </w:pP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评分准则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19" w:hRule="atLeast"/>
              </w:trPr>
              <w:tc>
                <w:tcPr>
                  <w:tcW w:w="1064" w:type="dxa"/>
                  <w:vMerge w:val="continue"/>
                </w:tcPr>
                <w:p>
                  <w:pPr>
                    <w:adjustRightInd w:val="0"/>
                    <w:snapToGrid w:val="0"/>
                    <w:jc w:val="center"/>
                    <w:rPr>
                      <w:rFonts w:hint="eastAsia" w:ascii="仿宋_GB2312" w:hAnsi="仿宋_GB2312" w:eastAsia="仿宋_GB2312" w:cs="仿宋_GB2312"/>
                      <w:b/>
                      <w:szCs w:val="21"/>
                    </w:rPr>
                  </w:pPr>
                </w:p>
              </w:tc>
              <w:tc>
                <w:tcPr>
                  <w:tcW w:w="645" w:type="dxa"/>
                  <w:vMerge w:val="continue"/>
                  <w:vAlign w:val="center"/>
                </w:tcPr>
                <w:p>
                  <w:pPr>
                    <w:adjustRightInd w:val="0"/>
                    <w:snapToGrid w:val="0"/>
                    <w:jc w:val="center"/>
                    <w:rPr>
                      <w:rFonts w:hint="eastAsia" w:ascii="仿宋_GB2312" w:hAnsi="仿宋_GB2312" w:eastAsia="仿宋_GB2312" w:cs="仿宋_GB2312"/>
                      <w:b/>
                      <w:szCs w:val="21"/>
                    </w:rPr>
                  </w:pPr>
                </w:p>
              </w:tc>
              <w:tc>
                <w:tcPr>
                  <w:tcW w:w="657" w:type="dxa"/>
                  <w:vAlign w:val="center"/>
                </w:tcPr>
                <w:p>
                  <w:pPr>
                    <w:adjustRightInd w:val="0"/>
                    <w:snapToGrid w:val="0"/>
                    <w:jc w:val="center"/>
                    <w:rPr>
                      <w:rFonts w:hint="eastAsia" w:ascii="仿宋_GB2312" w:hAnsi="仿宋_GB2312" w:eastAsia="仿宋_GB2312" w:cs="仿宋_GB2312"/>
                      <w:b/>
                      <w:szCs w:val="21"/>
                    </w:rPr>
                  </w:pPr>
                  <w:r>
                    <w:rPr>
                      <w:rFonts w:ascii="仿宋_GB2312" w:hAnsi="仿宋_GB2312" w:eastAsia="仿宋_GB2312" w:cs="仿宋_GB2312"/>
                      <w:bCs/>
                      <w:szCs w:val="21"/>
                    </w:rPr>
                    <w:t>1</w:t>
                  </w:r>
                </w:p>
              </w:tc>
              <w:tc>
                <w:tcPr>
                  <w:tcW w:w="1294"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报价总额</w:t>
                  </w:r>
                </w:p>
              </w:tc>
              <w:tc>
                <w:tcPr>
                  <w:tcW w:w="1385"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15</w:t>
                  </w:r>
                </w:p>
              </w:tc>
              <w:tc>
                <w:tcPr>
                  <w:tcW w:w="709"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计算打分</w:t>
                  </w:r>
                </w:p>
              </w:tc>
              <w:tc>
                <w:tcPr>
                  <w:tcW w:w="9194" w:type="dxa"/>
                  <w:vAlign w:val="center"/>
                </w:tcPr>
                <w:p>
                  <w:pPr>
                    <w:adjustRightInd w:val="0"/>
                    <w:snapToGrid w:val="0"/>
                    <w:jc w:val="left"/>
                    <w:rPr>
                      <w:rFonts w:hint="eastAsia" w:ascii="仿宋_GB2312" w:hAnsi="仿宋_GB2312" w:eastAsia="仿宋_GB2312" w:cs="仿宋_GB2312"/>
                      <w:b/>
                      <w:szCs w:val="21"/>
                    </w:rPr>
                  </w:pPr>
                  <w:r>
                    <w:rPr>
                      <w:rFonts w:ascii="仿宋_GB2312" w:hAnsi="仿宋_GB2312" w:eastAsia="仿宋_GB2312" w:cs="仿宋_GB2312"/>
                      <w:bCs/>
                      <w:szCs w:val="21"/>
                      <w:lang w:bidi="ar"/>
                    </w:rPr>
                    <w:t>1.总体费用为</w:t>
                  </w:r>
                  <w:r>
                    <w:rPr>
                      <w:rFonts w:hint="eastAsia" w:ascii="仿宋_GB2312" w:hAnsi="仿宋_GB2312" w:eastAsia="仿宋_GB2312" w:cs="仿宋_GB2312"/>
                      <w:bCs/>
                      <w:szCs w:val="21"/>
                      <w:lang w:bidi="ar"/>
                    </w:rPr>
                    <w:t>8313</w:t>
                  </w:r>
                  <w:r>
                    <w:rPr>
                      <w:rFonts w:ascii="仿宋_GB2312" w:hAnsi="仿宋_GB2312" w:eastAsia="仿宋_GB2312" w:cs="仿宋_GB2312"/>
                      <w:szCs w:val="21"/>
                    </w:rPr>
                    <w:t>00</w:t>
                  </w:r>
                  <w:r>
                    <w:rPr>
                      <w:rFonts w:ascii="仿宋_GB2312" w:hAnsi="仿宋_GB2312" w:eastAsia="仿宋_GB2312" w:cs="仿宋_GB2312"/>
                      <w:bCs/>
                      <w:szCs w:val="21"/>
                      <w:lang w:bidi="ar"/>
                    </w:rPr>
                    <w:t>元的，得15分，未满足不得分。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19" w:hRule="atLeast"/>
              </w:trPr>
              <w:tc>
                <w:tcPr>
                  <w:tcW w:w="1064" w:type="dxa"/>
                  <w:vMerge w:val="continue"/>
                </w:tcPr>
                <w:p>
                  <w:pPr>
                    <w:adjustRightInd w:val="0"/>
                    <w:snapToGrid w:val="0"/>
                    <w:jc w:val="center"/>
                    <w:rPr>
                      <w:rFonts w:hint="eastAsia" w:ascii="仿宋_GB2312" w:hAnsi="仿宋_GB2312" w:eastAsia="仿宋_GB2312" w:cs="仿宋_GB2312"/>
                      <w:b/>
                      <w:szCs w:val="21"/>
                    </w:rPr>
                  </w:pPr>
                </w:p>
              </w:tc>
              <w:tc>
                <w:tcPr>
                  <w:tcW w:w="645" w:type="dxa"/>
                  <w:vMerge w:val="continue"/>
                  <w:vAlign w:val="center"/>
                </w:tcPr>
                <w:p>
                  <w:pPr>
                    <w:adjustRightInd w:val="0"/>
                    <w:snapToGrid w:val="0"/>
                    <w:jc w:val="center"/>
                    <w:rPr>
                      <w:rFonts w:hint="eastAsia" w:ascii="仿宋_GB2312" w:hAnsi="仿宋_GB2312" w:eastAsia="仿宋_GB2312" w:cs="仿宋_GB2312"/>
                      <w:b/>
                      <w:szCs w:val="21"/>
                    </w:rPr>
                  </w:pPr>
                </w:p>
              </w:tc>
              <w:tc>
                <w:tcPr>
                  <w:tcW w:w="657" w:type="dxa"/>
                  <w:vAlign w:val="center"/>
                </w:tcPr>
                <w:p>
                  <w:pPr>
                    <w:adjustRightInd w:val="0"/>
                    <w:snapToGrid w:val="0"/>
                    <w:jc w:val="center"/>
                    <w:rPr>
                      <w:rFonts w:hint="eastAsia" w:ascii="仿宋_GB2312" w:hAnsi="仿宋_GB2312" w:eastAsia="仿宋_GB2312" w:cs="仿宋_GB2312"/>
                      <w:b/>
                      <w:szCs w:val="21"/>
                    </w:rPr>
                  </w:pPr>
                  <w:r>
                    <w:rPr>
                      <w:rFonts w:ascii="仿宋_GB2312" w:hAnsi="仿宋_GB2312" w:eastAsia="仿宋_GB2312" w:cs="仿宋_GB2312"/>
                      <w:bCs/>
                      <w:szCs w:val="21"/>
                    </w:rPr>
                    <w:t>2</w:t>
                  </w:r>
                </w:p>
              </w:tc>
              <w:tc>
                <w:tcPr>
                  <w:tcW w:w="1294"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人力成本占比</w:t>
                  </w:r>
                </w:p>
              </w:tc>
              <w:tc>
                <w:tcPr>
                  <w:tcW w:w="1385"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15</w:t>
                  </w:r>
                </w:p>
              </w:tc>
              <w:tc>
                <w:tcPr>
                  <w:tcW w:w="709" w:type="dxa"/>
                  <w:vAlign w:val="center"/>
                </w:tcPr>
                <w:p>
                  <w:pPr>
                    <w:adjustRightInd w:val="0"/>
                    <w:snapToGrid w:val="0"/>
                    <w:jc w:val="center"/>
                    <w:rPr>
                      <w:rFonts w:hint="eastAsia" w:ascii="仿宋_GB2312" w:hAnsi="仿宋_GB2312" w:eastAsia="仿宋_GB2312" w:cs="仿宋_GB2312"/>
                      <w:bCs/>
                      <w:szCs w:val="21"/>
                    </w:rPr>
                  </w:pPr>
                  <w:r>
                    <w:rPr>
                      <w:rFonts w:ascii="仿宋_GB2312" w:hAnsi="仿宋_GB2312" w:eastAsia="仿宋_GB2312" w:cs="仿宋_GB2312"/>
                      <w:bCs/>
                      <w:szCs w:val="21"/>
                    </w:rPr>
                    <w:t>计算打分</w:t>
                  </w:r>
                </w:p>
              </w:tc>
              <w:tc>
                <w:tcPr>
                  <w:tcW w:w="9194" w:type="dxa"/>
                  <w:vAlign w:val="center"/>
                </w:tcPr>
                <w:p>
                  <w:pPr>
                    <w:adjustRightInd w:val="0"/>
                    <w:snapToGrid w:val="0"/>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1.</w:t>
                  </w:r>
                  <w:r>
                    <w:rPr>
                      <w:rFonts w:ascii="仿宋_GB2312" w:hAnsi="仿宋_GB2312" w:eastAsia="仿宋_GB2312" w:cs="仿宋_GB2312"/>
                      <w:kern w:val="0"/>
                      <w:szCs w:val="21"/>
                      <w:highlight w:val="none"/>
                    </w:rPr>
                    <w:t>报价总额中人力成本占比，占比</w:t>
                  </w:r>
                  <w:r>
                    <w:rPr>
                      <w:rFonts w:hint="eastAsia" w:ascii="仿宋_GB2312" w:hAnsi="仿宋_GB2312" w:eastAsia="仿宋_GB2312" w:cs="仿宋_GB2312"/>
                      <w:kern w:val="0"/>
                      <w:szCs w:val="21"/>
                      <w:highlight w:val="none"/>
                    </w:rPr>
                    <w:t>&lt;</w:t>
                  </w:r>
                  <w:r>
                    <w:rPr>
                      <w:rFonts w:ascii="仿宋_GB2312" w:hAnsi="仿宋_GB2312" w:eastAsia="仿宋_GB2312" w:cs="仿宋_GB2312"/>
                      <w:kern w:val="0"/>
                      <w:szCs w:val="21"/>
                      <w:highlight w:val="none"/>
                    </w:rPr>
                    <w:t>86%的，9分；86%</w:t>
                  </w:r>
                  <w:r>
                    <w:rPr>
                      <w:rFonts w:hint="eastAsia" w:ascii="仿宋_GB2312" w:hAnsi="仿宋_GB2312" w:eastAsia="仿宋_GB2312" w:cs="仿宋_GB2312"/>
                      <w:kern w:val="0"/>
                      <w:szCs w:val="21"/>
                      <w:highlight w:val="none"/>
                    </w:rPr>
                    <w:t>≤占比&lt;</w:t>
                  </w:r>
                  <w:r>
                    <w:rPr>
                      <w:rFonts w:ascii="仿宋_GB2312" w:hAnsi="仿宋_GB2312" w:eastAsia="仿宋_GB2312" w:cs="仿宋_GB2312"/>
                      <w:kern w:val="0"/>
                      <w:szCs w:val="21"/>
                      <w:highlight w:val="none"/>
                    </w:rPr>
                    <w:t>87%的得10分；87%</w:t>
                  </w:r>
                  <w:r>
                    <w:rPr>
                      <w:rFonts w:hint="eastAsia" w:ascii="仿宋_GB2312" w:hAnsi="仿宋_GB2312" w:eastAsia="仿宋_GB2312" w:cs="仿宋_GB2312"/>
                      <w:kern w:val="0"/>
                      <w:szCs w:val="21"/>
                      <w:highlight w:val="none"/>
                    </w:rPr>
                    <w:t>≤</w:t>
                  </w:r>
                  <w:r>
                    <w:rPr>
                      <w:rFonts w:ascii="仿宋_GB2312" w:hAnsi="仿宋_GB2312" w:eastAsia="仿宋_GB2312" w:cs="仿宋_GB2312"/>
                      <w:kern w:val="0"/>
                      <w:szCs w:val="21"/>
                      <w:highlight w:val="none"/>
                    </w:rPr>
                    <w:t>占比</w:t>
                  </w:r>
                  <w:r>
                    <w:rPr>
                      <w:rFonts w:hint="eastAsia" w:ascii="仿宋_GB2312" w:hAnsi="仿宋_GB2312" w:eastAsia="仿宋_GB2312" w:cs="仿宋_GB2312"/>
                      <w:kern w:val="0"/>
                      <w:szCs w:val="21"/>
                      <w:highlight w:val="none"/>
                    </w:rPr>
                    <w:t>&lt;</w:t>
                  </w:r>
                </w:p>
                <w:p>
                  <w:pPr>
                    <w:adjustRightInd w:val="0"/>
                    <w:snapToGrid w:val="0"/>
                    <w:jc w:val="left"/>
                    <w:rPr>
                      <w:rFonts w:hint="eastAsia"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88</w:t>
                  </w:r>
                  <w:r>
                    <w:rPr>
                      <w:rFonts w:hint="eastAsia" w:ascii="仿宋_GB2312" w:hAnsi="仿宋_GB2312" w:eastAsia="仿宋_GB2312" w:cs="仿宋_GB2312"/>
                      <w:kern w:val="0"/>
                      <w:szCs w:val="21"/>
                      <w:highlight w:val="none"/>
                    </w:rPr>
                    <w:t>%</w:t>
                  </w:r>
                  <w:r>
                    <w:rPr>
                      <w:rFonts w:ascii="仿宋_GB2312" w:hAnsi="仿宋_GB2312" w:eastAsia="仿宋_GB2312" w:cs="仿宋_GB2312"/>
                      <w:kern w:val="0"/>
                      <w:szCs w:val="21"/>
                      <w:highlight w:val="none"/>
                    </w:rPr>
                    <w:t>的得11分；88%</w:t>
                  </w:r>
                  <w:r>
                    <w:rPr>
                      <w:rFonts w:hint="eastAsia" w:ascii="仿宋_GB2312" w:hAnsi="仿宋_GB2312" w:eastAsia="仿宋_GB2312" w:cs="仿宋_GB2312"/>
                      <w:kern w:val="0"/>
                      <w:szCs w:val="21"/>
                      <w:highlight w:val="none"/>
                    </w:rPr>
                    <w:t>≤占比&lt;</w:t>
                  </w:r>
                  <w:r>
                    <w:rPr>
                      <w:rFonts w:ascii="仿宋_GB2312" w:hAnsi="仿宋_GB2312" w:eastAsia="仿宋_GB2312" w:cs="仿宋_GB2312"/>
                      <w:kern w:val="0"/>
                      <w:szCs w:val="21"/>
                      <w:highlight w:val="none"/>
                    </w:rPr>
                    <w:t>89%的得12分；89%</w:t>
                  </w:r>
                  <w:r>
                    <w:rPr>
                      <w:rFonts w:hint="eastAsia" w:ascii="仿宋_GB2312" w:hAnsi="仿宋_GB2312" w:eastAsia="仿宋_GB2312" w:cs="仿宋_GB2312"/>
                      <w:kern w:val="0"/>
                      <w:szCs w:val="21"/>
                      <w:highlight w:val="none"/>
                    </w:rPr>
                    <w:t>≤</w:t>
                  </w:r>
                  <w:r>
                    <w:rPr>
                      <w:rFonts w:ascii="仿宋_GB2312" w:hAnsi="仿宋_GB2312" w:eastAsia="仿宋_GB2312" w:cs="仿宋_GB2312"/>
                      <w:kern w:val="0"/>
                      <w:szCs w:val="21"/>
                      <w:highlight w:val="none"/>
                    </w:rPr>
                    <w:t>占比</w:t>
                  </w:r>
                  <w:r>
                    <w:rPr>
                      <w:rFonts w:hint="eastAsia" w:ascii="仿宋_GB2312" w:hAnsi="仿宋_GB2312" w:eastAsia="仿宋_GB2312" w:cs="仿宋_GB2312"/>
                      <w:kern w:val="0"/>
                      <w:szCs w:val="21"/>
                      <w:highlight w:val="none"/>
                    </w:rPr>
                    <w:t>&lt;</w:t>
                  </w:r>
                  <w:r>
                    <w:rPr>
                      <w:rFonts w:ascii="仿宋_GB2312" w:hAnsi="仿宋_GB2312" w:eastAsia="仿宋_GB2312" w:cs="仿宋_GB2312"/>
                      <w:kern w:val="0"/>
                      <w:szCs w:val="21"/>
                      <w:highlight w:val="none"/>
                    </w:rPr>
                    <w:t>90%的得13分；91%</w:t>
                  </w:r>
                  <w:r>
                    <w:rPr>
                      <w:rFonts w:hint="eastAsia" w:ascii="仿宋_GB2312" w:hAnsi="仿宋_GB2312" w:eastAsia="仿宋_GB2312" w:cs="仿宋_GB2312"/>
                      <w:kern w:val="0"/>
                      <w:szCs w:val="21"/>
                      <w:highlight w:val="none"/>
                    </w:rPr>
                    <w:t>≤占比&lt;</w:t>
                  </w:r>
                  <w:r>
                    <w:rPr>
                      <w:rFonts w:ascii="仿宋_GB2312" w:hAnsi="仿宋_GB2312" w:eastAsia="仿宋_GB2312" w:cs="仿宋_GB2312"/>
                      <w:kern w:val="0"/>
                      <w:szCs w:val="21"/>
                      <w:highlight w:val="none"/>
                    </w:rPr>
                    <w:t>92%</w:t>
                  </w:r>
                </w:p>
                <w:p>
                  <w:pPr>
                    <w:adjustRightInd w:val="0"/>
                    <w:snapToGrid w:val="0"/>
                    <w:jc w:val="left"/>
                    <w:rPr>
                      <w:rFonts w:hint="eastAsia" w:ascii="仿宋_GB2312" w:hAnsi="仿宋_GB2312" w:eastAsia="仿宋_GB2312" w:cs="仿宋_GB2312"/>
                      <w:b/>
                      <w:szCs w:val="21"/>
                    </w:rPr>
                  </w:pPr>
                  <w:r>
                    <w:rPr>
                      <w:rFonts w:ascii="仿宋_GB2312" w:hAnsi="仿宋_GB2312" w:eastAsia="仿宋_GB2312" w:cs="仿宋_GB2312"/>
                      <w:kern w:val="0"/>
                      <w:szCs w:val="21"/>
                      <w:highlight w:val="none"/>
                    </w:rPr>
                    <w:t>的得14分；92%</w:t>
                  </w:r>
                  <w:r>
                    <w:rPr>
                      <w:rFonts w:hint="eastAsia" w:ascii="仿宋_GB2312" w:hAnsi="仿宋_GB2312" w:eastAsia="仿宋_GB2312" w:cs="仿宋_GB2312"/>
                      <w:kern w:val="0"/>
                      <w:szCs w:val="21"/>
                      <w:highlight w:val="none"/>
                    </w:rPr>
                    <w:t>≤</w:t>
                  </w:r>
                  <w:r>
                    <w:rPr>
                      <w:rFonts w:ascii="仿宋_GB2312" w:hAnsi="仿宋_GB2312" w:eastAsia="仿宋_GB2312" w:cs="仿宋_GB2312"/>
                      <w:kern w:val="0"/>
                      <w:szCs w:val="21"/>
                      <w:highlight w:val="none"/>
                    </w:rPr>
                    <w:t>占比的得15分</w:t>
                  </w:r>
                  <w:r>
                    <w:rPr>
                      <w:rFonts w:hint="eastAsia" w:ascii="仿宋_GB2312" w:hAnsi="仿宋_GB2312" w:eastAsia="仿宋_GB2312" w:cs="仿宋_GB2312"/>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70" w:hRule="atLeast"/>
              </w:trPr>
              <w:tc>
                <w:tcPr>
                  <w:tcW w:w="1064" w:type="dxa"/>
                  <w:vMerge w:val="continue"/>
                </w:tcPr>
                <w:p>
                  <w:pPr>
                    <w:adjustRightInd w:val="0"/>
                    <w:snapToGrid w:val="0"/>
                    <w:jc w:val="center"/>
                  </w:pPr>
                </w:p>
              </w:tc>
              <w:tc>
                <w:tcPr>
                  <w:tcW w:w="645" w:type="dxa"/>
                  <w:vMerge w:val="restart"/>
                  <w:vAlign w:val="center"/>
                </w:tcPr>
                <w:p>
                  <w:pPr>
                    <w:adjustRightInd w:val="0"/>
                    <w:snapToGrid w:val="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w:t>
                  </w:r>
                </w:p>
              </w:tc>
              <w:tc>
                <w:tcPr>
                  <w:tcW w:w="4045" w:type="dxa"/>
                  <w:gridSpan w:val="4"/>
                  <w:vAlign w:val="center"/>
                </w:tcPr>
                <w:p>
                  <w:pPr>
                    <w:adjustRightInd w:val="0"/>
                    <w:snapToGrid w:val="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技术部分</w:t>
                  </w:r>
                </w:p>
              </w:tc>
              <w:tc>
                <w:tcPr>
                  <w:tcW w:w="9194" w:type="dxa"/>
                  <w:vAlign w:val="center"/>
                </w:tcPr>
                <w:p>
                  <w:pPr>
                    <w:adjustRightInd w:val="0"/>
                    <w:snapToGrid w:val="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30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294"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评分因素</w:t>
                  </w:r>
                </w:p>
              </w:tc>
              <w:tc>
                <w:tcPr>
                  <w:tcW w:w="1385" w:type="dxa"/>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权重</w:t>
                  </w:r>
                </w:p>
              </w:tc>
              <w:tc>
                <w:tcPr>
                  <w:tcW w:w="709" w:type="dxa"/>
                  <w:vAlign w:val="center"/>
                </w:tcPr>
                <w:p>
                  <w:pPr>
                    <w:adjustRightInd w:val="0"/>
                    <w:snapToGrid w:val="0"/>
                    <w:spacing w:after="6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评分方式</w:t>
                  </w:r>
                </w:p>
              </w:tc>
              <w:tc>
                <w:tcPr>
                  <w:tcW w:w="9194" w:type="dxa"/>
                  <w:vAlign w:val="center"/>
                </w:tcPr>
                <w:p>
                  <w:pPr>
                    <w:adjustRightInd w:val="0"/>
                    <w:snapToGrid w:val="0"/>
                    <w:ind w:right="1367" w:rightChars="651"/>
                    <w:jc w:val="center"/>
                    <w:rPr>
                      <w:rFonts w:hint="eastAsia" w:ascii="仿宋_GB2312" w:hAnsi="仿宋_GB2312" w:eastAsia="仿宋_GB2312" w:cs="仿宋_GB2312"/>
                      <w:b/>
                      <w:bCs/>
                      <w:kern w:val="0"/>
                      <w:szCs w:val="21"/>
                    </w:rPr>
                  </w:pP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评分准则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403"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服务计划</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10</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 xml:space="preserve">具有完整详细的年度服务方案，包括服务目标、重点及具体服务内容。服务计划满足上述三点得80%分；满足任意两点得50%分，满足任意一点得10%分，未满足不得分；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403" w:hRule="atLeast"/>
              </w:trPr>
              <w:tc>
                <w:tcPr>
                  <w:tcW w:w="1064" w:type="dxa"/>
                  <w:vMerge w:val="continue"/>
                </w:tcPr>
                <w:p>
                  <w:pPr>
                    <w:adjustRightInd w:val="0"/>
                    <w:snapToGrid w:val="0"/>
                    <w:ind w:right="174" w:rightChars="83"/>
                  </w:pPr>
                </w:p>
              </w:tc>
              <w:tc>
                <w:tcPr>
                  <w:tcW w:w="645" w:type="dxa"/>
                  <w:vMerge w:val="continue"/>
                  <w:vAlign w:val="center"/>
                </w:tcPr>
                <w:p>
                  <w:pPr>
                    <w:adjustRightInd w:val="0"/>
                    <w:snapToGrid w:val="0"/>
                    <w:ind w:right="174" w:rightChars="83"/>
                  </w:pPr>
                </w:p>
              </w:tc>
              <w:tc>
                <w:tcPr>
                  <w:tcW w:w="657" w:type="dxa"/>
                  <w:vMerge w:val="continue"/>
                  <w:vAlign w:val="center"/>
                </w:tcPr>
                <w:p>
                  <w:pPr>
                    <w:adjustRightInd w:val="0"/>
                    <w:snapToGrid w:val="0"/>
                    <w:ind w:right="174" w:rightChars="83"/>
                  </w:pPr>
                </w:p>
              </w:tc>
              <w:tc>
                <w:tcPr>
                  <w:tcW w:w="1294" w:type="dxa"/>
                  <w:vMerge w:val="continue"/>
                  <w:vAlign w:val="center"/>
                </w:tcPr>
                <w:p>
                  <w:pPr>
                    <w:adjustRightInd w:val="0"/>
                    <w:snapToGrid w:val="0"/>
                    <w:ind w:right="174" w:rightChars="83"/>
                  </w:pPr>
                </w:p>
              </w:tc>
              <w:tc>
                <w:tcPr>
                  <w:tcW w:w="1385" w:type="dxa"/>
                  <w:vMerge w:val="continue"/>
                  <w:vAlign w:val="center"/>
                </w:tcPr>
                <w:p>
                  <w:pPr>
                    <w:adjustRightInd w:val="0"/>
                    <w:snapToGrid w:val="0"/>
                    <w:ind w:right="174" w:rightChars="83"/>
                  </w:pPr>
                </w:p>
              </w:tc>
              <w:tc>
                <w:tcPr>
                  <w:tcW w:w="709" w:type="dxa"/>
                  <w:vMerge w:val="continue"/>
                  <w:vAlign w:val="center"/>
                </w:tcPr>
                <w:p>
                  <w:pPr>
                    <w:adjustRightInd w:val="0"/>
                    <w:snapToGrid w:val="0"/>
                    <w:ind w:right="174" w:rightChars="83"/>
                  </w:pP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根据各供应商的具体响应内容进一步评审，评审为优的，得</w:t>
                  </w:r>
                  <w:r>
                    <w:rPr>
                      <w:rFonts w:ascii="仿宋_GB2312" w:hAnsi="仿宋_GB2312" w:eastAsia="仿宋_GB2312" w:cs="仿宋_GB2312"/>
                      <w:kern w:val="0"/>
                      <w:szCs w:val="21"/>
                    </w:rPr>
                    <w:t>20%分；评审为良的，得15%分;评审为中的，得10%分；评审为差的，得5%分。如果评审为差，要求采购小组书面说明理由，并记录在档。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9"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专业服务流程及标准</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7</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依据岗位工作需要，制定内容清晰、完整、科学、可执行的专业服务流程及工作标准和考核指标共三点内容，满足上述三点得80%分，满足任意两点得50%分，满足任意一点得10%分，未满足不得分；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8"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根据各供应商的具体响应内容进一步评审，评审为优的，得</w:t>
                  </w:r>
                  <w:r>
                    <w:rPr>
                      <w:rFonts w:ascii="仿宋_GB2312" w:hAnsi="仿宋_GB2312" w:eastAsia="仿宋_GB2312" w:cs="仿宋_GB2312"/>
                      <w:kern w:val="0"/>
                      <w:szCs w:val="21"/>
                    </w:rPr>
                    <w:t>20%分；评审为良的，得15%分，评审为中的，得10%分；评审为差的，得5%分。如果评审为差，要求采购小组书面说明理由，并记录在档。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9"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管理制度</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具有确保机构及岗位良好运作的相关管理制度：建立服务管理、档案管理、财务管理、人力资源管理、岗位职责、员工招募等制度。满足上述六点得80%分，满足任意</w:t>
                  </w:r>
                  <w:r>
                    <w:rPr>
                      <w:rFonts w:ascii="仿宋_GB2312" w:hAnsi="仿宋_GB2312" w:eastAsia="仿宋_GB2312" w:cs="仿宋_GB2312"/>
                      <w:kern w:val="0"/>
                      <w:szCs w:val="21"/>
                    </w:rPr>
                    <w:t>四</w:t>
                  </w:r>
                  <w:r>
                    <w:rPr>
                      <w:rFonts w:hint="eastAsia" w:ascii="仿宋_GB2312" w:hAnsi="仿宋_GB2312" w:eastAsia="仿宋_GB2312" w:cs="仿宋_GB2312"/>
                      <w:kern w:val="0"/>
                      <w:szCs w:val="21"/>
                    </w:rPr>
                    <w:t>点得50%分，满足任意一点得10%分，未满足不得分；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8"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根据各供应商的具体响应内容进一步评审，评审为优的，得</w:t>
                  </w:r>
                  <w:r>
                    <w:rPr>
                      <w:rFonts w:ascii="仿宋_GB2312" w:hAnsi="仿宋_GB2312" w:eastAsia="仿宋_GB2312" w:cs="仿宋_GB2312"/>
                      <w:kern w:val="0"/>
                      <w:szCs w:val="21"/>
                    </w:rPr>
                    <w:t>20%分；评审为良的，得15%分</w:t>
                  </w:r>
                  <w:r>
                    <w:rPr>
                      <w:rFonts w:hint="eastAsia" w:ascii="仿宋_GB2312" w:hAnsi="仿宋_GB2312" w:eastAsia="仿宋_GB2312" w:cs="仿宋_GB2312"/>
                      <w:kern w:val="0"/>
                      <w:szCs w:val="21"/>
                    </w:rPr>
                    <w:t>；评审为中的，得</w:t>
                  </w:r>
                  <w:r>
                    <w:rPr>
                      <w:rFonts w:ascii="仿宋_GB2312" w:hAnsi="仿宋_GB2312" w:eastAsia="仿宋_GB2312" w:cs="仿宋_GB2312"/>
                      <w:kern w:val="0"/>
                      <w:szCs w:val="21"/>
                    </w:rPr>
                    <w:t>10%分</w:t>
                  </w:r>
                  <w:r>
                    <w:rPr>
                      <w:rFonts w:hint="eastAsia" w:ascii="仿宋_GB2312" w:hAnsi="仿宋_GB2312" w:eastAsia="仿宋_GB2312" w:cs="仿宋_GB2312"/>
                      <w:kern w:val="0"/>
                      <w:szCs w:val="21"/>
                    </w:rPr>
                    <w:t>；评审为差的，得</w:t>
                  </w:r>
                  <w:r>
                    <w:rPr>
                      <w:rFonts w:ascii="仿宋_GB2312" w:hAnsi="仿宋_GB2312" w:eastAsia="仿宋_GB2312" w:cs="仿宋_GB2312"/>
                      <w:kern w:val="0"/>
                      <w:szCs w:val="21"/>
                    </w:rPr>
                    <w:t>5%分。如果评审为差，要求采购小组书面说明理由，并记录在档。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9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服务监测与评估</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具有项目的跟踪服务、意见反馈、监控评估等具体的流程方案，满足上述三点得80%分，满足任意两点得50%分，满足任意一点得10%分，未满足不得分</w:t>
                  </w:r>
                  <w:r>
                    <w:rPr>
                      <w:rFonts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495"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根据各供应商的具体响应内容进一步评审，评审为优的，得</w:t>
                  </w:r>
                  <w:r>
                    <w:rPr>
                      <w:rFonts w:ascii="仿宋_GB2312" w:hAnsi="仿宋_GB2312" w:eastAsia="仿宋_GB2312" w:cs="仿宋_GB2312"/>
                      <w:kern w:val="0"/>
                      <w:szCs w:val="21"/>
                    </w:rPr>
                    <w:t>20%分</w:t>
                  </w:r>
                  <w:r>
                    <w:rPr>
                      <w:rFonts w:hint="eastAsia" w:ascii="仿宋_GB2312" w:hAnsi="仿宋_GB2312" w:eastAsia="仿宋_GB2312" w:cs="仿宋_GB2312"/>
                      <w:kern w:val="0"/>
                      <w:szCs w:val="21"/>
                    </w:rPr>
                    <w:t>；评审为良的，得</w:t>
                  </w:r>
                  <w:r>
                    <w:rPr>
                      <w:rFonts w:ascii="仿宋_GB2312" w:hAnsi="仿宋_GB2312" w:eastAsia="仿宋_GB2312" w:cs="仿宋_GB2312"/>
                      <w:kern w:val="0"/>
                      <w:szCs w:val="21"/>
                    </w:rPr>
                    <w:t>15%分</w:t>
                  </w:r>
                  <w:r>
                    <w:rPr>
                      <w:rFonts w:hint="eastAsia" w:ascii="仿宋_GB2312" w:hAnsi="仿宋_GB2312" w:eastAsia="仿宋_GB2312" w:cs="仿宋_GB2312"/>
                      <w:kern w:val="0"/>
                      <w:szCs w:val="21"/>
                    </w:rPr>
                    <w:t>；评审为中的，得</w:t>
                  </w:r>
                  <w:r>
                    <w:rPr>
                      <w:rFonts w:ascii="仿宋_GB2312" w:hAnsi="仿宋_GB2312" w:eastAsia="仿宋_GB2312" w:cs="仿宋_GB2312"/>
                      <w:kern w:val="0"/>
                      <w:szCs w:val="21"/>
                    </w:rPr>
                    <w:t>10%分</w:t>
                  </w:r>
                  <w:r>
                    <w:rPr>
                      <w:rFonts w:hint="eastAsia" w:ascii="仿宋_GB2312" w:hAnsi="仿宋_GB2312" w:eastAsia="仿宋_GB2312" w:cs="仿宋_GB2312"/>
                      <w:kern w:val="0"/>
                      <w:szCs w:val="21"/>
                    </w:rPr>
                    <w:t>；评审为差的，得</w:t>
                  </w:r>
                  <w:r>
                    <w:rPr>
                      <w:rFonts w:ascii="仿宋_GB2312" w:hAnsi="仿宋_GB2312" w:eastAsia="仿宋_GB2312" w:cs="仿宋_GB2312"/>
                      <w:kern w:val="0"/>
                      <w:szCs w:val="21"/>
                    </w:rPr>
                    <w:t>5%分。如果评审为差，要求采购小组书面说明理由，并记录在档。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1124"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294"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拟安排的项目团队成员情况（项目负责人除外）</w:t>
                  </w:r>
                </w:p>
              </w:tc>
              <w:tc>
                <w:tcPr>
                  <w:tcW w:w="1385" w:type="dxa"/>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5</w:t>
                  </w:r>
                </w:p>
              </w:tc>
              <w:tc>
                <w:tcPr>
                  <w:tcW w:w="709" w:type="dxa"/>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拟派团队人员在符合本项目要求配备的人员数量基础上方可按照以下因素计分，否则不得分。</w:t>
                  </w:r>
                </w:p>
                <w:p>
                  <w:pPr>
                    <w:adjustRightInd w:val="0"/>
                    <w:snapToGrid w:val="0"/>
                    <w:ind w:right="172" w:rightChars="8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1.该项目社工必须为我市注册社工</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满足该要求的每一个人得1分；</w:t>
                  </w:r>
                  <w:r>
                    <w:rPr>
                      <w:rFonts w:ascii="仿宋_GB2312" w:hAnsi="仿宋_GB2312" w:eastAsia="仿宋_GB2312" w:cs="仿宋_GB2312"/>
                      <w:kern w:val="0"/>
                      <w:szCs w:val="21"/>
                    </w:rPr>
                    <w:t>2020年1月1日</w:t>
                  </w:r>
                  <w:r>
                    <w:rPr>
                      <w:rFonts w:hint="eastAsia" w:ascii="仿宋_GB2312" w:hAnsi="仿宋_GB2312" w:eastAsia="仿宋_GB2312" w:cs="仿宋_GB2312"/>
                      <w:kern w:val="0"/>
                      <w:szCs w:val="21"/>
                    </w:rPr>
                    <w:t>至投标截止日期</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成员获得社会工作政府业务主管单位或业务指导单位颁发的省级及以上荣誉每人得</w:t>
                  </w:r>
                  <w:r>
                    <w:rPr>
                      <w:rFonts w:ascii="仿宋_GB2312" w:hAnsi="仿宋_GB2312" w:eastAsia="仿宋_GB2312" w:cs="仿宋_GB2312"/>
                      <w:kern w:val="0"/>
                      <w:szCs w:val="21"/>
                    </w:rPr>
                    <w:t>1</w:t>
                  </w:r>
                  <w:r>
                    <w:rPr>
                      <w:rFonts w:hint="eastAsia" w:ascii="仿宋_GB2312" w:hAnsi="仿宋_GB2312" w:eastAsia="仿宋_GB2312" w:cs="仿宋_GB2312"/>
                      <w:kern w:val="0"/>
                      <w:szCs w:val="21"/>
                    </w:rPr>
                    <w:t>分；获得市级荣誉的，得</w:t>
                  </w:r>
                  <w:r>
                    <w:rPr>
                      <w:rFonts w:ascii="仿宋_GB2312" w:hAnsi="仿宋_GB2312" w:eastAsia="仿宋_GB2312" w:cs="仿宋_GB2312"/>
                      <w:kern w:val="0"/>
                      <w:szCs w:val="21"/>
                    </w:rPr>
                    <w:t>0.5</w:t>
                  </w:r>
                  <w:r>
                    <w:rPr>
                      <w:rFonts w:hint="eastAsia" w:ascii="仿宋_GB2312" w:hAnsi="仿宋_GB2312" w:eastAsia="仿宋_GB2312" w:cs="仿宋_GB2312"/>
                      <w:kern w:val="0"/>
                      <w:szCs w:val="21"/>
                    </w:rPr>
                    <w:t>分，获得区级荣誉的，得</w:t>
                  </w:r>
                  <w:r>
                    <w:rPr>
                      <w:rFonts w:ascii="仿宋_GB2312" w:hAnsi="仿宋_GB2312" w:eastAsia="仿宋_GB2312" w:cs="仿宋_GB2312"/>
                      <w:kern w:val="0"/>
                      <w:szCs w:val="21"/>
                    </w:rPr>
                    <w:t>0.1</w:t>
                  </w:r>
                  <w:r>
                    <w:rPr>
                      <w:rFonts w:hint="eastAsia" w:ascii="仿宋_GB2312" w:hAnsi="仿宋_GB2312" w:eastAsia="仿宋_GB2312" w:cs="仿宋_GB2312"/>
                      <w:kern w:val="0"/>
                      <w:szCs w:val="21"/>
                    </w:rPr>
                    <w:t>分。提供拟派人员有效期内的社工证（或登记备案证明文件）复印件、劳动合同复印件</w:t>
                  </w:r>
                  <w:r>
                    <w:rPr>
                      <w:rFonts w:ascii="仿宋_GB2312" w:hAnsi="仿宋_GB2312" w:eastAsia="仿宋_GB2312" w:cs="仿宋_GB2312"/>
                      <w:kern w:val="0"/>
                      <w:szCs w:val="21"/>
                    </w:rPr>
                    <w:t>、荣誉证书</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（该项最高不超过5分。）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18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6</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督导人员</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5</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46" w:rightChars="2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1.本科学历的，得 </w:t>
                  </w:r>
                  <w:r>
                    <w:rPr>
                      <w:rFonts w:ascii="仿宋_GB2312" w:hAnsi="仿宋_GB2312" w:eastAsia="仿宋_GB2312" w:cs="仿宋_GB2312"/>
                      <w:kern w:val="0"/>
                      <w:szCs w:val="21"/>
                    </w:rPr>
                    <w:t>0.5</w:t>
                  </w:r>
                  <w:r>
                    <w:rPr>
                      <w:rFonts w:hint="eastAsia" w:ascii="仿宋_GB2312" w:hAnsi="仿宋_GB2312" w:eastAsia="仿宋_GB2312" w:cs="仿宋_GB2312"/>
                      <w:kern w:val="0"/>
                      <w:szCs w:val="21"/>
                    </w:rPr>
                    <w:t>分；</w:t>
                  </w:r>
                  <w:r>
                    <w:rPr>
                      <w:rFonts w:ascii="仿宋_GB2312" w:hAnsi="仿宋_GB2312" w:eastAsia="仿宋_GB2312" w:cs="仿宋_GB2312"/>
                      <w:kern w:val="0"/>
                      <w:szCs w:val="21"/>
                    </w:rPr>
                    <w:t>研究生以上学历的得1分；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18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46" w:rightChars="22"/>
                    <w:rPr>
                      <w:rFonts w:hint="eastAsia"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2.获得督导资质的</w:t>
                  </w:r>
                  <w:r>
                    <w:rPr>
                      <w:rFonts w:hint="eastAsia" w:ascii="仿宋_GB2312" w:hAnsi="仿宋_GB2312" w:eastAsia="仿宋_GB2312" w:cs="仿宋_GB2312"/>
                      <w:kern w:val="0"/>
                      <w:szCs w:val="21"/>
                      <w:highlight w:val="none"/>
                    </w:rPr>
                    <w:t>，得</w:t>
                  </w:r>
                  <w:r>
                    <w:rPr>
                      <w:rFonts w:ascii="仿宋_GB2312" w:hAnsi="仿宋_GB2312" w:eastAsia="仿宋_GB2312" w:cs="仿宋_GB2312"/>
                      <w:kern w:val="0"/>
                      <w:szCs w:val="21"/>
                      <w:highlight w:val="none"/>
                    </w:rPr>
                    <w:t>1</w:t>
                  </w:r>
                  <w:r>
                    <w:rPr>
                      <w:rFonts w:hint="eastAsia" w:ascii="仿宋_GB2312" w:hAnsi="仿宋_GB2312" w:eastAsia="仿宋_GB2312" w:cs="仿宋_GB2312"/>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9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46" w:rightChars="22"/>
                    <w:rPr>
                      <w:rFonts w:hint="eastAsia" w:ascii="仿宋_GB2312" w:hAnsi="仿宋_GB2312" w:eastAsia="仿宋_GB2312" w:cs="仿宋_GB2312"/>
                      <w:kern w:val="0"/>
                      <w:szCs w:val="21"/>
                      <w:highlight w:val="none"/>
                    </w:rPr>
                  </w:pPr>
                  <w:r>
                    <w:rPr>
                      <w:rFonts w:ascii="仿宋_GB2312" w:hAnsi="仿宋_GB2312" w:eastAsia="仿宋_GB2312" w:cs="仿宋_GB2312"/>
                      <w:kern w:val="0"/>
                      <w:szCs w:val="21"/>
                      <w:highlight w:val="none"/>
                    </w:rPr>
                    <w:t>3.</w:t>
                  </w:r>
                  <w:r>
                    <w:rPr>
                      <w:rFonts w:hint="eastAsia" w:ascii="仿宋_GB2312" w:hAnsi="仿宋_GB2312" w:eastAsia="仿宋_GB2312" w:cs="仿宋_GB2312"/>
                      <w:kern w:val="0"/>
                      <w:szCs w:val="21"/>
                      <w:highlight w:val="none"/>
                    </w:rPr>
                    <w:t>获得国家助理社工师资质的，得1分；获得国家中级社工师及以上资质的，得2分；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122"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46" w:rightChars="22"/>
                    <w:rPr>
                      <w:rFonts w:hint="eastAsia" w:ascii="仿宋_GB2312" w:hAnsi="仿宋_GB2312" w:eastAsia="仿宋_GB2312" w:cs="仿宋_GB2312"/>
                      <w:kern w:val="0"/>
                      <w:szCs w:val="21"/>
                    </w:rPr>
                  </w:pPr>
                  <w:r>
                    <w:rPr>
                      <w:rFonts w:ascii="仿宋_GB2312" w:hAnsi="仿宋_GB2312" w:eastAsia="仿宋_GB2312" w:cs="仿宋_GB2312"/>
                      <w:kern w:val="0"/>
                      <w:szCs w:val="21"/>
                    </w:rPr>
                    <w:t>4.具有</w:t>
                  </w:r>
                  <w:r>
                    <w:rPr>
                      <w:rFonts w:hint="eastAsia" w:ascii="仿宋_GB2312" w:hAnsi="仿宋_GB2312" w:eastAsia="仿宋_GB2312" w:cs="仿宋_GB2312"/>
                      <w:kern w:val="0"/>
                      <w:szCs w:val="21"/>
                    </w:rPr>
                    <w:t>2</w:t>
                  </w:r>
                  <w:r>
                    <w:rPr>
                      <w:rFonts w:ascii="仿宋_GB2312" w:hAnsi="仿宋_GB2312" w:eastAsia="仿宋_GB2312" w:cs="仿宋_GB2312"/>
                      <w:kern w:val="0"/>
                      <w:szCs w:val="21"/>
                    </w:rPr>
                    <w:t>年以上</w:t>
                  </w:r>
                  <w:r>
                    <w:rPr>
                      <w:rFonts w:hint="eastAsia" w:ascii="仿宋_GB2312" w:hAnsi="仿宋_GB2312" w:eastAsia="仿宋_GB2312" w:cs="仿宋_GB2312"/>
                      <w:kern w:val="0"/>
                      <w:szCs w:val="21"/>
                    </w:rPr>
                    <w:t>督导</w:t>
                  </w:r>
                  <w:r>
                    <w:rPr>
                      <w:rFonts w:ascii="仿宋_GB2312" w:hAnsi="仿宋_GB2312" w:eastAsia="仿宋_GB2312" w:cs="仿宋_GB2312"/>
                      <w:kern w:val="0"/>
                      <w:szCs w:val="21"/>
                    </w:rPr>
                    <w:t>工作经验的，得0.5分</w:t>
                  </w:r>
                  <w:r>
                    <w:rPr>
                      <w:rFonts w:hint="eastAsia" w:ascii="仿宋_GB2312" w:hAnsi="仿宋_GB2312" w:eastAsia="仿宋_GB2312" w:cs="仿宋_GB2312"/>
                      <w:kern w:val="0"/>
                      <w:szCs w:val="21"/>
                    </w:rPr>
                    <w:t>；具有5年以上督导工作经验的，得</w:t>
                  </w:r>
                  <w:r>
                    <w:rPr>
                      <w:rFonts w:ascii="仿宋_GB2312" w:hAnsi="仿宋_GB2312" w:eastAsia="仿宋_GB2312" w:cs="仿宋_GB2312"/>
                      <w:kern w:val="0"/>
                      <w:szCs w:val="21"/>
                    </w:rPr>
                    <w:t>1</w:t>
                  </w:r>
                  <w:r>
                    <w:rPr>
                      <w:rFonts w:hint="eastAsia" w:ascii="仿宋_GB2312" w:hAnsi="仿宋_GB2312" w:eastAsia="仿宋_GB2312" w:cs="仿宋_GB2312"/>
                      <w:kern w:val="0"/>
                      <w:szCs w:val="21"/>
                    </w:rPr>
                    <w:t>分</w:t>
                  </w:r>
                  <w:r>
                    <w:rPr>
                      <w:rFonts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121"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提供相关学历证书和学信网验证报告、评分标准要求的其他资质证书复印件以及劳动合同复印件（劳动合同信息中需体现从事督导工作内容，否则视为没有督导工作经验）。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9"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7</w:t>
                  </w:r>
                </w:p>
              </w:tc>
              <w:tc>
                <w:tcPr>
                  <w:tcW w:w="1294" w:type="dxa"/>
                  <w:vMerge w:val="restart"/>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人员督导、</w:t>
                  </w:r>
                </w:p>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培训计划</w:t>
                  </w:r>
                </w:p>
              </w:tc>
              <w:tc>
                <w:tcPr>
                  <w:tcW w:w="1385" w:type="dxa"/>
                  <w:vMerge w:val="restart"/>
                  <w:vAlign w:val="center"/>
                </w:tcPr>
                <w:p>
                  <w:pPr>
                    <w:adjustRightInd w:val="0"/>
                    <w:snapToGrid w:val="0"/>
                    <w:spacing w:after="60"/>
                    <w:ind w:left="-126" w:leftChars="-60" w:firstLine="132" w:firstLineChars="63"/>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3</w:t>
                  </w:r>
                </w:p>
              </w:tc>
              <w:tc>
                <w:tcPr>
                  <w:tcW w:w="709" w:type="dxa"/>
                  <w:vMerge w:val="restart"/>
                  <w:vAlign w:val="center"/>
                </w:tcPr>
                <w:p>
                  <w:pPr>
                    <w:adjustRightInd w:val="0"/>
                    <w:snapToGrid w:val="0"/>
                    <w:spacing w:after="6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具有详细完整的年度及具体督导、培训计划；督导、培训计划符合社工及用人单位需求；督导、培训计划切实可行，设计有实施各项具体计划的操作方案，拟聘请</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学者层次较高或配置初级督导以上人员。满足上述三点得80%分，满足任意两点得50%分，满足任意一点得10%分，未满足不得分</w:t>
                  </w:r>
                  <w:r>
                    <w:rPr>
                      <w:rFonts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096" w:type="dxa"/>
                <w:trHeight w:val="598"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60"/>
                    <w:jc w:val="left"/>
                    <w:rPr>
                      <w:rFonts w:hint="eastAsia" w:ascii="仿宋_GB2312" w:hAnsi="仿宋_GB2312" w:eastAsia="仿宋_GB2312" w:cs="仿宋_GB2312"/>
                      <w:kern w:val="0"/>
                      <w:szCs w:val="21"/>
                    </w:rPr>
                  </w:pPr>
                </w:p>
              </w:tc>
              <w:tc>
                <w:tcPr>
                  <w:tcW w:w="9194" w:type="dxa"/>
                  <w:vAlign w:val="center"/>
                </w:tcPr>
                <w:p>
                  <w:pPr>
                    <w:adjustRightInd w:val="0"/>
                    <w:snapToGrid w:val="0"/>
                    <w:ind w:right="174" w:rightChars="83"/>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根据各供应商的具体响应内容进一步评审，评审为优的，得20%</w:t>
                  </w:r>
                  <w:r>
                    <w:rPr>
                      <w:rFonts w:ascii="仿宋_GB2312" w:hAnsi="仿宋_GB2312" w:eastAsia="仿宋_GB2312" w:cs="仿宋_GB2312"/>
                      <w:kern w:val="0"/>
                      <w:szCs w:val="21"/>
                    </w:rPr>
                    <w:t>分</w:t>
                  </w:r>
                  <w:r>
                    <w:rPr>
                      <w:rFonts w:hint="eastAsia" w:ascii="仿宋_GB2312" w:hAnsi="仿宋_GB2312" w:eastAsia="仿宋_GB2312" w:cs="仿宋_GB2312"/>
                      <w:kern w:val="0"/>
                      <w:szCs w:val="21"/>
                    </w:rPr>
                    <w:t>；评审为良的，得15%分；评审为中的，得10%分；评审为差的，得5%分。如果评审为差，要求</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64" w:type="dxa"/>
                  <w:vMerge w:val="continue"/>
                </w:tcPr>
                <w:p>
                  <w:pPr>
                    <w:adjustRightInd w:val="0"/>
                    <w:snapToGrid w:val="0"/>
                    <w:spacing w:after="60"/>
                    <w:jc w:val="center"/>
                    <w:rPr>
                      <w:rFonts w:hint="eastAsia" w:ascii="仿宋_GB2312" w:hAnsi="仿宋_GB2312" w:eastAsia="仿宋_GB2312" w:cs="仿宋_GB2312"/>
                      <w:b/>
                      <w:kern w:val="0"/>
                      <w:szCs w:val="21"/>
                    </w:rPr>
                  </w:pPr>
                </w:p>
              </w:tc>
              <w:tc>
                <w:tcPr>
                  <w:tcW w:w="645" w:type="dxa"/>
                  <w:vMerge w:val="restart"/>
                  <w:vAlign w:val="center"/>
                </w:tcPr>
                <w:p>
                  <w:pPr>
                    <w:adjustRightInd w:val="0"/>
                    <w:snapToGrid w:val="0"/>
                    <w:spacing w:after="6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w:t>
                  </w:r>
                </w:p>
              </w:tc>
              <w:tc>
                <w:tcPr>
                  <w:tcW w:w="4045" w:type="dxa"/>
                  <w:gridSpan w:val="4"/>
                  <w:vAlign w:val="center"/>
                </w:tcPr>
                <w:p>
                  <w:pPr>
                    <w:adjustRightInd w:val="0"/>
                    <w:snapToGrid w:val="0"/>
                    <w:spacing w:after="6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综合实力部分</w:t>
                  </w:r>
                </w:p>
              </w:tc>
              <w:tc>
                <w:tcPr>
                  <w:tcW w:w="10290" w:type="dxa"/>
                  <w:gridSpan w:val="4"/>
                  <w:vAlign w:val="center"/>
                </w:tcPr>
                <w:p>
                  <w:pPr>
                    <w:adjustRightInd w:val="0"/>
                    <w:snapToGrid w:val="0"/>
                    <w:ind w:right="1367" w:rightChars="651"/>
                    <w:jc w:val="center"/>
                    <w:rPr>
                      <w:rFonts w:hint="eastAsia" w:ascii="仿宋_GB2312" w:hAnsi="仿宋_GB2312" w:eastAsia="仿宋_GB2312" w:cs="仿宋_GB2312"/>
                      <w:b/>
                      <w:kern w:val="0"/>
                      <w:szCs w:val="21"/>
                    </w:rPr>
                  </w:pPr>
                  <w:r>
                    <w:rPr>
                      <w:rFonts w:ascii="仿宋_GB2312" w:hAnsi="仿宋_GB2312" w:eastAsia="仿宋_GB2312" w:cs="仿宋_GB2312"/>
                      <w:b/>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9" w:type="dxa"/>
                <w:trHeight w:val="63"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Align w:val="center"/>
                </w:tcPr>
                <w:p>
                  <w:pPr>
                    <w:adjustRightInd w:val="0"/>
                    <w:snapToGrid w:val="0"/>
                    <w:spacing w:after="6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294" w:type="dxa"/>
                  <w:vAlign w:val="center"/>
                </w:tcPr>
                <w:p>
                  <w:pPr>
                    <w:adjustRightInd w:val="0"/>
                    <w:snapToGrid w:val="0"/>
                    <w:spacing w:after="78"/>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评分因素</w:t>
                  </w:r>
                </w:p>
              </w:tc>
              <w:tc>
                <w:tcPr>
                  <w:tcW w:w="1385" w:type="dxa"/>
                  <w:vAlign w:val="center"/>
                </w:tcPr>
                <w:p>
                  <w:pPr>
                    <w:adjustRightInd w:val="0"/>
                    <w:snapToGrid w:val="0"/>
                    <w:spacing w:after="78"/>
                    <w:ind w:left="-754" w:leftChars="-359"/>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权重</w:t>
                  </w:r>
                </w:p>
              </w:tc>
              <w:tc>
                <w:tcPr>
                  <w:tcW w:w="709" w:type="dxa"/>
                  <w:vAlign w:val="center"/>
                </w:tcPr>
                <w:p>
                  <w:pPr>
                    <w:adjustRightInd w:val="0"/>
                    <w:snapToGrid w:val="0"/>
                    <w:spacing w:after="78"/>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评分方式</w:t>
                  </w:r>
                </w:p>
              </w:tc>
              <w:tc>
                <w:tcPr>
                  <w:tcW w:w="9761" w:type="dxa"/>
                  <w:gridSpan w:val="3"/>
                  <w:vAlign w:val="center"/>
                </w:tcPr>
                <w:p>
                  <w:pPr>
                    <w:adjustRightInd w:val="0"/>
                    <w:snapToGrid w:val="0"/>
                    <w:ind w:right="1367" w:rightChars="651"/>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243"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1</w:t>
                  </w:r>
                </w:p>
              </w:tc>
              <w:tc>
                <w:tcPr>
                  <w:tcW w:w="1294" w:type="dxa"/>
                  <w:vMerge w:val="restart"/>
                  <w:vAlign w:val="center"/>
                </w:tcPr>
                <w:p>
                  <w:pPr>
                    <w:adjustRightInd w:val="0"/>
                    <w:snapToGrid w:val="0"/>
                    <w:spacing w:after="78"/>
                    <w:jc w:val="left"/>
                    <w:rPr>
                      <w:rFonts w:hint="eastAsia" w:ascii="仿宋_GB2312" w:hAnsi="仿宋_GB2312" w:eastAsia="仿宋_GB2312" w:cs="仿宋_GB2312"/>
                      <w:kern w:val="0"/>
                      <w:szCs w:val="21"/>
                    </w:rPr>
                  </w:pPr>
                  <w:r>
                    <w:rPr>
                      <w:rFonts w:hint="eastAsia" w:ascii="仿宋_GB2312" w:hAnsi="仿宋_GB2312" w:eastAsia="仿宋_GB2312" w:cs="仿宋_GB2312"/>
                      <w:bCs/>
                      <w:kern w:val="0"/>
                      <w:szCs w:val="21"/>
                    </w:rPr>
                    <w:t>社会组织等级评估情况</w:t>
                  </w:r>
                </w:p>
              </w:tc>
              <w:tc>
                <w:tcPr>
                  <w:tcW w:w="1385" w:type="dxa"/>
                  <w:vMerge w:val="restart"/>
                  <w:vAlign w:val="center"/>
                </w:tcPr>
                <w:p>
                  <w:pPr>
                    <w:jc w:val="center"/>
                    <w:rPr>
                      <w:rFonts w:hint="eastAsia" w:ascii="仿宋_GB2312" w:hAnsi="仿宋_GB2312" w:eastAsia="仿宋_GB2312" w:cs="仿宋_GB2312"/>
                    </w:rPr>
                  </w:pPr>
                </w:p>
                <w:p>
                  <w:pPr>
                    <w:jc w:val="center"/>
                  </w:pPr>
                  <w:r>
                    <w:rPr>
                      <w:rFonts w:hint="eastAsia" w:ascii="仿宋_GB2312" w:hAnsi="仿宋_GB2312" w:eastAsia="仿宋_GB2312" w:cs="仿宋_GB2312"/>
                    </w:rPr>
                    <w:t>5</w:t>
                  </w:r>
                </w:p>
              </w:tc>
              <w:tc>
                <w:tcPr>
                  <w:tcW w:w="709" w:type="dxa"/>
                  <w:vMerge w:val="restart"/>
                  <w:vAlign w:val="center"/>
                </w:tcPr>
                <w:p>
                  <w:pPr>
                    <w:adjustRightInd w:val="0"/>
                    <w:snapToGrid w:val="0"/>
                    <w:spacing w:after="78"/>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投标人具有区级或以上的社会组织登记管理部门颁发的有效期内的社会组织评估等级证书：5A级机构得5分；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24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78"/>
                    <w:jc w:val="left"/>
                    <w:rPr>
                      <w:rFonts w:hint="eastAsia" w:ascii="仿宋_GB2312" w:hAnsi="仿宋_GB2312" w:eastAsia="仿宋_GB2312" w:cs="仿宋_GB2312"/>
                      <w:bCs/>
                      <w:kern w:val="0"/>
                      <w:szCs w:val="21"/>
                    </w:rPr>
                  </w:pPr>
                </w:p>
              </w:tc>
              <w:tc>
                <w:tcPr>
                  <w:tcW w:w="1385" w:type="dxa"/>
                  <w:vMerge w:val="continue"/>
                  <w:vAlign w:val="center"/>
                </w:tcPr>
                <w:p>
                  <w:pPr>
                    <w:adjustRightInd w:val="0"/>
                    <w:snapToGrid w:val="0"/>
                    <w:spacing w:after="60"/>
                    <w:ind w:left="-754" w:leftChars="-359"/>
                    <w:jc w:val="left"/>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ascii="仿宋_GB2312" w:hAnsi="仿宋_GB2312" w:eastAsia="仿宋_GB2312" w:cs="仿宋_GB2312"/>
                      <w:kern w:val="0"/>
                      <w:szCs w:val="21"/>
                    </w:rPr>
                    <w:t>4A级机构得4分</w:t>
                  </w: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24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78"/>
                    <w:jc w:val="left"/>
                    <w:rPr>
                      <w:rFonts w:hint="eastAsia" w:ascii="仿宋_GB2312" w:hAnsi="仿宋_GB2312" w:eastAsia="仿宋_GB2312" w:cs="仿宋_GB2312"/>
                      <w:bCs/>
                      <w:kern w:val="0"/>
                      <w:szCs w:val="21"/>
                    </w:rPr>
                  </w:pPr>
                </w:p>
              </w:tc>
              <w:tc>
                <w:tcPr>
                  <w:tcW w:w="1385" w:type="dxa"/>
                  <w:vMerge w:val="continue"/>
                  <w:vAlign w:val="center"/>
                </w:tcPr>
                <w:p>
                  <w:pPr>
                    <w:adjustRightInd w:val="0"/>
                    <w:snapToGrid w:val="0"/>
                    <w:spacing w:after="60"/>
                    <w:ind w:left="-754" w:leftChars="-359"/>
                    <w:jc w:val="left"/>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ascii="仿宋_GB2312" w:hAnsi="仿宋_GB2312" w:eastAsia="仿宋_GB2312" w:cs="仿宋_GB2312"/>
                      <w:kern w:val="0"/>
                      <w:szCs w:val="21"/>
                    </w:rPr>
                    <w:t>3A级机构得3分，其他不得分</w:t>
                  </w: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24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78"/>
                    <w:jc w:val="left"/>
                    <w:rPr>
                      <w:rFonts w:hint="eastAsia" w:ascii="仿宋_GB2312" w:hAnsi="仿宋_GB2312" w:eastAsia="仿宋_GB2312" w:cs="仿宋_GB2312"/>
                      <w:bCs/>
                      <w:kern w:val="0"/>
                      <w:szCs w:val="21"/>
                    </w:rPr>
                  </w:pPr>
                </w:p>
              </w:tc>
              <w:tc>
                <w:tcPr>
                  <w:tcW w:w="1385" w:type="dxa"/>
                  <w:vMerge w:val="continue"/>
                  <w:vAlign w:val="center"/>
                </w:tcPr>
                <w:p>
                  <w:pPr>
                    <w:adjustRightInd w:val="0"/>
                    <w:snapToGrid w:val="0"/>
                    <w:spacing w:after="60"/>
                    <w:ind w:left="-754" w:leftChars="-359"/>
                    <w:jc w:val="left"/>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证明材料</w:t>
                  </w:r>
                  <w:r>
                    <w:rPr>
                      <w:rFonts w:hint="eastAsia" w:ascii="仿宋_GB2312" w:hAnsi="仿宋_GB2312" w:eastAsia="仿宋_GB2312" w:cs="仿宋_GB2312"/>
                      <w:kern w:val="0"/>
                      <w:szCs w:val="21"/>
                    </w:rPr>
                    <w:t>：提供社会组织评估等级证书原件扫描件或复印件（加盖投标人公章，原件备查），未提供或提供不清晰导致</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599"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2</w:t>
                  </w:r>
                </w:p>
              </w:tc>
              <w:tc>
                <w:tcPr>
                  <w:tcW w:w="1294" w:type="dxa"/>
                  <w:vMerge w:val="restart"/>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同类服务经验</w:t>
                  </w:r>
                </w:p>
              </w:tc>
              <w:tc>
                <w:tcPr>
                  <w:tcW w:w="1385" w:type="dxa"/>
                  <w:vMerge w:val="restart"/>
                  <w:shd w:val="clear" w:color="auto" w:fill="FFFFFF" w:themeFill="background1"/>
                  <w:vAlign w:val="center"/>
                </w:tcPr>
                <w:p>
                  <w:pPr>
                    <w:adjustRightInd w:val="0"/>
                    <w:snapToGrid w:val="0"/>
                    <w:spacing w:after="78"/>
                    <w:ind w:left="-754" w:leftChars="-359"/>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8</w:t>
                  </w:r>
                </w:p>
              </w:tc>
              <w:tc>
                <w:tcPr>
                  <w:tcW w:w="709" w:type="dxa"/>
                  <w:vMerge w:val="restart"/>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477" w:type="dxa"/>
                  <w:gridSpan w:val="2"/>
                  <w:shd w:val="clear" w:color="auto" w:fill="FFFFFF" w:themeFill="background1"/>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自20</w:t>
                  </w:r>
                  <w:r>
                    <w:rPr>
                      <w:rFonts w:ascii="仿宋_GB2312" w:hAnsi="仿宋_GB2312" w:eastAsia="仿宋_GB2312" w:cs="仿宋_GB2312"/>
                      <w:kern w:val="0"/>
                      <w:szCs w:val="21"/>
                    </w:rPr>
                    <w:t>2</w:t>
                  </w:r>
                  <w:r>
                    <w:rPr>
                      <w:rFonts w:hint="eastAsia" w:ascii="仿宋_GB2312" w:hAnsi="仿宋_GB2312" w:eastAsia="仿宋_GB2312" w:cs="仿宋_GB2312"/>
                      <w:kern w:val="0"/>
                      <w:szCs w:val="21"/>
                    </w:rPr>
                    <w:t>0年1月1日至投标截止日期，具有退役军人社会服务领域相关</w:t>
                  </w:r>
                  <w:r>
                    <w:rPr>
                      <w:rFonts w:ascii="仿宋_GB2312" w:hAnsi="仿宋_GB2312" w:eastAsia="仿宋_GB2312" w:cs="仿宋_GB2312"/>
                      <w:kern w:val="0"/>
                      <w:szCs w:val="21"/>
                    </w:rPr>
                    <w:t>项目</w:t>
                  </w:r>
                  <w:r>
                    <w:rPr>
                      <w:rFonts w:hint="eastAsia" w:ascii="仿宋_GB2312" w:hAnsi="仿宋_GB2312" w:eastAsia="仿宋_GB2312" w:cs="仿宋_GB2312"/>
                      <w:kern w:val="0"/>
                      <w:szCs w:val="21"/>
                    </w:rPr>
                    <w:t>经验的，每项得4分，最高不超过8分；无相关</w:t>
                  </w:r>
                  <w:r>
                    <w:rPr>
                      <w:rFonts w:ascii="仿宋_GB2312" w:hAnsi="仿宋_GB2312" w:eastAsia="仿宋_GB2312" w:cs="仿宋_GB2312"/>
                      <w:kern w:val="0"/>
                      <w:szCs w:val="21"/>
                    </w:rPr>
                    <w:t>项目</w:t>
                  </w:r>
                  <w:r>
                    <w:rPr>
                      <w:rFonts w:hint="eastAsia" w:ascii="仿宋_GB2312" w:hAnsi="仿宋_GB2312" w:eastAsia="仿宋_GB2312" w:cs="仿宋_GB2312"/>
                      <w:kern w:val="0"/>
                      <w:szCs w:val="21"/>
                    </w:rPr>
                    <w:t>经验的不得分</w:t>
                  </w:r>
                  <w:r>
                    <w:rPr>
                      <w:rFonts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598"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p>
              </w:tc>
              <w:tc>
                <w:tcPr>
                  <w:tcW w:w="1385" w:type="dxa"/>
                  <w:vMerge w:val="continue"/>
                  <w:shd w:val="clear" w:color="auto" w:fill="FFFFFF" w:themeFill="background1"/>
                  <w:vAlign w:val="center"/>
                </w:tcPr>
                <w:p>
                  <w:pPr>
                    <w:adjustRightInd w:val="0"/>
                    <w:snapToGrid w:val="0"/>
                    <w:spacing w:after="78"/>
                    <w:ind w:left="-754" w:leftChars="-359"/>
                    <w:jc w:val="left"/>
                    <w:rPr>
                      <w:rFonts w:hint="eastAsia" w:ascii="仿宋_GB2312" w:hAnsi="仿宋_GB2312" w:eastAsia="仿宋_GB2312" w:cs="仿宋_GB2312"/>
                      <w:kern w:val="0"/>
                      <w:szCs w:val="21"/>
                    </w:rPr>
                  </w:pPr>
                </w:p>
              </w:tc>
              <w:tc>
                <w:tcPr>
                  <w:tcW w:w="709" w:type="dxa"/>
                  <w:vMerge w:val="continue"/>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shd w:val="clear" w:color="auto" w:fill="FFFFFF" w:themeFill="background1"/>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证明文件：</w:t>
                  </w:r>
                  <w:r>
                    <w:rPr>
                      <w:rFonts w:hint="eastAsia" w:ascii="仿宋_GB2312" w:hAnsi="仿宋_GB2312" w:eastAsia="仿宋_GB2312" w:cs="仿宋_GB2312"/>
                      <w:kern w:val="0"/>
                      <w:szCs w:val="21"/>
                    </w:rPr>
                    <w:t>要求同时提供合同关键信息、中标通知书（均为扫描件或复印件加盖投标人公章，原件备查）作为得分依据。投标人在提供证明资料时要特别注意，证明资料中必须要体现得分要点，以便</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判断得分情况。评分中出现无证明资料或</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482"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r>
                    <w:rPr>
                      <w:rFonts w:ascii="仿宋_GB2312" w:hAnsi="仿宋_GB2312" w:eastAsia="仿宋_GB2312" w:cs="仿宋_GB2312"/>
                      <w:kern w:val="0"/>
                      <w:szCs w:val="21"/>
                    </w:rPr>
                    <w:t>3</w:t>
                  </w:r>
                </w:p>
              </w:tc>
              <w:tc>
                <w:tcPr>
                  <w:tcW w:w="1294" w:type="dxa"/>
                  <w:vMerge w:val="restart"/>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同类服务服务单位履约评价</w:t>
                  </w:r>
                </w:p>
              </w:tc>
              <w:tc>
                <w:tcPr>
                  <w:tcW w:w="1385" w:type="dxa"/>
                  <w:vMerge w:val="restart"/>
                  <w:shd w:val="clear" w:color="auto" w:fill="FFFFFF" w:themeFill="background1"/>
                  <w:vAlign w:val="center"/>
                </w:tcPr>
                <w:p>
                  <w:pPr>
                    <w:adjustRightInd w:val="0"/>
                    <w:snapToGrid w:val="0"/>
                    <w:spacing w:after="60"/>
                    <w:ind w:left="-754" w:leftChars="-359"/>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6—10</w:t>
                  </w:r>
                  <w:r>
                    <w:rPr>
                      <w:rFonts w:ascii="仿宋_GB2312" w:hAnsi="仿宋_GB2312" w:eastAsia="仿宋_GB2312" w:cs="仿宋_GB2312"/>
                      <w:kern w:val="0"/>
                      <w:szCs w:val="21"/>
                    </w:rPr>
                    <w:tab/>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8</w:t>
                  </w:r>
                </w:p>
              </w:tc>
              <w:tc>
                <w:tcPr>
                  <w:tcW w:w="709" w:type="dxa"/>
                  <w:vMerge w:val="restart"/>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477" w:type="dxa"/>
                  <w:gridSpan w:val="2"/>
                  <w:shd w:val="clear" w:color="auto" w:fill="FFFFFF" w:themeFill="background1"/>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述经评审有效的“同类服务经验”，提供服务单位的履约评价，评价为优的每提供1份得4分，评价为良的每提供1份得2分，评价为中或差的不得分，累计最高得8分。注：同一个服务经验的履约评价按最高评价只计一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481"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p>
              </w:tc>
              <w:tc>
                <w:tcPr>
                  <w:tcW w:w="1385" w:type="dxa"/>
                  <w:vMerge w:val="continue"/>
                  <w:shd w:val="clear" w:color="auto" w:fill="FFFFFF" w:themeFill="background1"/>
                  <w:vAlign w:val="center"/>
                </w:tcPr>
                <w:p>
                  <w:pPr>
                    <w:adjustRightInd w:val="0"/>
                    <w:snapToGrid w:val="0"/>
                    <w:spacing w:after="60"/>
                    <w:ind w:left="-754" w:leftChars="-359"/>
                    <w:jc w:val="left"/>
                    <w:rPr>
                      <w:rFonts w:hint="eastAsia" w:ascii="仿宋_GB2312" w:hAnsi="仿宋_GB2312" w:eastAsia="仿宋_GB2312" w:cs="仿宋_GB2312"/>
                      <w:kern w:val="0"/>
                      <w:szCs w:val="21"/>
                    </w:rPr>
                  </w:pPr>
                </w:p>
              </w:tc>
              <w:tc>
                <w:tcPr>
                  <w:tcW w:w="709" w:type="dxa"/>
                  <w:vMerge w:val="continue"/>
                  <w:shd w:val="clear" w:color="auto" w:fill="FFFFFF" w:themeFill="background1"/>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shd w:val="clear" w:color="auto" w:fill="FFFFFF" w:themeFill="background1"/>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证明文件：</w:t>
                  </w:r>
                  <w:r>
                    <w:rPr>
                      <w:rFonts w:hint="eastAsia" w:ascii="仿宋_GB2312" w:hAnsi="仿宋_GB2312" w:eastAsia="仿宋_GB2312" w:cs="仿宋_GB2312"/>
                      <w:kern w:val="0"/>
                      <w:szCs w:val="21"/>
                    </w:rPr>
                    <w:t>提供合同甲方履约评价证明文件扫描件或复印件加盖投标人公章，原件备查。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839"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restart"/>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294" w:type="dxa"/>
                  <w:vMerge w:val="restart"/>
                  <w:vAlign w:val="center"/>
                </w:tcPr>
                <w:p>
                  <w:pPr>
                    <w:adjustRightInd w:val="0"/>
                    <w:snapToGrid w:val="0"/>
                    <w:spacing w:after="78"/>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投标人工资发放情况（单位缴纳的社会保险及公积金缴交基数和比例等标准按有关规定执行）</w:t>
                  </w:r>
                </w:p>
              </w:tc>
              <w:tc>
                <w:tcPr>
                  <w:tcW w:w="1385" w:type="dxa"/>
                  <w:vMerge w:val="restart"/>
                  <w:vAlign w:val="center"/>
                </w:tcPr>
                <w:p>
                  <w:pPr>
                    <w:adjustRightInd w:val="0"/>
                    <w:snapToGrid w:val="0"/>
                    <w:spacing w:after="78"/>
                    <w:ind w:left="-754" w:leftChars="-359"/>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p>
                  <w:pPr>
                    <w:jc w:val="center"/>
                  </w:pPr>
                  <w:r>
                    <w:rPr>
                      <w:rFonts w:hint="eastAsia" w:ascii="仿宋_GB2312"/>
                      <w:highlight w:val="none"/>
                      <w:shd w:val="clear" w:fill="FFFFFF" w:themeFill="background1"/>
                    </w:rPr>
                    <w:t>4</w:t>
                  </w:r>
                </w:p>
              </w:tc>
              <w:tc>
                <w:tcPr>
                  <w:tcW w:w="709" w:type="dxa"/>
                  <w:vMerge w:val="restart"/>
                  <w:vAlign w:val="center"/>
                </w:tcPr>
                <w:p>
                  <w:pPr>
                    <w:adjustRightInd w:val="0"/>
                    <w:snapToGrid w:val="0"/>
                    <w:spacing w:after="78"/>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投标人须出具投标截止日前三个月工资发放情况及社保购买证明材料，</w:t>
                  </w:r>
                  <w:r>
                    <w:rPr>
                      <w:rFonts w:ascii="仿宋_GB2312" w:hAnsi="仿宋_GB2312" w:eastAsia="仿宋_GB2312" w:cs="仿宋_GB2312"/>
                      <w:kern w:val="0"/>
                      <w:szCs w:val="21"/>
                    </w:rPr>
                    <w:t>采购小组</w:t>
                  </w:r>
                  <w:r>
                    <w:rPr>
                      <w:rFonts w:hint="eastAsia" w:ascii="仿宋_GB2312" w:hAnsi="仿宋_GB2312" w:eastAsia="仿宋_GB2312" w:cs="仿宋_GB2312"/>
                      <w:kern w:val="0"/>
                      <w:szCs w:val="21"/>
                    </w:rPr>
                    <w:t>综合考评工资发放及时性，扫描文件清晰可见等。按照投标文件响应情况进行横向比较，评价为优的得5分，评价为良的得3分，评价为中的得2分。出现欠薪、克扣工资、未足额缴纳社保及公积金的及未提供有关证明文件等情况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3" w:type="dxa"/>
                <w:trHeight w:val="1720"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Merge w:val="continue"/>
                  <w:vAlign w:val="center"/>
                </w:tcPr>
                <w:p>
                  <w:pPr>
                    <w:adjustRightInd w:val="0"/>
                    <w:snapToGrid w:val="0"/>
                    <w:spacing w:after="60"/>
                    <w:ind w:left="-107" w:leftChars="-51" w:right="-107" w:rightChars="-51"/>
                    <w:jc w:val="center"/>
                    <w:rPr>
                      <w:rFonts w:hint="eastAsia" w:ascii="仿宋_GB2312" w:hAnsi="仿宋_GB2312" w:eastAsia="仿宋_GB2312" w:cs="仿宋_GB2312"/>
                      <w:kern w:val="0"/>
                      <w:szCs w:val="21"/>
                    </w:rPr>
                  </w:pPr>
                </w:p>
              </w:tc>
              <w:tc>
                <w:tcPr>
                  <w:tcW w:w="1294" w:type="dxa"/>
                  <w:vMerge w:val="continue"/>
                  <w:vAlign w:val="center"/>
                </w:tcPr>
                <w:p>
                  <w:pPr>
                    <w:adjustRightInd w:val="0"/>
                    <w:snapToGrid w:val="0"/>
                    <w:spacing w:after="78"/>
                    <w:jc w:val="left"/>
                    <w:rPr>
                      <w:rFonts w:hint="eastAsia" w:ascii="仿宋_GB2312" w:hAnsi="仿宋_GB2312" w:eastAsia="仿宋_GB2312" w:cs="仿宋_GB2312"/>
                      <w:kern w:val="0"/>
                      <w:szCs w:val="21"/>
                    </w:rPr>
                  </w:pPr>
                </w:p>
              </w:tc>
              <w:tc>
                <w:tcPr>
                  <w:tcW w:w="1385" w:type="dxa"/>
                  <w:vMerge w:val="continue"/>
                  <w:vAlign w:val="center"/>
                </w:tcPr>
                <w:p>
                  <w:pPr>
                    <w:adjustRightInd w:val="0"/>
                    <w:snapToGrid w:val="0"/>
                    <w:spacing w:after="78"/>
                    <w:ind w:left="-754" w:leftChars="-359"/>
                    <w:jc w:val="left"/>
                    <w:rPr>
                      <w:rFonts w:hint="eastAsia" w:ascii="仿宋_GB2312" w:hAnsi="仿宋_GB2312" w:eastAsia="仿宋_GB2312" w:cs="仿宋_GB2312"/>
                      <w:kern w:val="0"/>
                      <w:szCs w:val="21"/>
                    </w:rPr>
                  </w:pPr>
                </w:p>
              </w:tc>
              <w:tc>
                <w:tcPr>
                  <w:tcW w:w="709" w:type="dxa"/>
                  <w:vMerge w:val="continue"/>
                  <w:vAlign w:val="center"/>
                </w:tcPr>
                <w:p>
                  <w:pPr>
                    <w:adjustRightInd w:val="0"/>
                    <w:snapToGrid w:val="0"/>
                    <w:spacing w:after="78"/>
                    <w:jc w:val="left"/>
                    <w:rPr>
                      <w:rFonts w:hint="eastAsia" w:ascii="仿宋_GB2312" w:hAnsi="仿宋_GB2312" w:eastAsia="仿宋_GB2312" w:cs="仿宋_GB2312"/>
                      <w:kern w:val="0"/>
                      <w:szCs w:val="21"/>
                    </w:rPr>
                  </w:pPr>
                </w:p>
              </w:tc>
              <w:tc>
                <w:tcPr>
                  <w:tcW w:w="9477" w:type="dxa"/>
                  <w:gridSpan w:val="2"/>
                  <w:vAlign w:val="center"/>
                </w:tcPr>
                <w:p>
                  <w:pPr>
                    <w:adjustRightInd w:val="0"/>
                    <w:snapToGrid w:val="0"/>
                    <w:ind w:right="458" w:rightChars="218"/>
                    <w:rPr>
                      <w:rFonts w:hint="eastAsia" w:ascii="仿宋_GB2312" w:hAnsi="仿宋_GB2312" w:eastAsia="仿宋_GB2312" w:cs="仿宋_GB2312"/>
                      <w:kern w:val="0"/>
                      <w:szCs w:val="21"/>
                    </w:rPr>
                  </w:pPr>
                  <w:r>
                    <w:rPr>
                      <w:rFonts w:hint="eastAsia" w:ascii="仿宋_GB2312" w:hAnsi="仿宋_GB2312" w:eastAsia="仿宋_GB2312" w:cs="仿宋_GB2312"/>
                      <w:b/>
                      <w:kern w:val="0"/>
                      <w:szCs w:val="21"/>
                    </w:rPr>
                    <w:t>证明文件：</w:t>
                  </w:r>
                  <w:r>
                    <w:rPr>
                      <w:rFonts w:hint="eastAsia" w:ascii="仿宋_GB2312" w:hAnsi="仿宋_GB2312" w:eastAsia="仿宋_GB2312" w:cs="仿宋_GB2312"/>
                      <w:kern w:val="0"/>
                      <w:szCs w:val="21"/>
                    </w:rPr>
                    <w:t>投标人须同时提供银行代发工资证明材料（个人身份信息可隐去）扫描件或复印件，并加盖投标人公章。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64" w:type="dxa"/>
                  <w:vMerge w:val="continue"/>
                </w:tcPr>
                <w:p>
                  <w:pPr>
                    <w:adjustRightInd w:val="0"/>
                    <w:snapToGrid w:val="0"/>
                    <w:spacing w:after="60"/>
                    <w:jc w:val="center"/>
                    <w:rPr>
                      <w:rFonts w:hint="eastAsia" w:ascii="仿宋_GB2312" w:hAnsi="仿宋_GB2312" w:eastAsia="仿宋_GB2312" w:cs="仿宋_GB2312"/>
                      <w:b/>
                      <w:kern w:val="0"/>
                      <w:szCs w:val="21"/>
                    </w:rPr>
                  </w:pPr>
                </w:p>
              </w:tc>
              <w:tc>
                <w:tcPr>
                  <w:tcW w:w="645" w:type="dxa"/>
                  <w:vMerge w:val="restart"/>
                  <w:vAlign w:val="center"/>
                </w:tcPr>
                <w:p>
                  <w:pPr>
                    <w:adjustRightInd w:val="0"/>
                    <w:snapToGrid w:val="0"/>
                    <w:spacing w:after="6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w:t>
                  </w:r>
                </w:p>
              </w:tc>
              <w:tc>
                <w:tcPr>
                  <w:tcW w:w="4045" w:type="dxa"/>
                  <w:gridSpan w:val="4"/>
                  <w:vAlign w:val="center"/>
                </w:tcPr>
                <w:p>
                  <w:pPr>
                    <w:adjustRightInd w:val="0"/>
                    <w:snapToGrid w:val="0"/>
                    <w:spacing w:after="60"/>
                    <w:jc w:val="left"/>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其他部分</w:t>
                  </w:r>
                </w:p>
              </w:tc>
              <w:tc>
                <w:tcPr>
                  <w:tcW w:w="10290" w:type="dxa"/>
                  <w:gridSpan w:val="4"/>
                </w:tcPr>
                <w:p>
                  <w:pPr>
                    <w:adjustRightInd w:val="0"/>
                    <w:snapToGrid w:val="0"/>
                    <w:ind w:right="1270" w:rightChars="605"/>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Align w:val="center"/>
                </w:tcPr>
                <w:p>
                  <w:pPr>
                    <w:adjustRightInd w:val="0"/>
                    <w:snapToGrid w:val="0"/>
                    <w:spacing w:after="6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294"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评分因素</w:t>
                  </w:r>
                </w:p>
              </w:tc>
              <w:tc>
                <w:tcPr>
                  <w:tcW w:w="1385"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权重</w:t>
                  </w:r>
                </w:p>
              </w:tc>
              <w:tc>
                <w:tcPr>
                  <w:tcW w:w="709" w:type="dxa"/>
                  <w:vAlign w:val="center"/>
                </w:tcPr>
                <w:p>
                  <w:pPr>
                    <w:adjustRightInd w:val="0"/>
                    <w:snapToGrid w:val="0"/>
                    <w:spacing w:after="6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评分方式</w:t>
                  </w:r>
                </w:p>
              </w:tc>
              <w:tc>
                <w:tcPr>
                  <w:tcW w:w="10290" w:type="dxa"/>
                  <w:gridSpan w:val="4"/>
                  <w:vAlign w:val="center"/>
                </w:tcPr>
                <w:p>
                  <w:pPr>
                    <w:adjustRightInd w:val="0"/>
                    <w:snapToGrid w:val="0"/>
                    <w:ind w:right="1270" w:rightChars="605"/>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064" w:type="dxa"/>
                  <w:vMerge w:val="continue"/>
                </w:tcPr>
                <w:p>
                  <w:pPr>
                    <w:rPr>
                      <w:rFonts w:cs="Calibri"/>
                      <w:sz w:val="20"/>
                      <w:szCs w:val="20"/>
                    </w:rPr>
                  </w:pPr>
                </w:p>
              </w:tc>
              <w:tc>
                <w:tcPr>
                  <w:tcW w:w="645" w:type="dxa"/>
                  <w:vMerge w:val="continue"/>
                  <w:vAlign w:val="center"/>
                </w:tcPr>
                <w:p>
                  <w:pPr>
                    <w:rPr>
                      <w:rFonts w:cs="Calibri"/>
                      <w:sz w:val="20"/>
                      <w:szCs w:val="20"/>
                    </w:rPr>
                  </w:pPr>
                </w:p>
              </w:tc>
              <w:tc>
                <w:tcPr>
                  <w:tcW w:w="657" w:type="dxa"/>
                  <w:vAlign w:val="center"/>
                </w:tcPr>
                <w:p>
                  <w:pPr>
                    <w:adjustRightInd w:val="0"/>
                    <w:snapToGrid w:val="0"/>
                    <w:spacing w:after="6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294" w:type="dxa"/>
                  <w:vAlign w:val="center"/>
                </w:tcPr>
                <w:p>
                  <w:pPr>
                    <w:adjustRightInd w:val="0"/>
                    <w:snapToGrid w:val="0"/>
                    <w:spacing w:after="78"/>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诚信评价</w:t>
                  </w:r>
                </w:p>
              </w:tc>
              <w:tc>
                <w:tcPr>
                  <w:tcW w:w="1385" w:type="dxa"/>
                  <w:vAlign w:val="center"/>
                </w:tcPr>
                <w:p>
                  <w:pPr>
                    <w:adjustRightInd w:val="0"/>
                    <w:snapToGrid w:val="0"/>
                    <w:spacing w:after="78"/>
                    <w:jc w:val="center"/>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5</w:t>
                  </w:r>
                </w:p>
              </w:tc>
              <w:tc>
                <w:tcPr>
                  <w:tcW w:w="709" w:type="dxa"/>
                  <w:vAlign w:val="center"/>
                </w:tcPr>
                <w:p>
                  <w:pPr>
                    <w:adjustRightInd w:val="0"/>
                    <w:snapToGrid w:val="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采购小组打分</w:t>
                  </w:r>
                </w:p>
              </w:tc>
              <w:tc>
                <w:tcPr>
                  <w:tcW w:w="10290" w:type="dxa"/>
                  <w:gridSpan w:val="4"/>
                </w:tcPr>
                <w:p>
                  <w:pPr>
                    <w:adjustRightInd w:val="0"/>
                    <w:snapToGrid w:val="0"/>
                    <w:ind w:right="1270" w:rightChars="605"/>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根据社工服务信息平台，被公示为项目评估不合格的，其诚信分为0分，未被公示的，该诚信分得满分。由购买主体在社工服务信息平台查询。</w:t>
                  </w:r>
                </w:p>
              </w:tc>
            </w:tr>
          </w:tbl>
          <w:p>
            <w:pPr>
              <w:adjustRightInd w:val="0"/>
              <w:snapToGrid w:val="0"/>
              <w:rPr>
                <w:rFonts w:hint="eastAsia" w:ascii="仿宋_GB2312" w:hAnsi="仿宋_GB2312" w:eastAsia="仿宋_GB2312" w:cs="仿宋_GB2312"/>
                <w:b/>
                <w:szCs w:val="21"/>
              </w:rPr>
            </w:pP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430585"/>
    <w:rsid w:val="00434ADE"/>
    <w:rsid w:val="004D417B"/>
    <w:rsid w:val="00653E54"/>
    <w:rsid w:val="007820C2"/>
    <w:rsid w:val="0092006F"/>
    <w:rsid w:val="009D7C4E"/>
    <w:rsid w:val="00AC74A3"/>
    <w:rsid w:val="00D07CF1"/>
    <w:rsid w:val="00E07EC2"/>
    <w:rsid w:val="00E46EB3"/>
    <w:rsid w:val="00F93D61"/>
    <w:rsid w:val="00FB3968"/>
    <w:rsid w:val="07FF04A3"/>
    <w:rsid w:val="1FD775AE"/>
    <w:rsid w:val="24C9E943"/>
    <w:rsid w:val="2EDFD476"/>
    <w:rsid w:val="2FFEE3DB"/>
    <w:rsid w:val="33FBB9AE"/>
    <w:rsid w:val="35FF69A9"/>
    <w:rsid w:val="377DB5CE"/>
    <w:rsid w:val="3BBB1622"/>
    <w:rsid w:val="3BBF895D"/>
    <w:rsid w:val="3CBFD306"/>
    <w:rsid w:val="3D766FB1"/>
    <w:rsid w:val="3DEF0CB5"/>
    <w:rsid w:val="3FCAE0E1"/>
    <w:rsid w:val="3FFF1A21"/>
    <w:rsid w:val="4A1947CF"/>
    <w:rsid w:val="4CFFF475"/>
    <w:rsid w:val="4EFF80FE"/>
    <w:rsid w:val="4F5DDD3A"/>
    <w:rsid w:val="4FFFC298"/>
    <w:rsid w:val="523DECF2"/>
    <w:rsid w:val="5677494B"/>
    <w:rsid w:val="57BAD055"/>
    <w:rsid w:val="59EFDD07"/>
    <w:rsid w:val="5B796CA4"/>
    <w:rsid w:val="5D3CD298"/>
    <w:rsid w:val="5D7FE879"/>
    <w:rsid w:val="5DFE09C1"/>
    <w:rsid w:val="5DFEDFF9"/>
    <w:rsid w:val="5FBF77CF"/>
    <w:rsid w:val="5FFF39EC"/>
    <w:rsid w:val="64FFA6C4"/>
    <w:rsid w:val="65C3F753"/>
    <w:rsid w:val="6ADB9B53"/>
    <w:rsid w:val="6BE7478E"/>
    <w:rsid w:val="6DF618FF"/>
    <w:rsid w:val="6FBCA4BF"/>
    <w:rsid w:val="6FD92863"/>
    <w:rsid w:val="6FEF1891"/>
    <w:rsid w:val="6FFE9AC2"/>
    <w:rsid w:val="733752A8"/>
    <w:rsid w:val="74BF556E"/>
    <w:rsid w:val="75BE91AC"/>
    <w:rsid w:val="77BFD95A"/>
    <w:rsid w:val="77EF0BF8"/>
    <w:rsid w:val="77EF909F"/>
    <w:rsid w:val="79FF7472"/>
    <w:rsid w:val="7A5FA216"/>
    <w:rsid w:val="7B5B3FE8"/>
    <w:rsid w:val="7B7EDE1A"/>
    <w:rsid w:val="7BEFC466"/>
    <w:rsid w:val="7BF2F73F"/>
    <w:rsid w:val="7DBF1B06"/>
    <w:rsid w:val="7DDF1D07"/>
    <w:rsid w:val="7DFE4B5F"/>
    <w:rsid w:val="7F5F9E88"/>
    <w:rsid w:val="7F96AFAC"/>
    <w:rsid w:val="7FBE6BDD"/>
    <w:rsid w:val="7FEFA5F6"/>
    <w:rsid w:val="7FFF93BA"/>
    <w:rsid w:val="8BD76F1C"/>
    <w:rsid w:val="96FF1CB4"/>
    <w:rsid w:val="A3CFBEC7"/>
    <w:rsid w:val="A7F46FFC"/>
    <w:rsid w:val="ACE13CDA"/>
    <w:rsid w:val="AF144933"/>
    <w:rsid w:val="AFEBD946"/>
    <w:rsid w:val="B27BAD2F"/>
    <w:rsid w:val="B6EF34A3"/>
    <w:rsid w:val="B72F5C42"/>
    <w:rsid w:val="BB5F06AC"/>
    <w:rsid w:val="BD6DD25E"/>
    <w:rsid w:val="BE2FE47B"/>
    <w:rsid w:val="BF3BE41A"/>
    <w:rsid w:val="BFB3E216"/>
    <w:rsid w:val="BFBB41E7"/>
    <w:rsid w:val="BFFD26D2"/>
    <w:rsid w:val="CF7D0EAF"/>
    <w:rsid w:val="D77DF3F0"/>
    <w:rsid w:val="D7FE4B04"/>
    <w:rsid w:val="DAFDE85A"/>
    <w:rsid w:val="DB4F01A1"/>
    <w:rsid w:val="DBED7CB4"/>
    <w:rsid w:val="DEBEDB28"/>
    <w:rsid w:val="DF9F5A79"/>
    <w:rsid w:val="DFFBE642"/>
    <w:rsid w:val="E1FF2D4D"/>
    <w:rsid w:val="E3EF0A1C"/>
    <w:rsid w:val="E7F7556D"/>
    <w:rsid w:val="EBCBC3C6"/>
    <w:rsid w:val="EF6FA65A"/>
    <w:rsid w:val="EFEFEDC1"/>
    <w:rsid w:val="EFFFEDEB"/>
    <w:rsid w:val="F0FF4935"/>
    <w:rsid w:val="F52771AB"/>
    <w:rsid w:val="F7BF5B68"/>
    <w:rsid w:val="F7DBE0C5"/>
    <w:rsid w:val="F7EF829A"/>
    <w:rsid w:val="F7F03550"/>
    <w:rsid w:val="F7FBBC8C"/>
    <w:rsid w:val="F7FEE560"/>
    <w:rsid w:val="F7FF684E"/>
    <w:rsid w:val="F8F97077"/>
    <w:rsid w:val="F9EFC701"/>
    <w:rsid w:val="F9F75BAB"/>
    <w:rsid w:val="FAF7DD9E"/>
    <w:rsid w:val="FB7B033C"/>
    <w:rsid w:val="FBFD1398"/>
    <w:rsid w:val="FCF7EC81"/>
    <w:rsid w:val="FD9D6641"/>
    <w:rsid w:val="FDF7598B"/>
    <w:rsid w:val="FE746F07"/>
    <w:rsid w:val="FEF74D0B"/>
    <w:rsid w:val="FEF96871"/>
    <w:rsid w:val="FEFCE326"/>
    <w:rsid w:val="FF0B9479"/>
    <w:rsid w:val="FF1D5A31"/>
    <w:rsid w:val="FF3F020E"/>
    <w:rsid w:val="FF5AF77D"/>
    <w:rsid w:val="FF6F6F58"/>
    <w:rsid w:val="FF95362A"/>
    <w:rsid w:val="FFEFC9DE"/>
    <w:rsid w:val="FFF6E531"/>
    <w:rsid w:val="FFF97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字符"/>
    <w:basedOn w:val="5"/>
    <w:link w:val="3"/>
    <w:qFormat/>
    <w:uiPriority w:val="0"/>
    <w:rPr>
      <w:rFonts w:ascii="Times New Roman" w:hAnsi="Times New Roman" w:eastAsia="宋体" w:cs="Times New Roman"/>
      <w:kern w:val="2"/>
      <w:sz w:val="18"/>
      <w:szCs w:val="18"/>
    </w:rPr>
  </w:style>
  <w:style w:type="character" w:customStyle="1" w:styleId="8">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2875</Words>
  <Characters>2991</Characters>
  <Lines>249</Lines>
  <Paragraphs>195</Paragraphs>
  <TotalTime>0</TotalTime>
  <ScaleCrop>false</ScaleCrop>
  <LinksUpToDate>false</LinksUpToDate>
  <CharactersWithSpaces>5671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2018-07-16T06:11:00Z</dcterms:created>
  <dc:creator>d</dc:creator>
  <cp:lastModifiedBy>杨玉曼</cp:lastModifiedBy>
  <dcterms:modified xsi:type="dcterms:W3CDTF">2025-10-23T16:12:00Z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216049C448446302F837116459B24593</vt:lpwstr>
  </property>
</Properties>
</file>