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1799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587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287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1848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1664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264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68%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3FC6D4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1219</Characters>
  <Lines>9</Lines>
  <Paragraphs>2</Paragraphs>
  <TotalTime>1</TotalTime>
  <ScaleCrop>false</ScaleCrop>
  <LinksUpToDate>false</LinksUpToDate>
  <CharactersWithSpaces>1219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2023-07-21T09:07:00Z</dcterms:created>
  <dc:creator>林芸坪</dc:creator>
  <cp:lastModifiedBy>林芸坪</cp:lastModifiedBy>
  <cp:lastPrinted>2023-07-22T08:38:00Z</cp:lastPrinted>
  <dcterms:modified xsi:type="dcterms:W3CDTF">2025-12-12T15:06:21Z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43A129734DE47B4FEDBE3B69F16A5805</vt:lpwstr>
  </property>
  <property fmtid="{D5CDD505-2E9C-101B-9397-08002B2CF9AE}" pid="4" name="KSOTemplateDocerSaveRecord">
    <vt:lpwstr>eyJoZGlkIjoiOTAzMWY3NmNkMjdkY2VjNmY2OWZhMDg1ZWFmNjU0ZWQifQ==</vt:lpwstr>
  </property>
</Properties>
</file>