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CD82239">
      <w:pPr>
        <w:pStyle w:val="style0"/>
        <w:tabs>
          <w:tab w:val="center" w:leader="none" w:pos="6902"/>
          <w:tab w:val="left" w:leader="none" w:pos="11191"/>
        </w:tabs>
        <w:spacing w:lineRule="auto" w:line="240"/>
        <w:ind w:firstLine="0" w:firstLineChars="0"/>
        <w:jc w:val="center"/>
        <w:rPr>
          <w:rFonts w:ascii="方正小标宋_GBK" w:cs="方正小标宋_GBK" w:eastAsia="方正小标宋_GBK" w:hAnsi="方正小标宋_GBK" w:hint="eastAsia"/>
          <w:b/>
          <w:bCs/>
          <w:sz w:val="44"/>
          <w:szCs w:val="44"/>
        </w:rPr>
      </w:pPr>
      <w:r>
        <w:rPr>
          <w:rFonts w:ascii="方正小标宋_GBK" w:cs="方正小标宋_GBK" w:eastAsia="方正小标宋_GBK" w:hAnsi="方正小标宋_GBK" w:hint="eastAsia"/>
          <w:b/>
          <w:bCs/>
          <w:sz w:val="44"/>
          <w:szCs w:val="44"/>
        </w:rPr>
        <w:t>大鹏新区旅游统计月度指标表</w:t>
      </w:r>
    </w:p>
    <w:p w14:paraId="5F0CD2E9">
      <w:pPr>
        <w:pStyle w:val="style0"/>
        <w:tabs>
          <w:tab w:val="center" w:leader="none" w:pos="6902"/>
          <w:tab w:val="left" w:leader="none" w:pos="11191"/>
        </w:tabs>
        <w:spacing w:lineRule="auto" w:line="240"/>
        <w:ind w:firstLine="0" w:firstLineChars="0"/>
        <w:jc w:val="center"/>
        <w:rPr>
          <w:rFonts w:ascii="仿宋_GB2312" w:cs="仿宋_GB2312" w:hAnsi="仿宋_GB2312"/>
          <w:b/>
          <w:sz w:val="28"/>
          <w:szCs w:val="28"/>
        </w:rPr>
      </w:pPr>
      <w:r>
        <w:rPr>
          <w:rFonts w:ascii="仿宋_GB2312" w:cs="仿宋_GB2312" w:hAnsi="仿宋_GB2312" w:hint="eastAsia"/>
          <w:b/>
          <w:sz w:val="28"/>
          <w:szCs w:val="28"/>
        </w:rPr>
        <w:t>【</w:t>
      </w:r>
      <w:r>
        <w:rPr>
          <w:rFonts w:ascii="Times New Roman" w:cs="Times New Roman" w:hAnsi="Times New Roman" w:hint="default"/>
          <w:b/>
          <w:sz w:val="28"/>
          <w:szCs w:val="28"/>
        </w:rPr>
        <w:t>202</w:t>
      </w:r>
      <w:r>
        <w:rPr>
          <w:rFonts w:ascii="Times New Roman" w:cs="Times New Roman" w:hAnsi="Times New Roman" w:hint="default"/>
          <w:b/>
          <w:sz w:val="28"/>
          <w:szCs w:val="28"/>
          <w:lang w:val="en-US" w:eastAsia="zh-CN"/>
        </w:rPr>
        <w:t>5</w:t>
      </w:r>
      <w:r>
        <w:rPr>
          <w:rFonts w:ascii="仿宋_GB2312" w:cs="仿宋_GB2312" w:hAnsi="仿宋_GB2312" w:hint="eastAsia"/>
          <w:b/>
          <w:sz w:val="28"/>
          <w:szCs w:val="28"/>
        </w:rPr>
        <w:t>年</w:t>
      </w:r>
      <w:r>
        <w:rPr>
          <w:rFonts w:cs="Times New Roman" w:hint="eastAsia"/>
          <w:b/>
          <w:sz w:val="28"/>
          <w:szCs w:val="28"/>
          <w:lang w:val="en-US" w:eastAsia="zh-CN"/>
        </w:rPr>
        <w:t>12</w:t>
      </w:r>
      <w:r>
        <w:rPr>
          <w:rFonts w:ascii="仿宋_GB2312" w:cs="仿宋_GB2312" w:hAnsi="仿宋_GB2312" w:hint="eastAsia"/>
          <w:b/>
          <w:sz w:val="28"/>
          <w:szCs w:val="28"/>
          <w:lang w:val="en-US" w:eastAsia="zh-CN"/>
        </w:rPr>
        <w:t>月</w:t>
      </w:r>
      <w:r>
        <w:rPr>
          <w:rFonts w:ascii="仿宋_GB2312" w:cs="仿宋_GB2312" w:hAnsi="仿宋_GB2312" w:hint="eastAsia"/>
          <w:b/>
          <w:sz w:val="28"/>
          <w:szCs w:val="28"/>
        </w:rPr>
        <w:t>份数据】</w:t>
      </w:r>
    </w:p>
    <w:bookmarkStart w:id="0" w:name="OLE_LINK1"/>
    <w:tbl>
      <w:tblPr>
        <w:tblStyle w:val="style105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31EA2845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6711C09F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4E9DFAC2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Times New Roman" w:eastAsia="仿宋"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651D987C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cs="Times New Roman" w:eastAsia="仿宋"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2078B3CC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cs="Times New Roman" w:eastAsia="仿宋"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同比（%）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52B0D5C0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0826B81A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3B0529AA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1"/>
                <w:szCs w:val="21"/>
              </w:rPr>
              <w:t>累计同比（%）</w:t>
            </w:r>
          </w:p>
        </w:tc>
      </w:tr>
      <w:tr w14:paraId="4DC1E0D5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142B">
            <w:pPr>
              <w:pStyle w:val="style0"/>
              <w:spacing w:after="0" w:lineRule="auto" w:line="240"/>
              <w:ind w:firstLine="0" w:firstLineChars="0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FF70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B637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112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72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D93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105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48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0B5A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86%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EDF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2100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00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7E8D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1900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00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A88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53%</w:t>
            </w:r>
          </w:p>
        </w:tc>
      </w:tr>
      <w:tr w14:paraId="4FF7C06D">
        <w:tblPrEx/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665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25BB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D0082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17C9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101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25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B42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24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43E1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31%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0D5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1949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74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8F7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1799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64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D50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%</w:t>
            </w:r>
          </w:p>
        </w:tc>
      </w:tr>
      <w:tr w14:paraId="3E76B57B">
        <w:tblPrEx/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0CFA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6616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D9F6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4C0F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47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00B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24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45B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01%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48E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150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26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E32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36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309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72%</w:t>
            </w:r>
          </w:p>
        </w:tc>
      </w:tr>
      <w:tr w14:paraId="05B29F6C">
        <w:tblPrEx/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740723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C9F1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90F3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44F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74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622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25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11A1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51%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D01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902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61A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807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08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E79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%</w:t>
            </w:r>
          </w:p>
        </w:tc>
      </w:tr>
      <w:tr w14:paraId="1E40077D">
        <w:tblPrEx/>
        <w:trPr>
          <w:trHeight w:val="454" w:hRule="atLeast"/>
        </w:trPr>
        <w:tc>
          <w:tcPr>
            <w:tcW w:w="1379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3986E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3B3C9E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C6EB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1A44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87C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053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71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4C8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48%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0D6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572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77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CCF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536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51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64F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76%</w:t>
            </w:r>
          </w:p>
        </w:tc>
      </w:tr>
      <w:tr w14:paraId="2D8F0169">
        <w:tblPrEx/>
        <w:trPr>
          <w:trHeight w:val="454" w:hRule="atLeast"/>
        </w:trPr>
        <w:tc>
          <w:tcPr>
            <w:tcW w:w="1379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ABE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42BC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0CFD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B55C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06C0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58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FA3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52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5AF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80%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A5C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625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04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5C4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556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D0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33%</w:t>
            </w:r>
          </w:p>
        </w:tc>
      </w:tr>
      <w:tr w14:paraId="3B0964CF">
        <w:tblPrEx/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FD75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EE45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7699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EC5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58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491A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42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77E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111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53%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BBE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94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F38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249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93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186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41%</w:t>
            </w:r>
          </w:p>
        </w:tc>
      </w:tr>
      <w:tr w14:paraId="31CEE90A">
        <w:tblPrEx/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B7CA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805C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977A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BC8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14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A05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06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DA9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08%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537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1799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06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DC3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1650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07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6C5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03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%</w:t>
            </w:r>
          </w:p>
        </w:tc>
      </w:tr>
      <w:tr w14:paraId="3877985B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9F16">
            <w:pPr>
              <w:pStyle w:val="style0"/>
              <w:spacing w:after="0" w:lineRule="auto" w:line="240"/>
              <w:ind w:firstLine="0" w:firstLineChars="0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27FA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7B1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28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EDB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48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39E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07A1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150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13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129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118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21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CC2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00%</w:t>
            </w:r>
          </w:p>
        </w:tc>
      </w:tr>
      <w:tr w14:paraId="0197BD9E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2E1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2E31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D9F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36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6DA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09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3EB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77%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581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70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8A1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16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BCF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03%</w:t>
            </w:r>
          </w:p>
        </w:tc>
      </w:tr>
      <w:tr w14:paraId="58AF5934">
        <w:tblPrEx/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9A89B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22DB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D30F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B07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72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FB0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45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283D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02%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476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03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6D3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46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B9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16%</w:t>
            </w:r>
          </w:p>
        </w:tc>
      </w:tr>
      <w:tr w14:paraId="53252155">
        <w:tblPrEx/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96EC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9663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EE290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763F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20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E1E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94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E49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40%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0082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949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59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28C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80%</w:t>
            </w:r>
          </w:p>
        </w:tc>
      </w:tr>
      <w:tr w14:paraId="0FBAACC2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C84F">
            <w:pPr>
              <w:pStyle w:val="style0"/>
              <w:spacing w:after="0" w:lineRule="auto" w:line="240"/>
              <w:ind w:firstLine="0" w:firstLineChars="0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ACD0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CE8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109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34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803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102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33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CC3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85%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11A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1957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98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C29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1760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58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73C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21%</w:t>
            </w:r>
          </w:p>
        </w:tc>
      </w:tr>
      <w:tr w14:paraId="2F4AA506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A42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9666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FAD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95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5B02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48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24D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92%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E7F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561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40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51D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83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19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97%</w:t>
            </w:r>
          </w:p>
        </w:tc>
      </w:tr>
      <w:tr w14:paraId="14928FA5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CC0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20AF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5D7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63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7CB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58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17AB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0BD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47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6F2A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75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53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3EE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22%</w:t>
            </w:r>
          </w:p>
        </w:tc>
      </w:tr>
      <w:tr w14:paraId="26D33530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7114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6299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7AC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28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6F6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98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44FF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84%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48CE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308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22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DDC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283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04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B2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90%</w:t>
            </w:r>
          </w:p>
        </w:tc>
      </w:tr>
      <w:tr w14:paraId="657AD332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2F8B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2820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20A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07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3007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68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715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47%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1D9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278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41 </w:t>
            </w:r>
            <w:bookmarkStart w:id="1" w:name="_GoBack"/>
            <w:bookmarkEnd w:id="1"/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C45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253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48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EAD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84%</w:t>
            </w:r>
          </w:p>
        </w:tc>
      </w:tr>
      <w:tr w14:paraId="4E9E3517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58FF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  <w:t>水头沙-月亮湾-洋畴湾片区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1E87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820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82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D36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87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D99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85%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BDF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317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46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F35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274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53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805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64%</w:t>
            </w:r>
          </w:p>
        </w:tc>
      </w:tr>
      <w:tr w14:paraId="032B4DE7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ED6B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F4BC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CA3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13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9F7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49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E64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25%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A4C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93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33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5C4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62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54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6C7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23%</w:t>
            </w:r>
          </w:p>
        </w:tc>
      </w:tr>
      <w:tr w14:paraId="4824BE05">
        <w:tblPrEx/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09BB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4213">
            <w:pPr>
              <w:pStyle w:val="style0"/>
              <w:spacing w:after="0" w:lineRule="auto" w:line="240"/>
              <w:ind w:firstLine="0" w:firstLineChars="0"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783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47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591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25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B11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00%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52D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319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70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EC9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286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 xml:space="preserve">63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830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lineRule="exact" w:line="40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zh-CN"/>
              </w:rPr>
              <w:t>54%</w:t>
            </w:r>
          </w:p>
        </w:tc>
      </w:tr>
      <w:tr w14:paraId="66D73899">
        <w:tblPrEx/>
        <w:trPr>
          <w:trHeight w:val="2240" w:hRule="atLeast"/>
        </w:trPr>
        <w:tc>
          <w:tcPr>
            <w:tcW w:w="1432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4150">
            <w:pPr>
              <w:pStyle w:val="style0"/>
              <w:spacing w:after="0" w:lineRule="auto" w:line="240"/>
              <w:ind w:firstLine="0" w:firstLineChars="0"/>
              <w:rPr>
                <w:rFonts w:ascii="仿宋" w:cs="仿宋" w:eastAsia="仿宋" w:hAnsi="仿宋" w:hint="eastAsia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ascii="Times New Roman" w:cs="Times New Roman" w:eastAsia="仿宋" w:hAnsi="Times New Roman" w:hint="default"/>
                <w:b w:val="false"/>
                <w:bCs w:val="false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ascii="Times New Roman" w:cs="Times New Roman" w:eastAsia="仿宋" w:hAnsi="Times New Roman" w:hint="default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ascii="Times New Roman" w:cs="Times New Roman" w:eastAsia="仿宋" w:hAnsi="Times New Roman" w:hint="default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310352DB">
      <w:pPr>
        <w:pStyle w:val="style0"/>
        <w:ind w:firstLine="0" w:firstLineChars="0"/>
        <w:rPr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0010101"/>
    <w:charset w:val="88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0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224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exact" w:line="560"/>
      <w:ind w:firstLine="200" w:firstLineChars="200"/>
    </w:pPr>
    <w:rPr>
      <w:rFonts w:ascii="Times New Roman" w:cs="Times New Roman" w:eastAsia="仿宋_GB2312" w:hAnsi="Times New Roman"/>
      <w:kern w:val="2"/>
      <w:sz w:val="32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spacing w:after="160" w:lineRule="exact" w:line="560"/>
      <w:ind w:firstLine="200" w:firstLineChars="200"/>
    </w:pPr>
    <w:rPr>
      <w:rFonts w:ascii="Times New Roman" w:cs="Times New Roman" w:eastAsia="仿宋_GB2312" w:hAnsi="Times New Roman"/>
      <w:sz w:val="18"/>
      <w:szCs w:val="18"/>
      <w:lang w:val="en-US" w:bidi="ar-SA" w:eastAsia="zh-CN"/>
    </w:rPr>
  </w:style>
  <w:style w:type="paragraph" w:styleId="style31">
    <w:name w:val="header"/>
    <w:next w:val="style31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after="160" w:lineRule="exact" w:line="560"/>
      <w:ind w:firstLine="200" w:firstLineChars="200"/>
      <w:jc w:val="center"/>
    </w:pPr>
    <w:rPr>
      <w:rFonts w:ascii="Times New Roman" w:cs="Times New Roman" w:eastAsia="仿宋_GB2312" w:hAnsi="Times New Roman"/>
      <w:sz w:val="18"/>
      <w:szCs w:val="18"/>
      <w:lang w:val="en-US" w:bidi="ar-SA" w:eastAsia="zh-CN"/>
    </w:rPr>
  </w:style>
  <w:style w:type="paragraph" w:customStyle="1" w:styleId="style4097">
    <w:name w:val="样式1"/>
    <w:basedOn w:val="style0"/>
    <w:next w:val="style4097"/>
    <w:qFormat/>
    <w:uiPriority w:val="0"/>
    <w:pPr>
      <w:ind w:firstLine="420"/>
    </w:pPr>
    <w:rPr>
      <w:rFonts w:ascii="仿宋_GB2312" w:hAnsi="仿宋_GB2312" w:hint="eastAsia"/>
      <w:color w:val="333333"/>
      <w:kern w:val="0"/>
      <w:szCs w:val="32"/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651</Words>
  <Pages>2</Pages>
  <Characters>1206</Characters>
  <Application>WPS Office</Application>
  <DocSecurity>0</DocSecurity>
  <Paragraphs>207</Paragraphs>
  <ScaleCrop>false</ScaleCrop>
  <Company>微软中国</Company>
  <LinksUpToDate>false</LinksUpToDate>
  <CharactersWithSpaces>1285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2023-07-21T01:07:00Z</dcterms:created>
  <dc:creator>林芸坪</dc:creator>
  <lastModifiedBy>V2203A</lastModifiedBy>
  <lastPrinted>2023-07-22T00:38:00Z</lastPrinted>
  <dcterms:modified xsi:type="dcterms:W3CDTF">2026-05-27T07:41:09Z</dcterms:modified>
  <revision>40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ce8f67b9d8f3410e82f6352b205e0a81_23</vt:lpwstr>
  </property>
  <property fmtid="{D5CDD505-2E9C-101B-9397-08002B2CF9AE}" pid="4" name="KSOTemplateDocerSaveRecord">
    <vt:lpwstr>eyJoZGlkIjoiOTAzMWY3NmNkMjdkY2VjNmY2OWZhMDg1ZWFmNjU0ZWQiLCJ1c2VySWQiOiIxMzk2OTk4NTEwIn0=</vt:lpwstr>
  </property>
</Properties>
</file>